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89"/>
        <w:tblW w:w="989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026"/>
        <w:gridCol w:w="2251"/>
        <w:gridCol w:w="5614"/>
      </w:tblGrid>
      <w:tr w:rsidR="004E0E36" w:rsidRPr="0014051E" w14:paraId="02864137" w14:textId="77777777" w:rsidTr="004E0E36">
        <w:trPr>
          <w:trHeight w:val="136"/>
        </w:trPr>
        <w:tc>
          <w:tcPr>
            <w:tcW w:w="1746" w:type="dxa"/>
            <w:vMerge w:val="restart"/>
            <w:tcBorders>
              <w:top w:val="single" w:sz="2" w:space="0" w:color="auto"/>
              <w:left w:val="single" w:sz="2" w:space="0" w:color="auto"/>
              <w:bottom w:val="single" w:sz="2" w:space="0" w:color="auto"/>
              <w:right w:val="single" w:sz="2" w:space="0" w:color="auto"/>
            </w:tcBorders>
            <w:hideMark/>
          </w:tcPr>
          <w:p w14:paraId="0B77D3D6" w14:textId="77777777" w:rsidR="004E0E36" w:rsidRPr="00AD5DB8" w:rsidRDefault="004E0E36" w:rsidP="004E0E36">
            <w:pPr>
              <w:pStyle w:val="ae"/>
              <w:spacing w:line="276" w:lineRule="auto"/>
              <w:rPr>
                <w:rFonts w:eastAsia="SimSun"/>
                <w:b/>
                <w:noProof/>
                <w:sz w:val="28"/>
                <w:szCs w:val="28"/>
                <w:lang w:val="en-US"/>
              </w:rPr>
            </w:pPr>
            <w:bookmarkStart w:id="0" w:name="_Toc271032458"/>
            <w:bookmarkStart w:id="1" w:name="_Toc251839472"/>
          </w:p>
          <w:p w14:paraId="0F066F5E" w14:textId="144B7F8D" w:rsidR="004E0E36" w:rsidRPr="00B70F20" w:rsidRDefault="000978A6" w:rsidP="004E0E36">
            <w:pPr>
              <w:pStyle w:val="ae"/>
              <w:spacing w:line="276" w:lineRule="auto"/>
              <w:rPr>
                <w:rFonts w:eastAsia="SimSun"/>
                <w:b/>
                <w:bCs/>
                <w:sz w:val="28"/>
                <w:szCs w:val="28"/>
                <w:lang w:val="kk-KZ"/>
              </w:rPr>
            </w:pPr>
            <w:r w:rsidRPr="009571D2">
              <w:rPr>
                <w:rFonts w:eastAsia="SimSun"/>
                <w:b/>
                <w:bCs/>
                <w:noProof/>
                <w:sz w:val="22"/>
                <w:szCs w:val="22"/>
                <w:lang w:eastAsia="ru-RU"/>
              </w:rPr>
              <w:drawing>
                <wp:inline distT="0" distB="0" distL="0" distR="0" wp14:anchorId="2F6912D3" wp14:editId="6D03F0E1">
                  <wp:extent cx="1149938" cy="554959"/>
                  <wp:effectExtent l="0" t="0" r="0" b="0"/>
                  <wp:docPr id="4" name="Picture 2" descr="С 23 января стартует прием заявок на использование пенсионных денег -  новости Kapital.k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С 23 января стартует прием заявок на использование пенсионных денег -  новости Kapital.kz"/>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9938" cy="554959"/>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2310" w:type="dxa"/>
            <w:tcBorders>
              <w:top w:val="single" w:sz="2" w:space="0" w:color="auto"/>
              <w:left w:val="single" w:sz="2" w:space="0" w:color="auto"/>
              <w:bottom w:val="single" w:sz="2" w:space="0" w:color="auto"/>
              <w:right w:val="single" w:sz="2" w:space="0" w:color="auto"/>
            </w:tcBorders>
            <w:vAlign w:val="center"/>
            <w:hideMark/>
          </w:tcPr>
          <w:p w14:paraId="04EB2C96" w14:textId="77777777" w:rsidR="004E0E36" w:rsidRPr="009232E6" w:rsidRDefault="004E0E36" w:rsidP="004E0E36">
            <w:pPr>
              <w:pStyle w:val="ae"/>
              <w:spacing w:line="276" w:lineRule="auto"/>
              <w:rPr>
                <w:rFonts w:ascii="Times New Roman" w:eastAsia="SimSun" w:hAnsi="Times New Roman"/>
                <w:b/>
                <w:bCs/>
                <w:sz w:val="24"/>
                <w:szCs w:val="28"/>
                <w:lang w:val="kk-KZ"/>
              </w:rPr>
            </w:pPr>
            <w:r w:rsidRPr="009232E6">
              <w:rPr>
                <w:rFonts w:ascii="Times New Roman" w:eastAsia="SimSun" w:hAnsi="Times New Roman"/>
                <w:b/>
                <w:bCs/>
                <w:sz w:val="24"/>
                <w:szCs w:val="28"/>
                <w:lang w:val="kk-KZ"/>
              </w:rPr>
              <w:t>Superior internal document</w:t>
            </w:r>
          </w:p>
        </w:tc>
        <w:tc>
          <w:tcPr>
            <w:tcW w:w="5835" w:type="dxa"/>
            <w:tcBorders>
              <w:top w:val="single" w:sz="2" w:space="0" w:color="auto"/>
              <w:left w:val="single" w:sz="2" w:space="0" w:color="auto"/>
              <w:bottom w:val="single" w:sz="2" w:space="0" w:color="auto"/>
              <w:right w:val="single" w:sz="2" w:space="0" w:color="auto"/>
            </w:tcBorders>
            <w:vAlign w:val="center"/>
            <w:hideMark/>
          </w:tcPr>
          <w:p w14:paraId="4D1A3C40" w14:textId="329EB5F3" w:rsidR="004E0E36" w:rsidRPr="007D770B" w:rsidRDefault="004E0E36" w:rsidP="004E0E36">
            <w:pPr>
              <w:pStyle w:val="ae"/>
              <w:spacing w:line="276" w:lineRule="auto"/>
              <w:rPr>
                <w:rFonts w:ascii="Times New Roman" w:eastAsia="SimSun" w:hAnsi="Times New Roman"/>
                <w:bCs/>
                <w:sz w:val="24"/>
                <w:szCs w:val="28"/>
                <w:lang w:val="en-US"/>
              </w:rPr>
            </w:pPr>
            <w:r w:rsidRPr="009232E6">
              <w:rPr>
                <w:rFonts w:ascii="Times New Roman" w:eastAsia="SimSun" w:hAnsi="Times New Roman"/>
                <w:bCs/>
                <w:sz w:val="24"/>
                <w:szCs w:val="28"/>
                <w:lang w:val="kk-KZ"/>
              </w:rPr>
              <w:t xml:space="preserve">Articles of Association of JSC </w:t>
            </w:r>
            <w:r w:rsidR="00B90019" w:rsidRPr="00B90019">
              <w:rPr>
                <w:rFonts w:ascii="Times New Roman" w:eastAsia="SimSun" w:hAnsi="Times New Roman"/>
                <w:bCs/>
                <w:sz w:val="24"/>
                <w:szCs w:val="28"/>
                <w:lang w:val="kk-KZ"/>
              </w:rPr>
              <w:t>Otbasy Bank</w:t>
            </w:r>
            <w:r w:rsidRPr="007D770B">
              <w:rPr>
                <w:rFonts w:ascii="Times New Roman" w:eastAsia="SimSun" w:hAnsi="Times New Roman"/>
                <w:bCs/>
                <w:sz w:val="24"/>
                <w:szCs w:val="28"/>
                <w:lang w:val="en-US"/>
              </w:rPr>
              <w:t xml:space="preserve">          </w:t>
            </w:r>
          </w:p>
        </w:tc>
      </w:tr>
      <w:tr w:rsidR="004E0E36" w:rsidRPr="00B70F20" w14:paraId="78E40CEF" w14:textId="77777777" w:rsidTr="004E0E36">
        <w:trPr>
          <w:trHeight w:val="224"/>
        </w:trPr>
        <w:tc>
          <w:tcPr>
            <w:tcW w:w="1746" w:type="dxa"/>
            <w:vMerge/>
            <w:tcBorders>
              <w:top w:val="single" w:sz="2" w:space="0" w:color="auto"/>
              <w:left w:val="single" w:sz="2" w:space="0" w:color="auto"/>
              <w:bottom w:val="single" w:sz="2" w:space="0" w:color="auto"/>
              <w:right w:val="single" w:sz="2" w:space="0" w:color="auto"/>
            </w:tcBorders>
            <w:vAlign w:val="center"/>
            <w:hideMark/>
          </w:tcPr>
          <w:p w14:paraId="738085E9" w14:textId="77777777" w:rsidR="004E0E36" w:rsidRPr="00B70F20" w:rsidRDefault="004E0E36" w:rsidP="004E0E36">
            <w:pPr>
              <w:rPr>
                <w:rFonts w:eastAsia="SimSun"/>
                <w:b/>
                <w:bCs/>
                <w:sz w:val="28"/>
                <w:szCs w:val="28"/>
                <w:lang w:val="kk-KZ"/>
              </w:rPr>
            </w:pPr>
          </w:p>
        </w:tc>
        <w:tc>
          <w:tcPr>
            <w:tcW w:w="2310" w:type="dxa"/>
            <w:tcBorders>
              <w:top w:val="single" w:sz="2" w:space="0" w:color="auto"/>
              <w:left w:val="single" w:sz="2" w:space="0" w:color="auto"/>
              <w:bottom w:val="single" w:sz="2" w:space="0" w:color="auto"/>
              <w:right w:val="single" w:sz="2" w:space="0" w:color="auto"/>
            </w:tcBorders>
            <w:vAlign w:val="center"/>
            <w:hideMark/>
          </w:tcPr>
          <w:p w14:paraId="249E3EEC" w14:textId="77777777" w:rsidR="004E0E36" w:rsidRPr="009232E6" w:rsidRDefault="004E0E36" w:rsidP="004E0E36">
            <w:pPr>
              <w:pStyle w:val="ae"/>
              <w:spacing w:line="276" w:lineRule="auto"/>
              <w:rPr>
                <w:rFonts w:ascii="Times New Roman" w:eastAsia="SimSun" w:hAnsi="Times New Roman"/>
                <w:b/>
                <w:bCs/>
                <w:sz w:val="24"/>
                <w:szCs w:val="28"/>
                <w:lang w:val="kk-KZ"/>
              </w:rPr>
            </w:pPr>
            <w:r w:rsidRPr="009232E6">
              <w:rPr>
                <w:rFonts w:ascii="Times New Roman" w:eastAsia="SimSun" w:hAnsi="Times New Roman"/>
                <w:b/>
                <w:bCs/>
                <w:sz w:val="24"/>
                <w:szCs w:val="28"/>
                <w:lang w:val="kk-KZ"/>
              </w:rPr>
              <w:t>Owner of the internal document</w:t>
            </w:r>
          </w:p>
        </w:tc>
        <w:tc>
          <w:tcPr>
            <w:tcW w:w="5835" w:type="dxa"/>
            <w:tcBorders>
              <w:top w:val="single" w:sz="2" w:space="0" w:color="auto"/>
              <w:left w:val="single" w:sz="2" w:space="0" w:color="auto"/>
              <w:bottom w:val="single" w:sz="2" w:space="0" w:color="auto"/>
              <w:right w:val="single" w:sz="2" w:space="0" w:color="auto"/>
            </w:tcBorders>
            <w:vAlign w:val="center"/>
            <w:hideMark/>
          </w:tcPr>
          <w:p w14:paraId="65E0B747" w14:textId="77777777" w:rsidR="004E0E36" w:rsidRPr="009232E6" w:rsidRDefault="004E0E36" w:rsidP="004E0E36">
            <w:pPr>
              <w:pStyle w:val="ae"/>
              <w:spacing w:line="276" w:lineRule="auto"/>
              <w:rPr>
                <w:rFonts w:ascii="Times New Roman" w:eastAsia="SimSun" w:hAnsi="Times New Roman"/>
                <w:bCs/>
                <w:sz w:val="24"/>
                <w:szCs w:val="28"/>
              </w:rPr>
            </w:pPr>
            <w:r w:rsidRPr="009232E6">
              <w:rPr>
                <w:rFonts w:ascii="Times New Roman" w:eastAsia="SimSun" w:hAnsi="Times New Roman"/>
                <w:bCs/>
                <w:sz w:val="24"/>
                <w:szCs w:val="28"/>
              </w:rPr>
              <w:t>Accounting Department</w:t>
            </w:r>
          </w:p>
        </w:tc>
      </w:tr>
      <w:tr w:rsidR="004E0E36" w:rsidRPr="0014051E" w14:paraId="1345DFD9" w14:textId="77777777" w:rsidTr="004E0E36">
        <w:trPr>
          <w:trHeight w:val="567"/>
        </w:trPr>
        <w:tc>
          <w:tcPr>
            <w:tcW w:w="1746" w:type="dxa"/>
            <w:vMerge/>
            <w:tcBorders>
              <w:top w:val="single" w:sz="2" w:space="0" w:color="auto"/>
              <w:left w:val="single" w:sz="2" w:space="0" w:color="auto"/>
              <w:bottom w:val="single" w:sz="2" w:space="0" w:color="auto"/>
              <w:right w:val="single" w:sz="2" w:space="0" w:color="auto"/>
            </w:tcBorders>
            <w:vAlign w:val="center"/>
            <w:hideMark/>
          </w:tcPr>
          <w:p w14:paraId="5FD12D79" w14:textId="77777777" w:rsidR="004E0E36" w:rsidRPr="00B70F20" w:rsidRDefault="004E0E36" w:rsidP="004E0E36">
            <w:pPr>
              <w:rPr>
                <w:rFonts w:eastAsia="SimSun"/>
                <w:b/>
                <w:bCs/>
                <w:sz w:val="28"/>
                <w:szCs w:val="28"/>
                <w:lang w:val="kk-KZ"/>
              </w:rPr>
            </w:pPr>
          </w:p>
        </w:tc>
        <w:tc>
          <w:tcPr>
            <w:tcW w:w="2310" w:type="dxa"/>
            <w:tcBorders>
              <w:top w:val="single" w:sz="2" w:space="0" w:color="auto"/>
              <w:left w:val="single" w:sz="2" w:space="0" w:color="auto"/>
              <w:bottom w:val="single" w:sz="2" w:space="0" w:color="auto"/>
              <w:right w:val="single" w:sz="2" w:space="0" w:color="auto"/>
            </w:tcBorders>
            <w:vAlign w:val="center"/>
            <w:hideMark/>
          </w:tcPr>
          <w:p w14:paraId="76CA7683" w14:textId="77777777" w:rsidR="004E0E36" w:rsidRPr="009232E6" w:rsidRDefault="004E0E36" w:rsidP="004E0E36">
            <w:pPr>
              <w:pStyle w:val="ae"/>
              <w:spacing w:line="276" w:lineRule="auto"/>
              <w:rPr>
                <w:rFonts w:ascii="Times New Roman" w:eastAsia="SimSun" w:hAnsi="Times New Roman"/>
                <w:b/>
                <w:bCs/>
                <w:sz w:val="24"/>
                <w:szCs w:val="28"/>
                <w:lang w:val="kk-KZ"/>
              </w:rPr>
            </w:pPr>
            <w:r w:rsidRPr="009232E6">
              <w:rPr>
                <w:rFonts w:ascii="Times New Roman" w:eastAsia="SimSun" w:hAnsi="Times New Roman"/>
                <w:b/>
                <w:bCs/>
                <w:sz w:val="24"/>
                <w:szCs w:val="28"/>
                <w:lang w:val="kk-KZ"/>
              </w:rPr>
              <w:t>Developed</w:t>
            </w:r>
          </w:p>
        </w:tc>
        <w:tc>
          <w:tcPr>
            <w:tcW w:w="5835" w:type="dxa"/>
            <w:tcBorders>
              <w:top w:val="single" w:sz="2" w:space="0" w:color="auto"/>
              <w:left w:val="single" w:sz="2" w:space="0" w:color="auto"/>
              <w:bottom w:val="single" w:sz="2" w:space="0" w:color="auto"/>
              <w:right w:val="single" w:sz="2" w:space="0" w:color="auto"/>
            </w:tcBorders>
            <w:vAlign w:val="center"/>
            <w:hideMark/>
          </w:tcPr>
          <w:p w14:paraId="50316D95" w14:textId="347B20D0" w:rsidR="004E0E36" w:rsidRPr="007D770B" w:rsidRDefault="004E0E36" w:rsidP="00AF611C">
            <w:pPr>
              <w:ind w:left="0"/>
              <w:rPr>
                <w:rFonts w:ascii="Times New Roman" w:eastAsia="SimSun" w:hAnsi="Times New Roman"/>
                <w:bCs/>
                <w:sz w:val="24"/>
                <w:szCs w:val="28"/>
                <w:lang w:val="en-US"/>
              </w:rPr>
            </w:pPr>
            <w:r w:rsidRPr="007D770B">
              <w:rPr>
                <w:rFonts w:ascii="Times New Roman" w:eastAsia="SimSun" w:hAnsi="Times New Roman"/>
                <w:bCs/>
                <w:sz w:val="24"/>
                <w:szCs w:val="28"/>
                <w:lang w:val="en-US"/>
              </w:rPr>
              <w:t xml:space="preserve">G.K. Kisina - Director of the Accounting Department, R.K. Absattarova - Deputy Director of the Accounting Department  </w:t>
            </w:r>
          </w:p>
        </w:tc>
      </w:tr>
      <w:tr w:rsidR="004E0E36" w:rsidRPr="0014051E" w14:paraId="22F3B58C" w14:textId="77777777" w:rsidTr="004E0E36">
        <w:trPr>
          <w:trHeight w:val="223"/>
        </w:trPr>
        <w:tc>
          <w:tcPr>
            <w:tcW w:w="1746" w:type="dxa"/>
            <w:vMerge/>
            <w:tcBorders>
              <w:top w:val="single" w:sz="2" w:space="0" w:color="auto"/>
              <w:left w:val="single" w:sz="2" w:space="0" w:color="auto"/>
              <w:bottom w:val="single" w:sz="2" w:space="0" w:color="auto"/>
              <w:right w:val="single" w:sz="2" w:space="0" w:color="auto"/>
            </w:tcBorders>
            <w:vAlign w:val="center"/>
            <w:hideMark/>
          </w:tcPr>
          <w:p w14:paraId="7AA93ED3" w14:textId="77777777" w:rsidR="004E0E36" w:rsidRPr="00B70F20" w:rsidRDefault="004E0E36" w:rsidP="004E0E36">
            <w:pPr>
              <w:rPr>
                <w:rFonts w:eastAsia="SimSun"/>
                <w:b/>
                <w:bCs/>
                <w:sz w:val="28"/>
                <w:szCs w:val="28"/>
                <w:lang w:val="kk-KZ"/>
              </w:rPr>
            </w:pPr>
          </w:p>
        </w:tc>
        <w:tc>
          <w:tcPr>
            <w:tcW w:w="2310" w:type="dxa"/>
            <w:tcBorders>
              <w:top w:val="single" w:sz="2" w:space="0" w:color="auto"/>
              <w:left w:val="single" w:sz="2" w:space="0" w:color="auto"/>
              <w:bottom w:val="single" w:sz="2" w:space="0" w:color="auto"/>
              <w:right w:val="single" w:sz="2" w:space="0" w:color="auto"/>
            </w:tcBorders>
            <w:vAlign w:val="center"/>
            <w:hideMark/>
          </w:tcPr>
          <w:p w14:paraId="49DC314B" w14:textId="77777777" w:rsidR="004E0E36" w:rsidRPr="009232E6" w:rsidRDefault="004E0E36" w:rsidP="004E0E36">
            <w:pPr>
              <w:pStyle w:val="ae"/>
              <w:spacing w:line="276" w:lineRule="auto"/>
              <w:rPr>
                <w:rFonts w:ascii="Times New Roman" w:eastAsia="SimSun" w:hAnsi="Times New Roman"/>
                <w:b/>
                <w:bCs/>
                <w:sz w:val="24"/>
                <w:szCs w:val="28"/>
              </w:rPr>
            </w:pPr>
            <w:r w:rsidRPr="009232E6">
              <w:rPr>
                <w:rFonts w:ascii="Times New Roman" w:eastAsia="SimSun" w:hAnsi="Times New Roman"/>
                <w:b/>
                <w:bCs/>
                <w:sz w:val="24"/>
                <w:szCs w:val="28"/>
              </w:rPr>
              <w:t>Approved</w:t>
            </w:r>
          </w:p>
        </w:tc>
        <w:tc>
          <w:tcPr>
            <w:tcW w:w="5835" w:type="dxa"/>
            <w:tcBorders>
              <w:top w:val="single" w:sz="2" w:space="0" w:color="auto"/>
              <w:left w:val="single" w:sz="2" w:space="0" w:color="auto"/>
              <w:bottom w:val="single" w:sz="2" w:space="0" w:color="auto"/>
              <w:right w:val="single" w:sz="2" w:space="0" w:color="auto"/>
            </w:tcBorders>
            <w:vAlign w:val="center"/>
            <w:hideMark/>
          </w:tcPr>
          <w:p w14:paraId="1F5BE1D7" w14:textId="77777777" w:rsidR="004E0E36" w:rsidRPr="007D770B" w:rsidRDefault="004E0E36" w:rsidP="004E0E36">
            <w:pPr>
              <w:pStyle w:val="ae"/>
              <w:spacing w:line="276" w:lineRule="auto"/>
              <w:rPr>
                <w:rFonts w:ascii="Times New Roman" w:eastAsia="SimSun" w:hAnsi="Times New Roman"/>
                <w:bCs/>
                <w:sz w:val="24"/>
                <w:szCs w:val="28"/>
                <w:lang w:val="en-US"/>
              </w:rPr>
            </w:pPr>
            <w:bookmarkStart w:id="2" w:name="_Toc473823967"/>
            <w:bookmarkStart w:id="3" w:name="_Toc473824226"/>
            <w:r w:rsidRPr="007D770B">
              <w:rPr>
                <w:rFonts w:ascii="Times New Roman" w:eastAsia="SimSun" w:hAnsi="Times New Roman"/>
                <w:bCs/>
                <w:sz w:val="24"/>
                <w:szCs w:val="28"/>
                <w:lang w:val="en-US"/>
              </w:rPr>
              <w:t xml:space="preserve">By the decision of the Board of Directors of JSC "Zhilstroisberbank of Kazakhstan" (Minutes No. 8) dated 10.07.2014. </w:t>
            </w:r>
            <w:bookmarkEnd w:id="2"/>
            <w:bookmarkEnd w:id="3"/>
          </w:p>
        </w:tc>
      </w:tr>
      <w:tr w:rsidR="004E0E36" w:rsidRPr="00B70F20" w14:paraId="01EC2DED" w14:textId="77777777" w:rsidTr="004E0E36">
        <w:trPr>
          <w:trHeight w:val="141"/>
        </w:trPr>
        <w:tc>
          <w:tcPr>
            <w:tcW w:w="1746" w:type="dxa"/>
            <w:vMerge/>
            <w:tcBorders>
              <w:top w:val="single" w:sz="2" w:space="0" w:color="auto"/>
              <w:left w:val="single" w:sz="2" w:space="0" w:color="auto"/>
              <w:bottom w:val="single" w:sz="2" w:space="0" w:color="auto"/>
              <w:right w:val="single" w:sz="2" w:space="0" w:color="auto"/>
            </w:tcBorders>
            <w:vAlign w:val="center"/>
            <w:hideMark/>
          </w:tcPr>
          <w:p w14:paraId="7A88776D" w14:textId="77777777" w:rsidR="004E0E36" w:rsidRPr="00B70F20" w:rsidRDefault="004E0E36" w:rsidP="004E0E36">
            <w:pPr>
              <w:rPr>
                <w:rFonts w:eastAsia="SimSun"/>
                <w:b/>
                <w:bCs/>
                <w:sz w:val="28"/>
                <w:szCs w:val="28"/>
                <w:lang w:val="kk-KZ"/>
              </w:rPr>
            </w:pPr>
          </w:p>
        </w:tc>
        <w:tc>
          <w:tcPr>
            <w:tcW w:w="2310" w:type="dxa"/>
            <w:tcBorders>
              <w:top w:val="single" w:sz="2" w:space="0" w:color="auto"/>
              <w:left w:val="single" w:sz="2" w:space="0" w:color="auto"/>
              <w:bottom w:val="single" w:sz="2" w:space="0" w:color="auto"/>
              <w:right w:val="single" w:sz="2" w:space="0" w:color="auto"/>
            </w:tcBorders>
            <w:vAlign w:val="center"/>
            <w:hideMark/>
          </w:tcPr>
          <w:p w14:paraId="605A79F2" w14:textId="77777777" w:rsidR="004E0E36" w:rsidRPr="007D770B" w:rsidRDefault="004E0E36" w:rsidP="004E0E36">
            <w:pPr>
              <w:pStyle w:val="ae"/>
              <w:spacing w:line="276" w:lineRule="auto"/>
              <w:rPr>
                <w:rFonts w:ascii="Times New Roman" w:eastAsia="SimSun" w:hAnsi="Times New Roman"/>
                <w:b/>
                <w:bCs/>
                <w:sz w:val="24"/>
                <w:szCs w:val="28"/>
                <w:lang w:val="en-US"/>
              </w:rPr>
            </w:pPr>
            <w:r w:rsidRPr="007D770B">
              <w:rPr>
                <w:rFonts w:ascii="Times New Roman" w:eastAsia="SimSun" w:hAnsi="Times New Roman"/>
                <w:b/>
                <w:bCs/>
                <w:sz w:val="24"/>
                <w:szCs w:val="28"/>
                <w:lang w:val="en-US"/>
              </w:rPr>
              <w:t>Date of entry into force</w:t>
            </w:r>
          </w:p>
        </w:tc>
        <w:tc>
          <w:tcPr>
            <w:tcW w:w="5835" w:type="dxa"/>
            <w:tcBorders>
              <w:top w:val="single" w:sz="2" w:space="0" w:color="auto"/>
              <w:left w:val="single" w:sz="2" w:space="0" w:color="auto"/>
              <w:bottom w:val="single" w:sz="2" w:space="0" w:color="auto"/>
              <w:right w:val="single" w:sz="2" w:space="0" w:color="auto"/>
            </w:tcBorders>
            <w:vAlign w:val="center"/>
            <w:hideMark/>
          </w:tcPr>
          <w:p w14:paraId="0A0521BE" w14:textId="2B17BB20" w:rsidR="004E0E36" w:rsidRPr="009232E6" w:rsidRDefault="004E0E36" w:rsidP="004E0E36">
            <w:pPr>
              <w:pStyle w:val="ae"/>
              <w:spacing w:line="276" w:lineRule="auto"/>
              <w:rPr>
                <w:rFonts w:ascii="Times New Roman" w:eastAsia="SimSun" w:hAnsi="Times New Roman"/>
                <w:bCs/>
                <w:sz w:val="24"/>
                <w:szCs w:val="28"/>
              </w:rPr>
            </w:pPr>
            <w:r w:rsidRPr="009232E6">
              <w:rPr>
                <w:rFonts w:ascii="Times New Roman" w:eastAsia="SimSun" w:hAnsi="Times New Roman"/>
                <w:bCs/>
                <w:sz w:val="24"/>
                <w:szCs w:val="28"/>
              </w:rPr>
              <w:t>10.07.2014</w:t>
            </w:r>
          </w:p>
        </w:tc>
      </w:tr>
    </w:tbl>
    <w:p w14:paraId="145A9ED8" w14:textId="02A2226A" w:rsidR="009232E6" w:rsidRPr="009232E6" w:rsidRDefault="009232E6" w:rsidP="009232E6">
      <w:pPr>
        <w:ind w:left="142" w:hanging="709"/>
        <w:rPr>
          <w:rFonts w:ascii="Times New Roman" w:hAnsi="Times New Roman"/>
          <w:sz w:val="24"/>
          <w:szCs w:val="28"/>
        </w:rPr>
      </w:pPr>
      <w:r w:rsidRPr="009232E6">
        <w:rPr>
          <w:rFonts w:ascii="Times New Roman" w:hAnsi="Times New Roman"/>
          <w:sz w:val="24"/>
          <w:szCs w:val="28"/>
        </w:rPr>
        <w:t xml:space="preserve">                                                                                        </w:t>
      </w:r>
    </w:p>
    <w:p w14:paraId="738C8AC0" w14:textId="77777777" w:rsidR="009232E6" w:rsidRPr="00B70F20" w:rsidRDefault="009232E6" w:rsidP="009232E6">
      <w:pPr>
        <w:rPr>
          <w:sz w:val="28"/>
          <w:szCs w:val="28"/>
        </w:rPr>
      </w:pPr>
    </w:p>
    <w:p w14:paraId="66F293F3" w14:textId="77777777" w:rsidR="009232E6" w:rsidRPr="00B70F20" w:rsidRDefault="009232E6" w:rsidP="009232E6">
      <w:pPr>
        <w:rPr>
          <w:sz w:val="28"/>
          <w:szCs w:val="28"/>
        </w:rPr>
      </w:pPr>
    </w:p>
    <w:p w14:paraId="0322C8A4" w14:textId="77777777" w:rsidR="009232E6" w:rsidRPr="009232E6" w:rsidRDefault="009232E6" w:rsidP="009232E6">
      <w:pPr>
        <w:spacing w:before="240"/>
        <w:jc w:val="center"/>
        <w:rPr>
          <w:rFonts w:ascii="Times New Roman" w:hAnsi="Times New Roman"/>
          <w:b/>
          <w:bCs/>
          <w:sz w:val="24"/>
          <w:szCs w:val="28"/>
        </w:rPr>
      </w:pPr>
      <w:r w:rsidRPr="009232E6">
        <w:rPr>
          <w:rFonts w:ascii="Times New Roman" w:hAnsi="Times New Roman"/>
          <w:b/>
          <w:bCs/>
          <w:sz w:val="24"/>
          <w:szCs w:val="28"/>
        </w:rPr>
        <w:t>ACCOUNTING POLICY</w:t>
      </w:r>
    </w:p>
    <w:p w14:paraId="6877FC9D" w14:textId="124D4BAE" w:rsidR="009232E6" w:rsidRDefault="009232E6" w:rsidP="009232E6">
      <w:pPr>
        <w:jc w:val="center"/>
        <w:rPr>
          <w:b/>
          <w:bCs/>
          <w:sz w:val="28"/>
          <w:szCs w:val="28"/>
        </w:rPr>
      </w:pPr>
      <w:r w:rsidRPr="009232E6">
        <w:rPr>
          <w:rFonts w:ascii="Times New Roman" w:hAnsi="Times New Roman"/>
          <w:b/>
          <w:bCs/>
          <w:sz w:val="24"/>
          <w:szCs w:val="28"/>
        </w:rPr>
        <w:t xml:space="preserve">JSC </w:t>
      </w:r>
      <w:r w:rsidR="00B90019">
        <w:rPr>
          <w:rFonts w:ascii="Times New Roman" w:hAnsi="Times New Roman"/>
          <w:b/>
          <w:bCs/>
          <w:sz w:val="24"/>
          <w:szCs w:val="28"/>
        </w:rPr>
        <w:t>Otbasy Bank</w:t>
      </w:r>
    </w:p>
    <w:p w14:paraId="3A5D095C" w14:textId="77777777" w:rsidR="00B90019" w:rsidRPr="00B70F20" w:rsidRDefault="00B90019" w:rsidP="009232E6">
      <w:pPr>
        <w:jc w:val="center"/>
        <w:rPr>
          <w:b/>
          <w:bCs/>
          <w:sz w:val="28"/>
          <w:szCs w:val="28"/>
        </w:rPr>
      </w:pPr>
    </w:p>
    <w:p w14:paraId="5E23065A" w14:textId="77777777" w:rsidR="009232E6" w:rsidRPr="00B70F20" w:rsidRDefault="009232E6" w:rsidP="009232E6">
      <w:pPr>
        <w:rPr>
          <w:sz w:val="28"/>
          <w:szCs w:val="28"/>
        </w:rPr>
      </w:pPr>
    </w:p>
    <w:p w14:paraId="00B78A15" w14:textId="77777777" w:rsidR="009232E6" w:rsidRPr="00B70F20" w:rsidRDefault="009232E6" w:rsidP="009232E6">
      <w:pPr>
        <w:rPr>
          <w:sz w:val="28"/>
          <w:szCs w:val="28"/>
        </w:rPr>
      </w:pPr>
    </w:p>
    <w:p w14:paraId="1C3903E0" w14:textId="77777777" w:rsidR="009232E6" w:rsidRPr="00B70F20" w:rsidRDefault="009232E6" w:rsidP="009232E6">
      <w:pPr>
        <w:rPr>
          <w:sz w:val="28"/>
          <w:szCs w:val="28"/>
        </w:rPr>
      </w:pPr>
    </w:p>
    <w:p w14:paraId="52565D5A" w14:textId="77777777" w:rsidR="009232E6" w:rsidRPr="00B70F20" w:rsidRDefault="009232E6" w:rsidP="009232E6">
      <w:pPr>
        <w:rPr>
          <w:sz w:val="28"/>
          <w:szCs w:val="28"/>
        </w:rPr>
      </w:pPr>
    </w:p>
    <w:p w14:paraId="564814C8" w14:textId="77777777" w:rsidR="009232E6" w:rsidRPr="00B70F20" w:rsidRDefault="009232E6" w:rsidP="009232E6">
      <w:pPr>
        <w:rPr>
          <w:sz w:val="28"/>
          <w:szCs w:val="28"/>
        </w:rPr>
      </w:pPr>
    </w:p>
    <w:p w14:paraId="26521EF7" w14:textId="77777777" w:rsidR="009232E6" w:rsidRPr="00B70F20" w:rsidRDefault="009232E6" w:rsidP="009232E6">
      <w:pPr>
        <w:rPr>
          <w:sz w:val="28"/>
          <w:szCs w:val="28"/>
        </w:rPr>
      </w:pPr>
    </w:p>
    <w:p w14:paraId="377AA932" w14:textId="77777777" w:rsidR="009232E6" w:rsidRPr="00B70F20" w:rsidRDefault="009232E6" w:rsidP="009232E6">
      <w:pPr>
        <w:rPr>
          <w:sz w:val="28"/>
          <w:szCs w:val="28"/>
        </w:rPr>
      </w:pPr>
    </w:p>
    <w:p w14:paraId="77B9B73B" w14:textId="47C124B8" w:rsidR="009232E6" w:rsidRPr="009232E6" w:rsidRDefault="009232E6" w:rsidP="004E0E36">
      <w:pPr>
        <w:jc w:val="center"/>
        <w:rPr>
          <w:rFonts w:ascii="Times New Roman" w:hAnsi="Times New Roman"/>
          <w:sz w:val="24"/>
          <w:szCs w:val="28"/>
        </w:rPr>
      </w:pPr>
      <w:r w:rsidRPr="009232E6">
        <w:rPr>
          <w:rFonts w:ascii="Times New Roman" w:hAnsi="Times New Roman"/>
          <w:snapToGrid w:val="0"/>
          <w:sz w:val="24"/>
          <w:szCs w:val="28"/>
        </w:rPr>
        <w:t>Almaty, 2014</w:t>
      </w:r>
    </w:p>
    <w:p w14:paraId="424692D7" w14:textId="77777777" w:rsidR="00E25F43" w:rsidRDefault="00E25F43" w:rsidP="00E74387">
      <w:pPr>
        <w:spacing w:after="0"/>
        <w:jc w:val="center"/>
        <w:rPr>
          <w:rFonts w:ascii="Times New Roman" w:hAnsi="Times New Roman"/>
          <w:b/>
          <w:bCs/>
          <w:sz w:val="32"/>
          <w:szCs w:val="18"/>
        </w:rPr>
      </w:pPr>
    </w:p>
    <w:p w14:paraId="287C0F6F" w14:textId="77777777" w:rsidR="00E25F43" w:rsidRDefault="00E25F43" w:rsidP="00E74387">
      <w:pPr>
        <w:spacing w:after="0"/>
        <w:jc w:val="center"/>
        <w:rPr>
          <w:rFonts w:ascii="Times New Roman" w:hAnsi="Times New Roman"/>
          <w:b/>
          <w:bCs/>
          <w:sz w:val="32"/>
          <w:szCs w:val="18"/>
        </w:rPr>
      </w:pPr>
    </w:p>
    <w:p w14:paraId="3A68E5A6" w14:textId="77777777" w:rsidR="00E25F43" w:rsidRDefault="00E25F43" w:rsidP="00E74387">
      <w:pPr>
        <w:spacing w:after="0"/>
        <w:jc w:val="center"/>
        <w:rPr>
          <w:rFonts w:ascii="Times New Roman" w:hAnsi="Times New Roman"/>
          <w:b/>
          <w:bCs/>
          <w:sz w:val="32"/>
          <w:szCs w:val="18"/>
        </w:rPr>
      </w:pPr>
    </w:p>
    <w:p w14:paraId="69D4EDAB" w14:textId="77777777" w:rsidR="00E25F43" w:rsidRDefault="00E25F43" w:rsidP="00E74387">
      <w:pPr>
        <w:spacing w:after="0"/>
        <w:jc w:val="center"/>
        <w:rPr>
          <w:rFonts w:ascii="Times New Roman" w:hAnsi="Times New Roman"/>
          <w:b/>
          <w:bCs/>
          <w:sz w:val="32"/>
          <w:szCs w:val="18"/>
        </w:rPr>
      </w:pPr>
    </w:p>
    <w:p w14:paraId="4DF505C5" w14:textId="77777777" w:rsidR="00E25F43" w:rsidRPr="0008450D" w:rsidRDefault="00E25F43" w:rsidP="00E74387">
      <w:pPr>
        <w:spacing w:after="0"/>
        <w:jc w:val="center"/>
        <w:rPr>
          <w:rFonts w:ascii="Times New Roman" w:eastAsia="Times New Roman" w:hAnsi="Times New Roman"/>
          <w:i/>
          <w:color w:val="0070C0"/>
          <w:lang w:eastAsia="ru-RU"/>
        </w:rPr>
      </w:pPr>
    </w:p>
    <w:p w14:paraId="3A11917D" w14:textId="77777777" w:rsidR="004545A8" w:rsidRDefault="004545A8" w:rsidP="007427E4">
      <w:pPr>
        <w:pStyle w:val="2c"/>
        <w:tabs>
          <w:tab w:val="left" w:pos="0"/>
          <w:tab w:val="left" w:pos="1080"/>
        </w:tabs>
        <w:ind w:firstLine="709"/>
        <w:rPr>
          <w:color w:val="000000"/>
          <w:sz w:val="24"/>
          <w:szCs w:val="24"/>
        </w:rPr>
      </w:pPr>
    </w:p>
    <w:p w14:paraId="4F073A3B" w14:textId="77777777" w:rsidR="004545A8" w:rsidRPr="00C346B8" w:rsidRDefault="004545A8" w:rsidP="007427E4">
      <w:pPr>
        <w:pStyle w:val="2c"/>
        <w:tabs>
          <w:tab w:val="left" w:pos="0"/>
          <w:tab w:val="left" w:pos="1080"/>
        </w:tabs>
        <w:ind w:firstLine="709"/>
        <w:rPr>
          <w:color w:val="000000"/>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4040"/>
        <w:gridCol w:w="4110"/>
      </w:tblGrid>
      <w:tr w:rsidR="007427E4" w:rsidRPr="0014051E" w14:paraId="6BCFC4AC" w14:textId="77777777" w:rsidTr="00CE4A03">
        <w:tc>
          <w:tcPr>
            <w:tcW w:w="1484" w:type="dxa"/>
            <w:shd w:val="clear" w:color="auto" w:fill="auto"/>
          </w:tcPr>
          <w:p w14:paraId="777864A4" w14:textId="77777777" w:rsidR="007427E4" w:rsidRPr="008536ED" w:rsidRDefault="007427E4" w:rsidP="00CE4A03">
            <w:pPr>
              <w:pStyle w:val="2c"/>
              <w:tabs>
                <w:tab w:val="left" w:pos="0"/>
                <w:tab w:val="left" w:pos="1080"/>
              </w:tabs>
              <w:jc w:val="center"/>
              <w:rPr>
                <w:b/>
                <w:color w:val="000000"/>
                <w:sz w:val="24"/>
                <w:szCs w:val="24"/>
              </w:rPr>
            </w:pPr>
            <w:r w:rsidRPr="008536ED">
              <w:rPr>
                <w:b/>
                <w:color w:val="000000"/>
                <w:sz w:val="24"/>
                <w:szCs w:val="24"/>
              </w:rPr>
              <w:lastRenderedPageBreak/>
              <w:t>Version number</w:t>
            </w:r>
          </w:p>
        </w:tc>
        <w:tc>
          <w:tcPr>
            <w:tcW w:w="4040" w:type="dxa"/>
            <w:shd w:val="clear" w:color="auto" w:fill="auto"/>
          </w:tcPr>
          <w:p w14:paraId="60B9EC0D" w14:textId="77777777" w:rsidR="007427E4" w:rsidRPr="007D770B" w:rsidRDefault="007427E4" w:rsidP="00CE4A03">
            <w:pPr>
              <w:pStyle w:val="2c"/>
              <w:tabs>
                <w:tab w:val="left" w:pos="0"/>
                <w:tab w:val="left" w:pos="1080"/>
              </w:tabs>
              <w:jc w:val="center"/>
              <w:rPr>
                <w:b/>
                <w:color w:val="000000"/>
                <w:sz w:val="24"/>
                <w:szCs w:val="24"/>
                <w:lang w:val="en-US"/>
              </w:rPr>
            </w:pPr>
            <w:r w:rsidRPr="007D770B">
              <w:rPr>
                <w:b/>
                <w:color w:val="000000"/>
                <w:sz w:val="24"/>
                <w:szCs w:val="24"/>
                <w:lang w:val="en-US"/>
              </w:rPr>
              <w:t>Details of the decision of the Bank's body on approval of amendments/additions</w:t>
            </w:r>
          </w:p>
        </w:tc>
        <w:tc>
          <w:tcPr>
            <w:tcW w:w="4110" w:type="dxa"/>
            <w:shd w:val="clear" w:color="auto" w:fill="auto"/>
          </w:tcPr>
          <w:p w14:paraId="57A18DF5" w14:textId="77777777" w:rsidR="007427E4" w:rsidRPr="007D770B" w:rsidRDefault="007427E4" w:rsidP="00CE4A03">
            <w:pPr>
              <w:pStyle w:val="2c"/>
              <w:tabs>
                <w:tab w:val="left" w:pos="0"/>
                <w:tab w:val="left" w:pos="1080"/>
              </w:tabs>
              <w:jc w:val="center"/>
              <w:rPr>
                <w:b/>
                <w:color w:val="000000"/>
                <w:sz w:val="24"/>
                <w:szCs w:val="24"/>
                <w:lang w:val="en-US"/>
              </w:rPr>
            </w:pPr>
            <w:r w:rsidRPr="007D770B">
              <w:rPr>
                <w:b/>
                <w:color w:val="000000"/>
                <w:sz w:val="24"/>
                <w:szCs w:val="24"/>
                <w:lang w:val="en-US"/>
              </w:rPr>
              <w:t>Procedure for enactment of approved amendments/additions</w:t>
            </w:r>
          </w:p>
        </w:tc>
      </w:tr>
      <w:tr w:rsidR="007427E4" w:rsidRPr="0014051E" w14:paraId="4B1A5D79" w14:textId="77777777" w:rsidTr="00CE4A03">
        <w:tc>
          <w:tcPr>
            <w:tcW w:w="1484" w:type="dxa"/>
            <w:shd w:val="clear" w:color="auto" w:fill="auto"/>
          </w:tcPr>
          <w:p w14:paraId="1CB8DE11" w14:textId="77777777" w:rsidR="007427E4" w:rsidRPr="008536ED" w:rsidRDefault="007427E4" w:rsidP="00CE4A03">
            <w:pPr>
              <w:pStyle w:val="2c"/>
              <w:tabs>
                <w:tab w:val="left" w:pos="0"/>
                <w:tab w:val="left" w:pos="1080"/>
              </w:tabs>
              <w:rPr>
                <w:color w:val="000000"/>
                <w:sz w:val="24"/>
                <w:szCs w:val="24"/>
              </w:rPr>
            </w:pPr>
            <w:r w:rsidRPr="008536ED">
              <w:rPr>
                <w:color w:val="000000"/>
                <w:sz w:val="24"/>
                <w:szCs w:val="24"/>
              </w:rPr>
              <w:t>1</w:t>
            </w:r>
          </w:p>
        </w:tc>
        <w:tc>
          <w:tcPr>
            <w:tcW w:w="4040" w:type="dxa"/>
            <w:shd w:val="clear" w:color="auto" w:fill="auto"/>
          </w:tcPr>
          <w:p w14:paraId="7B2BF515" w14:textId="7DADB4A8" w:rsidR="007427E4" w:rsidRPr="007D770B" w:rsidRDefault="00495D4C" w:rsidP="007427E4">
            <w:pPr>
              <w:pStyle w:val="2c"/>
              <w:tabs>
                <w:tab w:val="left" w:pos="0"/>
                <w:tab w:val="left" w:pos="1080"/>
              </w:tabs>
              <w:rPr>
                <w:color w:val="000000"/>
                <w:sz w:val="24"/>
                <w:szCs w:val="24"/>
                <w:lang w:val="en-US"/>
              </w:rPr>
            </w:pPr>
            <w:r w:rsidRPr="007D770B">
              <w:rPr>
                <w:color w:val="000000"/>
                <w:sz w:val="24"/>
                <w:szCs w:val="24"/>
                <w:lang w:val="en-US"/>
              </w:rPr>
              <w:t xml:space="preserve">Resolution of the Board of Directors </w:t>
            </w:r>
            <w:r w:rsidR="007427E4" w:rsidRPr="007D770B">
              <w:rPr>
                <w:color w:val="000000"/>
                <w:sz w:val="24"/>
                <w:szCs w:val="24"/>
                <w:lang w:val="en-US"/>
              </w:rPr>
              <w:t>No. 8 of 10.07.2014</w:t>
            </w:r>
          </w:p>
        </w:tc>
        <w:tc>
          <w:tcPr>
            <w:tcW w:w="4110" w:type="dxa"/>
            <w:shd w:val="clear" w:color="auto" w:fill="auto"/>
          </w:tcPr>
          <w:p w14:paraId="60662EB2" w14:textId="09B41A60" w:rsidR="007427E4" w:rsidRPr="007D770B" w:rsidRDefault="00DB1FE5" w:rsidP="00CE4A03">
            <w:pPr>
              <w:pStyle w:val="2c"/>
              <w:tabs>
                <w:tab w:val="left" w:pos="0"/>
                <w:tab w:val="left" w:pos="1080"/>
              </w:tabs>
              <w:rPr>
                <w:color w:val="000000"/>
                <w:sz w:val="24"/>
                <w:szCs w:val="24"/>
                <w:lang w:val="en-US"/>
              </w:rPr>
            </w:pPr>
            <w:r w:rsidRPr="007D770B">
              <w:rPr>
                <w:color w:val="000000"/>
                <w:sz w:val="24"/>
                <w:szCs w:val="24"/>
                <w:lang w:val="en-US"/>
              </w:rPr>
              <w:t>The decision shall enter into force on the date of its adoption</w:t>
            </w:r>
          </w:p>
        </w:tc>
      </w:tr>
      <w:tr w:rsidR="00DB1FE5" w:rsidRPr="0014051E" w14:paraId="4C29C55F" w14:textId="77777777" w:rsidTr="00CE4A03">
        <w:tc>
          <w:tcPr>
            <w:tcW w:w="1484" w:type="dxa"/>
            <w:shd w:val="clear" w:color="auto" w:fill="auto"/>
          </w:tcPr>
          <w:p w14:paraId="4D80B9A2" w14:textId="77777777" w:rsidR="00DB1FE5" w:rsidRPr="008536ED" w:rsidRDefault="00DB1FE5" w:rsidP="00DB1FE5">
            <w:pPr>
              <w:pStyle w:val="2c"/>
              <w:tabs>
                <w:tab w:val="left" w:pos="0"/>
                <w:tab w:val="left" w:pos="1080"/>
              </w:tabs>
              <w:rPr>
                <w:color w:val="000000"/>
                <w:sz w:val="24"/>
                <w:szCs w:val="24"/>
              </w:rPr>
            </w:pPr>
            <w:r w:rsidRPr="008536ED">
              <w:rPr>
                <w:color w:val="000000"/>
                <w:sz w:val="24"/>
                <w:szCs w:val="24"/>
              </w:rPr>
              <w:t>2</w:t>
            </w:r>
          </w:p>
        </w:tc>
        <w:tc>
          <w:tcPr>
            <w:tcW w:w="4040" w:type="dxa"/>
            <w:shd w:val="clear" w:color="auto" w:fill="auto"/>
          </w:tcPr>
          <w:p w14:paraId="5E5E4B0D" w14:textId="3A96AEA4" w:rsidR="00DB1FE5" w:rsidRPr="007D770B" w:rsidRDefault="00DB1FE5" w:rsidP="00DB1FE5">
            <w:pPr>
              <w:pStyle w:val="2c"/>
              <w:tabs>
                <w:tab w:val="left" w:pos="0"/>
                <w:tab w:val="left" w:pos="1080"/>
              </w:tabs>
              <w:rPr>
                <w:color w:val="000000"/>
                <w:sz w:val="24"/>
                <w:szCs w:val="24"/>
                <w:lang w:val="en-US"/>
              </w:rPr>
            </w:pPr>
            <w:r w:rsidRPr="007D770B">
              <w:rPr>
                <w:color w:val="000000"/>
                <w:sz w:val="24"/>
                <w:szCs w:val="24"/>
                <w:lang w:val="en-US"/>
              </w:rPr>
              <w:t>Decision of the Board of Directors</w:t>
            </w:r>
            <w:r w:rsidR="0014323F">
              <w:rPr>
                <w:color w:val="000000"/>
                <w:sz w:val="24"/>
                <w:szCs w:val="24"/>
                <w:lang w:val="en-US"/>
              </w:rPr>
              <w:t xml:space="preserve"> </w:t>
            </w:r>
            <w:r w:rsidRPr="007D770B">
              <w:rPr>
                <w:color w:val="000000"/>
                <w:sz w:val="24"/>
                <w:szCs w:val="24"/>
                <w:lang w:val="en-US"/>
              </w:rPr>
              <w:t>№  12 dated 31.07.2015</w:t>
            </w:r>
          </w:p>
        </w:tc>
        <w:tc>
          <w:tcPr>
            <w:tcW w:w="4110" w:type="dxa"/>
            <w:shd w:val="clear" w:color="auto" w:fill="auto"/>
          </w:tcPr>
          <w:p w14:paraId="62720B56" w14:textId="764E052A" w:rsidR="00DB1FE5" w:rsidRPr="007D770B" w:rsidRDefault="00DB1FE5" w:rsidP="00DB1FE5">
            <w:pPr>
              <w:pStyle w:val="2c"/>
              <w:tabs>
                <w:tab w:val="left" w:pos="0"/>
                <w:tab w:val="left" w:pos="1080"/>
              </w:tabs>
              <w:rPr>
                <w:color w:val="000000"/>
                <w:sz w:val="24"/>
                <w:szCs w:val="24"/>
                <w:lang w:val="en-US"/>
              </w:rPr>
            </w:pPr>
            <w:r w:rsidRPr="007D770B">
              <w:rPr>
                <w:color w:val="000000"/>
                <w:sz w:val="24"/>
                <w:szCs w:val="24"/>
                <w:lang w:val="en-US"/>
              </w:rPr>
              <w:t>The decision shall enter into force on the date of its adoption</w:t>
            </w:r>
          </w:p>
        </w:tc>
      </w:tr>
      <w:tr w:rsidR="001605E0" w:rsidRPr="0014051E" w14:paraId="541E8078" w14:textId="77777777" w:rsidTr="00CE4A03">
        <w:tc>
          <w:tcPr>
            <w:tcW w:w="1484" w:type="dxa"/>
            <w:shd w:val="clear" w:color="auto" w:fill="auto"/>
          </w:tcPr>
          <w:p w14:paraId="7985B343" w14:textId="77777777" w:rsidR="00DB1FE5" w:rsidRPr="001605E0" w:rsidRDefault="00DB1FE5" w:rsidP="00DB1FE5">
            <w:pPr>
              <w:pStyle w:val="2c"/>
              <w:tabs>
                <w:tab w:val="left" w:pos="0"/>
                <w:tab w:val="left" w:pos="1080"/>
              </w:tabs>
              <w:rPr>
                <w:sz w:val="24"/>
                <w:szCs w:val="24"/>
              </w:rPr>
            </w:pPr>
            <w:r w:rsidRPr="001605E0">
              <w:rPr>
                <w:sz w:val="24"/>
                <w:szCs w:val="24"/>
              </w:rPr>
              <w:t>3</w:t>
            </w:r>
          </w:p>
        </w:tc>
        <w:tc>
          <w:tcPr>
            <w:tcW w:w="4040" w:type="dxa"/>
            <w:shd w:val="clear" w:color="auto" w:fill="auto"/>
          </w:tcPr>
          <w:p w14:paraId="193B04CF" w14:textId="33BC863C" w:rsidR="00DB1FE5" w:rsidRPr="007D770B" w:rsidRDefault="00DB1FE5" w:rsidP="00DB1FE5">
            <w:pPr>
              <w:pStyle w:val="2c"/>
              <w:tabs>
                <w:tab w:val="left" w:pos="0"/>
                <w:tab w:val="left" w:pos="1080"/>
              </w:tabs>
              <w:rPr>
                <w:sz w:val="24"/>
                <w:szCs w:val="24"/>
                <w:lang w:val="en-US"/>
              </w:rPr>
            </w:pPr>
            <w:r w:rsidRPr="007D770B">
              <w:rPr>
                <w:sz w:val="24"/>
                <w:szCs w:val="24"/>
                <w:lang w:val="en-US"/>
              </w:rPr>
              <w:t>Resolution of the Board of Directors No. 17 of 22.12.2017</w:t>
            </w:r>
          </w:p>
        </w:tc>
        <w:tc>
          <w:tcPr>
            <w:tcW w:w="4110" w:type="dxa"/>
            <w:shd w:val="clear" w:color="auto" w:fill="auto"/>
          </w:tcPr>
          <w:p w14:paraId="0834293B" w14:textId="047DE07B" w:rsidR="00DB1FE5" w:rsidRPr="007D770B" w:rsidRDefault="00DB1FE5" w:rsidP="00DB1FE5">
            <w:pPr>
              <w:pStyle w:val="2c"/>
              <w:tabs>
                <w:tab w:val="left" w:pos="0"/>
                <w:tab w:val="left" w:pos="1080"/>
              </w:tabs>
              <w:rPr>
                <w:sz w:val="24"/>
                <w:szCs w:val="24"/>
                <w:lang w:val="en-US"/>
              </w:rPr>
            </w:pPr>
            <w:r w:rsidRPr="007D770B">
              <w:rPr>
                <w:sz w:val="24"/>
                <w:szCs w:val="24"/>
                <w:lang w:val="en-US"/>
              </w:rPr>
              <w:t>The decision shall enter into force on the date of its adoption</w:t>
            </w:r>
          </w:p>
        </w:tc>
      </w:tr>
      <w:tr w:rsidR="00DB1FE5" w:rsidRPr="0014051E" w14:paraId="0EAE5779" w14:textId="77777777" w:rsidTr="00CE4A03">
        <w:tc>
          <w:tcPr>
            <w:tcW w:w="1484" w:type="dxa"/>
            <w:shd w:val="clear" w:color="auto" w:fill="auto"/>
          </w:tcPr>
          <w:p w14:paraId="313352BD" w14:textId="77777777" w:rsidR="00DB1FE5" w:rsidRPr="001605E0" w:rsidRDefault="00DB1FE5" w:rsidP="00DB1FE5">
            <w:pPr>
              <w:pStyle w:val="2c"/>
              <w:tabs>
                <w:tab w:val="left" w:pos="0"/>
                <w:tab w:val="left" w:pos="1080"/>
              </w:tabs>
              <w:rPr>
                <w:sz w:val="24"/>
                <w:szCs w:val="24"/>
              </w:rPr>
            </w:pPr>
            <w:r w:rsidRPr="001605E0">
              <w:rPr>
                <w:sz w:val="24"/>
                <w:szCs w:val="24"/>
              </w:rPr>
              <w:t>4</w:t>
            </w:r>
          </w:p>
        </w:tc>
        <w:tc>
          <w:tcPr>
            <w:tcW w:w="4040" w:type="dxa"/>
            <w:shd w:val="clear" w:color="auto" w:fill="auto"/>
          </w:tcPr>
          <w:p w14:paraId="18F9D9A8" w14:textId="77D4D12D" w:rsidR="00DB1FE5" w:rsidRPr="007D770B" w:rsidRDefault="00DB1FE5" w:rsidP="00DB1FE5">
            <w:pPr>
              <w:pStyle w:val="2c"/>
              <w:tabs>
                <w:tab w:val="left" w:pos="0"/>
                <w:tab w:val="left" w:pos="1080"/>
              </w:tabs>
              <w:rPr>
                <w:sz w:val="24"/>
                <w:szCs w:val="24"/>
                <w:lang w:val="en-US"/>
              </w:rPr>
            </w:pPr>
            <w:r w:rsidRPr="007D770B">
              <w:rPr>
                <w:sz w:val="24"/>
                <w:szCs w:val="24"/>
                <w:lang w:val="en-US"/>
              </w:rPr>
              <w:t>Resolution of the Board of Directors No. 14 of 26.11.2018</w:t>
            </w:r>
          </w:p>
        </w:tc>
        <w:tc>
          <w:tcPr>
            <w:tcW w:w="4110" w:type="dxa"/>
            <w:shd w:val="clear" w:color="auto" w:fill="auto"/>
          </w:tcPr>
          <w:p w14:paraId="441FAFF6" w14:textId="2869DEAA" w:rsidR="00DB1FE5" w:rsidRPr="007D770B" w:rsidRDefault="00DB1FE5" w:rsidP="00DB1FE5">
            <w:pPr>
              <w:pStyle w:val="2c"/>
              <w:tabs>
                <w:tab w:val="left" w:pos="0"/>
                <w:tab w:val="left" w:pos="1080"/>
              </w:tabs>
              <w:rPr>
                <w:sz w:val="24"/>
                <w:szCs w:val="24"/>
                <w:lang w:val="en-US"/>
              </w:rPr>
            </w:pPr>
            <w:r w:rsidRPr="007D770B">
              <w:rPr>
                <w:sz w:val="24"/>
                <w:szCs w:val="24"/>
                <w:lang w:val="en-US"/>
              </w:rPr>
              <w:t>The decision shall enter into force on the date of its adoption</w:t>
            </w:r>
          </w:p>
        </w:tc>
      </w:tr>
      <w:tr w:rsidR="00BB03D8" w:rsidRPr="0014051E" w14:paraId="23E37B52" w14:textId="77777777" w:rsidTr="00CE4A03">
        <w:tc>
          <w:tcPr>
            <w:tcW w:w="1484" w:type="dxa"/>
            <w:shd w:val="clear" w:color="auto" w:fill="auto"/>
          </w:tcPr>
          <w:p w14:paraId="67B86EDC" w14:textId="68FECAD5" w:rsidR="00CA25D0" w:rsidRPr="00262DDB" w:rsidRDefault="00CA25D0" w:rsidP="00CA25D0">
            <w:pPr>
              <w:pStyle w:val="2c"/>
              <w:tabs>
                <w:tab w:val="left" w:pos="0"/>
                <w:tab w:val="left" w:pos="1080"/>
              </w:tabs>
              <w:rPr>
                <w:sz w:val="24"/>
                <w:szCs w:val="24"/>
              </w:rPr>
            </w:pPr>
            <w:r w:rsidRPr="00262DDB">
              <w:rPr>
                <w:sz w:val="24"/>
                <w:szCs w:val="24"/>
              </w:rPr>
              <w:t>5</w:t>
            </w:r>
          </w:p>
        </w:tc>
        <w:tc>
          <w:tcPr>
            <w:tcW w:w="4040" w:type="dxa"/>
            <w:shd w:val="clear" w:color="auto" w:fill="auto"/>
          </w:tcPr>
          <w:p w14:paraId="2981DF84" w14:textId="61497DD9" w:rsidR="00CA25D0" w:rsidRPr="007D770B" w:rsidRDefault="00CA25D0" w:rsidP="004F035D">
            <w:pPr>
              <w:pStyle w:val="2c"/>
              <w:tabs>
                <w:tab w:val="left" w:pos="0"/>
                <w:tab w:val="left" w:pos="1080"/>
              </w:tabs>
              <w:rPr>
                <w:sz w:val="24"/>
                <w:szCs w:val="24"/>
                <w:lang w:val="en-US"/>
              </w:rPr>
            </w:pPr>
            <w:r w:rsidRPr="007D770B">
              <w:rPr>
                <w:sz w:val="24"/>
                <w:szCs w:val="24"/>
                <w:lang w:val="en-US"/>
              </w:rPr>
              <w:t xml:space="preserve">Resolution of the Board of Directors No. </w:t>
            </w:r>
            <w:r w:rsidR="004F035D" w:rsidRPr="007D770B">
              <w:rPr>
                <w:sz w:val="24"/>
                <w:szCs w:val="24"/>
                <w:lang w:val="en-US"/>
              </w:rPr>
              <w:t xml:space="preserve">13 </w:t>
            </w:r>
            <w:r w:rsidRPr="007D770B">
              <w:rPr>
                <w:sz w:val="24"/>
                <w:szCs w:val="24"/>
                <w:lang w:val="en-US"/>
              </w:rPr>
              <w:t xml:space="preserve">of </w:t>
            </w:r>
            <w:r w:rsidR="004F035D" w:rsidRPr="007D770B">
              <w:rPr>
                <w:sz w:val="24"/>
                <w:szCs w:val="24"/>
                <w:lang w:val="en-US"/>
              </w:rPr>
              <w:t>31.10</w:t>
            </w:r>
            <w:r w:rsidRPr="007D770B">
              <w:rPr>
                <w:sz w:val="24"/>
                <w:szCs w:val="24"/>
                <w:lang w:val="en-US"/>
              </w:rPr>
              <w:t>.2019</w:t>
            </w:r>
          </w:p>
        </w:tc>
        <w:tc>
          <w:tcPr>
            <w:tcW w:w="4110" w:type="dxa"/>
            <w:shd w:val="clear" w:color="auto" w:fill="auto"/>
          </w:tcPr>
          <w:p w14:paraId="76688C83" w14:textId="08D2593D" w:rsidR="00CA25D0" w:rsidRPr="007D770B" w:rsidRDefault="00CA25D0" w:rsidP="00CA25D0">
            <w:pPr>
              <w:pStyle w:val="2c"/>
              <w:tabs>
                <w:tab w:val="left" w:pos="0"/>
                <w:tab w:val="left" w:pos="1080"/>
              </w:tabs>
              <w:rPr>
                <w:sz w:val="24"/>
                <w:szCs w:val="24"/>
                <w:lang w:val="en-US"/>
              </w:rPr>
            </w:pPr>
            <w:r w:rsidRPr="007D770B">
              <w:rPr>
                <w:sz w:val="24"/>
                <w:szCs w:val="24"/>
                <w:lang w:val="en-US"/>
              </w:rPr>
              <w:t>The decision shall enter into force on the date of its adoption</w:t>
            </w:r>
          </w:p>
        </w:tc>
      </w:tr>
      <w:tr w:rsidR="00262DDB" w:rsidRPr="0014051E" w14:paraId="376B8612" w14:textId="77777777" w:rsidTr="00CE4A03">
        <w:tc>
          <w:tcPr>
            <w:tcW w:w="1484" w:type="dxa"/>
            <w:shd w:val="clear" w:color="auto" w:fill="auto"/>
          </w:tcPr>
          <w:p w14:paraId="1CDDD8AE" w14:textId="77777777" w:rsidR="00262DDB" w:rsidRPr="00B90019" w:rsidRDefault="00262DDB" w:rsidP="00262DDB">
            <w:pPr>
              <w:pStyle w:val="2c"/>
              <w:tabs>
                <w:tab w:val="left" w:pos="0"/>
                <w:tab w:val="left" w:pos="1080"/>
              </w:tabs>
              <w:rPr>
                <w:sz w:val="24"/>
                <w:szCs w:val="22"/>
              </w:rPr>
            </w:pPr>
            <w:r w:rsidRPr="00B90019">
              <w:rPr>
                <w:sz w:val="24"/>
                <w:szCs w:val="22"/>
              </w:rPr>
              <w:t>6</w:t>
            </w:r>
          </w:p>
          <w:p w14:paraId="0C465092" w14:textId="33033390" w:rsidR="00262DDB" w:rsidRPr="00B90019" w:rsidRDefault="00262DDB" w:rsidP="00262DDB">
            <w:pPr>
              <w:pStyle w:val="2c"/>
              <w:tabs>
                <w:tab w:val="left" w:pos="0"/>
                <w:tab w:val="left" w:pos="1080"/>
              </w:tabs>
              <w:rPr>
                <w:sz w:val="24"/>
                <w:szCs w:val="22"/>
              </w:rPr>
            </w:pPr>
          </w:p>
        </w:tc>
        <w:tc>
          <w:tcPr>
            <w:tcW w:w="4040" w:type="dxa"/>
            <w:shd w:val="clear" w:color="auto" w:fill="auto"/>
          </w:tcPr>
          <w:p w14:paraId="008DB288" w14:textId="2A36DF10" w:rsidR="00262DDB" w:rsidRPr="007D770B" w:rsidRDefault="00262DDB" w:rsidP="001C6A16">
            <w:pPr>
              <w:pStyle w:val="2c"/>
              <w:tabs>
                <w:tab w:val="left" w:pos="0"/>
                <w:tab w:val="left" w:pos="1080"/>
              </w:tabs>
              <w:rPr>
                <w:sz w:val="24"/>
                <w:szCs w:val="22"/>
                <w:lang w:val="en-US"/>
              </w:rPr>
            </w:pPr>
            <w:r w:rsidRPr="007D770B">
              <w:rPr>
                <w:sz w:val="24"/>
                <w:szCs w:val="22"/>
                <w:lang w:val="en-US"/>
              </w:rPr>
              <w:t xml:space="preserve">Resolution of the Board of Directors No. </w:t>
            </w:r>
            <w:r w:rsidR="001C6A16" w:rsidRPr="007D770B">
              <w:rPr>
                <w:sz w:val="24"/>
                <w:szCs w:val="22"/>
                <w:lang w:val="en-US"/>
              </w:rPr>
              <w:t xml:space="preserve">13 </w:t>
            </w:r>
            <w:r w:rsidRPr="007D770B">
              <w:rPr>
                <w:sz w:val="24"/>
                <w:szCs w:val="22"/>
                <w:lang w:val="en-US"/>
              </w:rPr>
              <w:t xml:space="preserve">of </w:t>
            </w:r>
            <w:r w:rsidR="001C6A16" w:rsidRPr="007D770B">
              <w:rPr>
                <w:sz w:val="24"/>
                <w:szCs w:val="22"/>
                <w:lang w:val="en-US"/>
              </w:rPr>
              <w:t>03</w:t>
            </w:r>
            <w:r w:rsidRPr="007D770B">
              <w:rPr>
                <w:sz w:val="24"/>
                <w:szCs w:val="22"/>
                <w:lang w:val="en-US"/>
              </w:rPr>
              <w:t>.</w:t>
            </w:r>
            <w:r w:rsidR="001C6A16" w:rsidRPr="007D770B">
              <w:rPr>
                <w:sz w:val="24"/>
                <w:szCs w:val="22"/>
                <w:lang w:val="en-US"/>
              </w:rPr>
              <w:t>12</w:t>
            </w:r>
            <w:r w:rsidRPr="007D770B">
              <w:rPr>
                <w:sz w:val="24"/>
                <w:szCs w:val="22"/>
                <w:lang w:val="en-US"/>
              </w:rPr>
              <w:t>.2020</w:t>
            </w:r>
          </w:p>
        </w:tc>
        <w:tc>
          <w:tcPr>
            <w:tcW w:w="4110" w:type="dxa"/>
            <w:shd w:val="clear" w:color="auto" w:fill="auto"/>
          </w:tcPr>
          <w:p w14:paraId="5706B571" w14:textId="2350BE80" w:rsidR="00262DDB" w:rsidRPr="007D770B" w:rsidRDefault="00262DDB" w:rsidP="00262DDB">
            <w:pPr>
              <w:pStyle w:val="2c"/>
              <w:tabs>
                <w:tab w:val="left" w:pos="0"/>
                <w:tab w:val="left" w:pos="1080"/>
              </w:tabs>
              <w:rPr>
                <w:sz w:val="24"/>
                <w:szCs w:val="22"/>
                <w:lang w:val="en-US"/>
              </w:rPr>
            </w:pPr>
            <w:r w:rsidRPr="007D770B">
              <w:rPr>
                <w:sz w:val="24"/>
                <w:szCs w:val="22"/>
                <w:lang w:val="en-US"/>
              </w:rPr>
              <w:t>The decision shall enter into force on the date of its adoption</w:t>
            </w:r>
          </w:p>
        </w:tc>
      </w:tr>
      <w:tr w:rsidR="00B90019" w:rsidRPr="0014051E" w14:paraId="3772FCB7" w14:textId="77777777" w:rsidTr="00CE4A03">
        <w:tc>
          <w:tcPr>
            <w:tcW w:w="1484" w:type="dxa"/>
            <w:shd w:val="clear" w:color="auto" w:fill="auto"/>
          </w:tcPr>
          <w:p w14:paraId="5BFB2CB9" w14:textId="5155C355" w:rsidR="00B90019" w:rsidRPr="000978A6" w:rsidRDefault="00B90019" w:rsidP="00B90019">
            <w:pPr>
              <w:pStyle w:val="2c"/>
              <w:tabs>
                <w:tab w:val="left" w:pos="0"/>
                <w:tab w:val="left" w:pos="1080"/>
              </w:tabs>
              <w:rPr>
                <w:sz w:val="24"/>
                <w:szCs w:val="22"/>
              </w:rPr>
            </w:pPr>
            <w:r w:rsidRPr="000978A6">
              <w:rPr>
                <w:sz w:val="24"/>
                <w:szCs w:val="22"/>
              </w:rPr>
              <w:t>7</w:t>
            </w:r>
          </w:p>
        </w:tc>
        <w:tc>
          <w:tcPr>
            <w:tcW w:w="4040" w:type="dxa"/>
            <w:shd w:val="clear" w:color="auto" w:fill="auto"/>
          </w:tcPr>
          <w:p w14:paraId="4DEFA560" w14:textId="326DEE55" w:rsidR="00B90019" w:rsidRPr="007D770B" w:rsidRDefault="00B90019" w:rsidP="00B90019">
            <w:pPr>
              <w:pStyle w:val="2c"/>
              <w:tabs>
                <w:tab w:val="left" w:pos="0"/>
                <w:tab w:val="left" w:pos="1080"/>
              </w:tabs>
              <w:rPr>
                <w:sz w:val="24"/>
                <w:szCs w:val="22"/>
                <w:lang w:val="en-US"/>
              </w:rPr>
            </w:pPr>
            <w:r w:rsidRPr="007D770B">
              <w:rPr>
                <w:sz w:val="24"/>
                <w:szCs w:val="22"/>
                <w:lang w:val="en-US"/>
              </w:rPr>
              <w:t>Resolution of the Board of Directors No. 2 dated 04.03.2021</w:t>
            </w:r>
          </w:p>
        </w:tc>
        <w:tc>
          <w:tcPr>
            <w:tcW w:w="4110" w:type="dxa"/>
            <w:shd w:val="clear" w:color="auto" w:fill="auto"/>
          </w:tcPr>
          <w:p w14:paraId="7DA82A7D" w14:textId="3199E946" w:rsidR="00B90019" w:rsidRPr="007D770B" w:rsidRDefault="00B90019" w:rsidP="00B90019">
            <w:pPr>
              <w:pStyle w:val="2c"/>
              <w:tabs>
                <w:tab w:val="left" w:pos="0"/>
                <w:tab w:val="left" w:pos="1080"/>
              </w:tabs>
              <w:rPr>
                <w:sz w:val="24"/>
                <w:szCs w:val="22"/>
                <w:lang w:val="en-US"/>
              </w:rPr>
            </w:pPr>
            <w:r w:rsidRPr="007D770B">
              <w:rPr>
                <w:sz w:val="24"/>
                <w:szCs w:val="22"/>
                <w:lang w:val="en-US"/>
              </w:rPr>
              <w:t>The decision shall enter into force on the date of its adoption</w:t>
            </w:r>
          </w:p>
        </w:tc>
      </w:tr>
      <w:tr w:rsidR="000978A6" w:rsidRPr="0014051E" w14:paraId="5047158F" w14:textId="77777777" w:rsidTr="00CE4A03">
        <w:tc>
          <w:tcPr>
            <w:tcW w:w="1484" w:type="dxa"/>
            <w:shd w:val="clear" w:color="auto" w:fill="auto"/>
          </w:tcPr>
          <w:p w14:paraId="23BB1684" w14:textId="4A02BB08" w:rsidR="000978A6" w:rsidRPr="000978A6" w:rsidRDefault="000978A6" w:rsidP="000978A6">
            <w:pPr>
              <w:pStyle w:val="2c"/>
              <w:tabs>
                <w:tab w:val="left" w:pos="0"/>
                <w:tab w:val="left" w:pos="1080"/>
              </w:tabs>
              <w:rPr>
                <w:color w:val="548DD4" w:themeColor="text2" w:themeTint="99"/>
                <w:sz w:val="24"/>
                <w:szCs w:val="22"/>
                <w:lang w:val="en-US"/>
              </w:rPr>
            </w:pPr>
            <w:r w:rsidRPr="000978A6">
              <w:rPr>
                <w:color w:val="548DD4" w:themeColor="text2" w:themeTint="99"/>
                <w:sz w:val="24"/>
                <w:szCs w:val="22"/>
                <w:lang w:val="en-US"/>
              </w:rPr>
              <w:t>8</w:t>
            </w:r>
          </w:p>
        </w:tc>
        <w:tc>
          <w:tcPr>
            <w:tcW w:w="4040" w:type="dxa"/>
            <w:shd w:val="clear" w:color="auto" w:fill="auto"/>
          </w:tcPr>
          <w:p w14:paraId="5B5B821F" w14:textId="05125F2E" w:rsidR="000978A6" w:rsidRPr="007D770B" w:rsidRDefault="000978A6" w:rsidP="000978A6">
            <w:pPr>
              <w:pStyle w:val="2c"/>
              <w:tabs>
                <w:tab w:val="left" w:pos="0"/>
                <w:tab w:val="left" w:pos="1080"/>
              </w:tabs>
              <w:rPr>
                <w:color w:val="548DD4" w:themeColor="text2" w:themeTint="99"/>
                <w:sz w:val="24"/>
                <w:szCs w:val="22"/>
                <w:lang w:val="en-US"/>
              </w:rPr>
            </w:pPr>
            <w:r w:rsidRPr="007D770B">
              <w:rPr>
                <w:color w:val="548DD4" w:themeColor="text2" w:themeTint="99"/>
                <w:sz w:val="24"/>
                <w:szCs w:val="22"/>
                <w:lang w:val="en-US"/>
              </w:rPr>
              <w:t>Resolution of the Board of Directors No. 7 dated 31.05.2024</w:t>
            </w:r>
          </w:p>
        </w:tc>
        <w:tc>
          <w:tcPr>
            <w:tcW w:w="4110" w:type="dxa"/>
            <w:shd w:val="clear" w:color="auto" w:fill="auto"/>
          </w:tcPr>
          <w:p w14:paraId="609BB3A1" w14:textId="267EB6DA" w:rsidR="000978A6" w:rsidRPr="007D770B" w:rsidRDefault="000978A6" w:rsidP="000978A6">
            <w:pPr>
              <w:pStyle w:val="2c"/>
              <w:tabs>
                <w:tab w:val="left" w:pos="0"/>
                <w:tab w:val="left" w:pos="1080"/>
              </w:tabs>
              <w:rPr>
                <w:color w:val="548DD4" w:themeColor="text2" w:themeTint="99"/>
                <w:sz w:val="24"/>
                <w:szCs w:val="22"/>
                <w:lang w:val="en-US"/>
              </w:rPr>
            </w:pPr>
            <w:r w:rsidRPr="007D770B">
              <w:rPr>
                <w:color w:val="548DD4" w:themeColor="text2" w:themeTint="99"/>
                <w:sz w:val="24"/>
                <w:szCs w:val="22"/>
                <w:lang w:val="en-US"/>
              </w:rPr>
              <w:t>The decision shall enter into force on the date of its adoption</w:t>
            </w:r>
          </w:p>
        </w:tc>
      </w:tr>
    </w:tbl>
    <w:p w14:paraId="2DA53FE4" w14:textId="77777777" w:rsidR="00C348B6" w:rsidRPr="007D770B" w:rsidRDefault="00C348B6" w:rsidP="00C348B6">
      <w:pPr>
        <w:spacing w:before="240" w:line="240" w:lineRule="auto"/>
        <w:jc w:val="center"/>
        <w:rPr>
          <w:rFonts w:ascii="Times New Roman" w:hAnsi="Times New Roman"/>
          <w:b/>
          <w:sz w:val="18"/>
          <w:szCs w:val="18"/>
          <w:lang w:val="en-US"/>
        </w:rPr>
      </w:pPr>
    </w:p>
    <w:p w14:paraId="6B1CE4F2" w14:textId="77777777" w:rsidR="001C6A16" w:rsidRPr="007D770B" w:rsidRDefault="001E200E" w:rsidP="001E200E">
      <w:pPr>
        <w:spacing w:after="0" w:line="240" w:lineRule="auto"/>
        <w:ind w:left="0"/>
        <w:jc w:val="center"/>
        <w:rPr>
          <w:rFonts w:ascii="Times New Roman" w:eastAsia="Times New Roman" w:hAnsi="Times New Roman"/>
          <w:i/>
          <w:snapToGrid w:val="0"/>
          <w:sz w:val="22"/>
          <w:szCs w:val="22"/>
          <w:lang w:val="en-US" w:eastAsia="ru-RU"/>
        </w:rPr>
      </w:pPr>
      <w:r w:rsidRPr="007D770B">
        <w:rPr>
          <w:rFonts w:ascii="Times New Roman" w:eastAsia="Times New Roman" w:hAnsi="Times New Roman"/>
          <w:i/>
          <w:snapToGrid w:val="0"/>
          <w:sz w:val="22"/>
          <w:szCs w:val="22"/>
          <w:lang w:val="en-US" w:eastAsia="ru-RU"/>
        </w:rPr>
        <w:t xml:space="preserve">(Throughout the Accounting Policy, the words "inventory" are the following </w:t>
      </w:r>
    </w:p>
    <w:p w14:paraId="60FA436C" w14:textId="77777777" w:rsidR="001C6A16" w:rsidRPr="007D770B" w:rsidRDefault="001E200E" w:rsidP="001E200E">
      <w:pPr>
        <w:spacing w:after="0" w:line="240" w:lineRule="auto"/>
        <w:ind w:left="0"/>
        <w:jc w:val="center"/>
        <w:rPr>
          <w:rFonts w:ascii="Times New Roman" w:eastAsia="Times New Roman" w:hAnsi="Times New Roman"/>
          <w:i/>
          <w:snapToGrid w:val="0"/>
          <w:sz w:val="22"/>
          <w:szCs w:val="22"/>
          <w:lang w:val="en-US" w:eastAsia="ru-RU"/>
        </w:rPr>
      </w:pPr>
      <w:r w:rsidRPr="007D770B">
        <w:rPr>
          <w:rFonts w:ascii="Times New Roman" w:eastAsia="Times New Roman" w:hAnsi="Times New Roman"/>
          <w:i/>
          <w:snapToGrid w:val="0"/>
          <w:sz w:val="22"/>
          <w:szCs w:val="22"/>
          <w:lang w:val="en-US" w:eastAsia="ru-RU"/>
        </w:rPr>
        <w:t xml:space="preserve">and the abbreviation "TMP" is </w:t>
      </w:r>
      <w:r w:rsidR="00E96C45" w:rsidRPr="007D770B">
        <w:rPr>
          <w:rFonts w:ascii="Times New Roman" w:eastAsia="Times New Roman" w:hAnsi="Times New Roman"/>
          <w:i/>
          <w:snapToGrid w:val="0"/>
          <w:sz w:val="22"/>
          <w:szCs w:val="22"/>
          <w:lang w:val="en-US" w:eastAsia="ru-RU"/>
        </w:rPr>
        <w:t>replaced</w:t>
      </w:r>
      <w:r w:rsidRPr="007D770B">
        <w:rPr>
          <w:rFonts w:ascii="Times New Roman" w:eastAsia="Times New Roman" w:hAnsi="Times New Roman"/>
          <w:i/>
          <w:snapToGrid w:val="0"/>
          <w:sz w:val="22"/>
          <w:szCs w:val="22"/>
          <w:lang w:val="en-US" w:eastAsia="ru-RU"/>
        </w:rPr>
        <w:t xml:space="preserve"> by "reserves" </w:t>
      </w:r>
      <w:r w:rsidR="00E96C45" w:rsidRPr="007D770B">
        <w:rPr>
          <w:rFonts w:ascii="Times New Roman" w:eastAsia="Times New Roman" w:hAnsi="Times New Roman"/>
          <w:i/>
          <w:snapToGrid w:val="0"/>
          <w:sz w:val="22"/>
          <w:szCs w:val="22"/>
          <w:lang w:val="en-US" w:eastAsia="ru-RU"/>
        </w:rPr>
        <w:t xml:space="preserve">in accordance with the following </w:t>
      </w:r>
    </w:p>
    <w:p w14:paraId="1DC4D280" w14:textId="39F2CE10" w:rsidR="001E200E" w:rsidRPr="007D770B" w:rsidRDefault="00E96C45" w:rsidP="001E200E">
      <w:pPr>
        <w:spacing w:after="0" w:line="240" w:lineRule="auto"/>
        <w:ind w:left="0"/>
        <w:jc w:val="center"/>
        <w:rPr>
          <w:rFonts w:ascii="Times New Roman" w:eastAsia="Times New Roman" w:hAnsi="Times New Roman"/>
          <w:i/>
          <w:snapToGrid w:val="0"/>
          <w:color w:val="3366FF"/>
          <w:sz w:val="22"/>
          <w:szCs w:val="22"/>
          <w:lang w:val="en-US" w:eastAsia="ru-RU"/>
        </w:rPr>
      </w:pPr>
      <w:r w:rsidRPr="007D770B">
        <w:rPr>
          <w:rFonts w:ascii="Times New Roman" w:eastAsia="Times New Roman" w:hAnsi="Times New Roman"/>
          <w:i/>
          <w:snapToGrid w:val="0"/>
          <w:sz w:val="22"/>
          <w:szCs w:val="22"/>
          <w:lang w:val="en-US" w:eastAsia="ru-RU"/>
        </w:rPr>
        <w:t xml:space="preserve">with the decision of the Board of Directors dated </w:t>
      </w:r>
      <w:r w:rsidR="001E200E" w:rsidRPr="007D770B">
        <w:rPr>
          <w:rFonts w:ascii="Times New Roman" w:eastAsia="Times New Roman" w:hAnsi="Times New Roman"/>
          <w:i/>
          <w:snapToGrid w:val="0"/>
          <w:sz w:val="22"/>
          <w:szCs w:val="22"/>
          <w:lang w:val="en-US" w:eastAsia="ru-RU"/>
        </w:rPr>
        <w:t xml:space="preserve">26.11.2018 </w:t>
      </w:r>
      <w:r w:rsidRPr="007D770B">
        <w:rPr>
          <w:rFonts w:ascii="Times New Roman" w:eastAsia="Times New Roman" w:hAnsi="Times New Roman"/>
          <w:i/>
          <w:snapToGrid w:val="0"/>
          <w:sz w:val="22"/>
          <w:szCs w:val="22"/>
          <w:lang w:val="en-US" w:eastAsia="ru-RU"/>
        </w:rPr>
        <w:t>(Minutes No. 14</w:t>
      </w:r>
      <w:r w:rsidR="001E200E" w:rsidRPr="007D770B">
        <w:rPr>
          <w:rFonts w:ascii="Times New Roman" w:eastAsia="Times New Roman" w:hAnsi="Times New Roman"/>
          <w:i/>
          <w:snapToGrid w:val="0"/>
          <w:sz w:val="22"/>
          <w:szCs w:val="22"/>
          <w:lang w:val="en-US" w:eastAsia="ru-RU"/>
        </w:rPr>
        <w:t>)</w:t>
      </w:r>
      <w:r w:rsidR="00FA4FD2" w:rsidRPr="007D770B">
        <w:rPr>
          <w:rFonts w:ascii="Times New Roman" w:eastAsia="Times New Roman" w:hAnsi="Times New Roman"/>
          <w:i/>
          <w:snapToGrid w:val="0"/>
          <w:sz w:val="22"/>
          <w:szCs w:val="22"/>
          <w:lang w:val="en-US" w:eastAsia="ru-RU"/>
        </w:rPr>
        <w:t>,</w:t>
      </w:r>
    </w:p>
    <w:p w14:paraId="2D1F2255" w14:textId="6DA6F1FD" w:rsidR="0013433C" w:rsidRPr="007D770B" w:rsidRDefault="0013433C" w:rsidP="0013433C">
      <w:pPr>
        <w:spacing w:after="0" w:line="240" w:lineRule="auto"/>
        <w:ind w:left="0"/>
        <w:jc w:val="center"/>
        <w:rPr>
          <w:rFonts w:ascii="Times New Roman" w:eastAsia="Times New Roman" w:hAnsi="Times New Roman"/>
          <w:i/>
          <w:snapToGrid w:val="0"/>
          <w:color w:val="3366FF"/>
          <w:sz w:val="22"/>
          <w:szCs w:val="22"/>
          <w:lang w:val="en-US" w:eastAsia="ru-RU"/>
        </w:rPr>
      </w:pPr>
      <w:r w:rsidRPr="007D770B">
        <w:rPr>
          <w:rFonts w:ascii="Times New Roman" w:eastAsia="Times New Roman" w:hAnsi="Times New Roman"/>
          <w:i/>
          <w:snapToGrid w:val="0"/>
          <w:color w:val="3366FF"/>
          <w:sz w:val="22"/>
          <w:szCs w:val="22"/>
          <w:lang w:val="en-US" w:eastAsia="ru-RU"/>
        </w:rPr>
        <w:t>throughout the text of the Accounting Policy the words "Zhilstroysberbank of Kazakhstan</w:t>
      </w:r>
      <w:r w:rsidR="004D12FE">
        <w:rPr>
          <w:rFonts w:ascii="Times New Roman" w:eastAsia="Times New Roman" w:hAnsi="Times New Roman"/>
          <w:i/>
          <w:snapToGrid w:val="0"/>
          <w:color w:val="3366FF"/>
          <w:sz w:val="22"/>
          <w:szCs w:val="22"/>
          <w:lang w:val="en-US" w:eastAsia="ru-RU"/>
        </w:rPr>
        <w:t xml:space="preserve"> </w:t>
      </w:r>
      <w:r w:rsidRPr="007D770B">
        <w:rPr>
          <w:rFonts w:ascii="Times New Roman" w:eastAsia="Times New Roman" w:hAnsi="Times New Roman"/>
          <w:i/>
          <w:snapToGrid w:val="0"/>
          <w:color w:val="3366FF"/>
          <w:sz w:val="22"/>
          <w:szCs w:val="22"/>
          <w:lang w:val="en-US" w:eastAsia="ru-RU"/>
        </w:rPr>
        <w:t xml:space="preserve">JSC </w:t>
      </w:r>
    </w:p>
    <w:p w14:paraId="1E74D6A5" w14:textId="542BD4FF" w:rsidR="0013433C" w:rsidRPr="007D770B" w:rsidRDefault="0013433C" w:rsidP="0013433C">
      <w:pPr>
        <w:spacing w:after="0" w:line="240" w:lineRule="auto"/>
        <w:ind w:left="0"/>
        <w:jc w:val="center"/>
        <w:rPr>
          <w:rFonts w:ascii="Times New Roman" w:eastAsia="Times New Roman" w:hAnsi="Times New Roman"/>
          <w:i/>
          <w:snapToGrid w:val="0"/>
          <w:color w:val="3366FF"/>
          <w:sz w:val="22"/>
          <w:szCs w:val="22"/>
          <w:lang w:val="en-US" w:eastAsia="ru-RU"/>
        </w:rPr>
      </w:pPr>
      <w:r w:rsidRPr="007D770B">
        <w:rPr>
          <w:rFonts w:ascii="Times New Roman" w:eastAsia="Times New Roman" w:hAnsi="Times New Roman"/>
          <w:i/>
          <w:snapToGrid w:val="0"/>
          <w:color w:val="3366FF"/>
          <w:sz w:val="22"/>
          <w:szCs w:val="22"/>
          <w:lang w:val="en-US" w:eastAsia="ru-RU"/>
        </w:rPr>
        <w:t xml:space="preserve"> replaced by the words </w:t>
      </w:r>
      <w:r w:rsidR="00E60FFF">
        <w:rPr>
          <w:rFonts w:ascii="Times New Roman" w:eastAsia="Times New Roman" w:hAnsi="Times New Roman"/>
          <w:i/>
          <w:snapToGrid w:val="0"/>
          <w:color w:val="3366FF"/>
          <w:sz w:val="22"/>
          <w:szCs w:val="22"/>
          <w:lang w:val="en-US" w:eastAsia="ru-RU"/>
        </w:rPr>
        <w:t xml:space="preserve">JSC </w:t>
      </w:r>
      <w:r w:rsidRPr="007D770B">
        <w:rPr>
          <w:rFonts w:ascii="Times New Roman" w:eastAsia="Times New Roman" w:hAnsi="Times New Roman"/>
          <w:i/>
          <w:snapToGrid w:val="0"/>
          <w:color w:val="3366FF"/>
          <w:sz w:val="22"/>
          <w:szCs w:val="22"/>
          <w:lang w:val="en-US" w:eastAsia="ru-RU"/>
        </w:rPr>
        <w:t xml:space="preserve">Otbasy Bank in accordance with the following </w:t>
      </w:r>
    </w:p>
    <w:p w14:paraId="035B4186" w14:textId="08604861" w:rsidR="0013433C" w:rsidRPr="007D770B" w:rsidRDefault="0013433C" w:rsidP="0013433C">
      <w:pPr>
        <w:spacing w:after="0" w:line="240" w:lineRule="auto"/>
        <w:ind w:left="0"/>
        <w:jc w:val="center"/>
        <w:rPr>
          <w:rFonts w:ascii="Times New Roman" w:eastAsia="Times New Roman" w:hAnsi="Times New Roman"/>
          <w:i/>
          <w:snapToGrid w:val="0"/>
          <w:color w:val="3366FF"/>
          <w:sz w:val="22"/>
          <w:szCs w:val="22"/>
          <w:lang w:val="en-US" w:eastAsia="ru-RU"/>
        </w:rPr>
      </w:pPr>
      <w:r w:rsidRPr="007D770B">
        <w:rPr>
          <w:rFonts w:ascii="Times New Roman" w:eastAsia="Times New Roman" w:hAnsi="Times New Roman"/>
          <w:i/>
          <w:snapToGrid w:val="0"/>
          <w:color w:val="3366FF"/>
          <w:sz w:val="22"/>
          <w:szCs w:val="22"/>
          <w:lang w:val="en-US" w:eastAsia="ru-RU"/>
        </w:rPr>
        <w:t>with the decision of the Board of Directors dated 04.03.2021 (Minutes No. 2))</w:t>
      </w:r>
    </w:p>
    <w:p w14:paraId="3790CE91" w14:textId="77777777" w:rsidR="00C348B6" w:rsidRPr="007D770B" w:rsidRDefault="00C348B6" w:rsidP="00C348B6">
      <w:pPr>
        <w:spacing w:before="240" w:line="240" w:lineRule="auto"/>
        <w:jc w:val="center"/>
        <w:rPr>
          <w:rFonts w:ascii="Times New Roman" w:hAnsi="Times New Roman"/>
          <w:b/>
          <w:sz w:val="18"/>
          <w:szCs w:val="18"/>
          <w:lang w:val="en-US"/>
        </w:rPr>
      </w:pPr>
    </w:p>
    <w:p w14:paraId="46136603" w14:textId="77777777" w:rsidR="00A809B9" w:rsidRPr="007D770B" w:rsidRDefault="00A809B9" w:rsidP="00C348B6">
      <w:pPr>
        <w:spacing w:before="240" w:line="240" w:lineRule="auto"/>
        <w:jc w:val="center"/>
        <w:rPr>
          <w:rFonts w:ascii="Times New Roman" w:hAnsi="Times New Roman"/>
          <w:b/>
          <w:sz w:val="24"/>
          <w:szCs w:val="18"/>
          <w:lang w:val="en-US"/>
        </w:rPr>
      </w:pPr>
    </w:p>
    <w:p w14:paraId="713D69B0" w14:textId="77777777" w:rsidR="00A809B9" w:rsidRPr="007D770B" w:rsidRDefault="00A809B9" w:rsidP="00C348B6">
      <w:pPr>
        <w:spacing w:before="240" w:line="240" w:lineRule="auto"/>
        <w:jc w:val="center"/>
        <w:rPr>
          <w:rFonts w:ascii="Times New Roman" w:hAnsi="Times New Roman"/>
          <w:b/>
          <w:sz w:val="24"/>
          <w:szCs w:val="18"/>
          <w:lang w:val="en-US"/>
        </w:rPr>
      </w:pPr>
    </w:p>
    <w:p w14:paraId="5C0C74A7" w14:textId="77777777" w:rsidR="00C37F27" w:rsidRPr="007D770B" w:rsidRDefault="00C37F27" w:rsidP="00F96B17">
      <w:pPr>
        <w:spacing w:before="240" w:line="240" w:lineRule="auto"/>
        <w:rPr>
          <w:color w:val="3366FF"/>
          <w:sz w:val="18"/>
          <w:szCs w:val="18"/>
          <w:lang w:val="en-US"/>
        </w:rPr>
      </w:pPr>
    </w:p>
    <w:p w14:paraId="6FCD7295" w14:textId="65640881" w:rsidR="0010589D" w:rsidRPr="007D770B" w:rsidRDefault="00F37671" w:rsidP="00F37671">
      <w:pPr>
        <w:tabs>
          <w:tab w:val="center" w:pos="5046"/>
          <w:tab w:val="right" w:pos="10093"/>
        </w:tabs>
        <w:spacing w:before="240" w:line="240" w:lineRule="auto"/>
        <w:ind w:left="0"/>
        <w:jc w:val="left"/>
        <w:rPr>
          <w:rFonts w:ascii="Times New Roman" w:hAnsi="Times New Roman"/>
          <w:b/>
          <w:bCs/>
          <w:caps/>
          <w:szCs w:val="18"/>
          <w:lang w:val="en-US"/>
        </w:rPr>
        <w:sectPr w:rsidR="0010589D" w:rsidRPr="007D770B" w:rsidSect="00D347E9">
          <w:footerReference w:type="default" r:id="rId9"/>
          <w:footerReference w:type="first" r:id="rId10"/>
          <w:pgSz w:w="11907" w:h="16840" w:code="9"/>
          <w:pgMar w:top="1440" w:right="680" w:bottom="567" w:left="1134" w:header="720" w:footer="0" w:gutter="0"/>
          <w:cols w:space="720"/>
          <w:titlePg/>
        </w:sectPr>
      </w:pPr>
      <w:r w:rsidRPr="007D770B">
        <w:rPr>
          <w:rFonts w:ascii="Times New Roman" w:hAnsi="Times New Roman"/>
          <w:b/>
          <w:bCs/>
          <w:caps/>
          <w:szCs w:val="18"/>
          <w:lang w:val="en-US"/>
        </w:rPr>
        <w:tab/>
      </w:r>
      <w:r w:rsidRPr="007D770B">
        <w:rPr>
          <w:rFonts w:ascii="Times New Roman" w:hAnsi="Times New Roman"/>
          <w:b/>
          <w:bCs/>
          <w:caps/>
          <w:szCs w:val="18"/>
          <w:lang w:val="en-US"/>
        </w:rPr>
        <w:tab/>
      </w:r>
    </w:p>
    <w:p w14:paraId="56662002" w14:textId="77777777" w:rsidR="0075219A" w:rsidRDefault="004D7116">
      <w:pPr>
        <w:pStyle w:val="19"/>
        <w:rPr>
          <w:rFonts w:asciiTheme="minorHAnsi" w:eastAsiaTheme="minorEastAsia" w:hAnsiTheme="minorHAnsi" w:cstheme="minorBidi"/>
          <w:b w:val="0"/>
          <w:bCs w:val="0"/>
          <w:caps w:val="0"/>
          <w:sz w:val="22"/>
          <w:szCs w:val="22"/>
          <w:lang w:eastAsia="ru-RU"/>
        </w:rPr>
      </w:pPr>
      <w:r>
        <w:lastRenderedPageBreak/>
        <w:fldChar w:fldCharType="begin"/>
      </w:r>
      <w:r>
        <w:instrText xml:space="preserve"> TOC \o "1-3" \h \z \u </w:instrText>
      </w:r>
      <w:r>
        <w:fldChar w:fldCharType="separate"/>
      </w:r>
      <w:hyperlink w:anchor="_Toc168502001" w:history="1">
        <w:r w:rsidR="0075219A" w:rsidRPr="00E10183">
          <w:rPr>
            <w:rStyle w:val="afff0"/>
            <w:rFonts w:ascii="Times New Roman" w:hAnsi="Times New Roman"/>
          </w:rPr>
          <w:t>CHAPTER 1. GENERAL PROVISIONS</w:t>
        </w:r>
        <w:r w:rsidR="0075219A">
          <w:rPr>
            <w:webHidden/>
          </w:rPr>
          <w:tab/>
        </w:r>
        <w:r w:rsidR="0075219A">
          <w:rPr>
            <w:webHidden/>
          </w:rPr>
          <w:fldChar w:fldCharType="begin"/>
        </w:r>
        <w:r w:rsidR="0075219A">
          <w:rPr>
            <w:webHidden/>
          </w:rPr>
          <w:instrText xml:space="preserve"> PAGEREF _Toc168502001 \h </w:instrText>
        </w:r>
        <w:r w:rsidR="0075219A">
          <w:rPr>
            <w:webHidden/>
          </w:rPr>
        </w:r>
        <w:r w:rsidR="0075219A">
          <w:rPr>
            <w:webHidden/>
          </w:rPr>
          <w:fldChar w:fldCharType="separate"/>
        </w:r>
        <w:r w:rsidR="0075219A">
          <w:rPr>
            <w:webHidden/>
          </w:rPr>
          <w:t>6</w:t>
        </w:r>
        <w:r w:rsidR="0075219A">
          <w:rPr>
            <w:webHidden/>
          </w:rPr>
          <w:fldChar w:fldCharType="end"/>
        </w:r>
      </w:hyperlink>
    </w:p>
    <w:p w14:paraId="26E6E25E" w14:textId="77777777" w:rsidR="0075219A" w:rsidRDefault="009A2DB5">
      <w:pPr>
        <w:pStyle w:val="2b"/>
        <w:rPr>
          <w:rFonts w:asciiTheme="minorHAnsi" w:eastAsiaTheme="minorEastAsia" w:hAnsiTheme="minorHAnsi" w:cstheme="minorBidi"/>
          <w:b w:val="0"/>
          <w:sz w:val="22"/>
          <w:szCs w:val="22"/>
          <w:lang w:eastAsia="ru-RU"/>
        </w:rPr>
      </w:pPr>
      <w:hyperlink w:anchor="_Toc168502002" w:history="1">
        <w:r w:rsidR="0075219A" w:rsidRPr="00E10183">
          <w:rPr>
            <w:rStyle w:val="afff0"/>
            <w:rFonts w:ascii="Times New Roman" w:hAnsi="Times New Roman"/>
          </w:rPr>
          <w:t>Section 1: Presentation of Financial Statements (IAS 1)</w:t>
        </w:r>
        <w:r w:rsidR="0075219A">
          <w:rPr>
            <w:webHidden/>
          </w:rPr>
          <w:tab/>
        </w:r>
        <w:r w:rsidR="0075219A">
          <w:rPr>
            <w:webHidden/>
          </w:rPr>
          <w:fldChar w:fldCharType="begin"/>
        </w:r>
        <w:r w:rsidR="0075219A">
          <w:rPr>
            <w:webHidden/>
          </w:rPr>
          <w:instrText xml:space="preserve"> PAGEREF _Toc168502002 \h </w:instrText>
        </w:r>
        <w:r w:rsidR="0075219A">
          <w:rPr>
            <w:webHidden/>
          </w:rPr>
        </w:r>
        <w:r w:rsidR="0075219A">
          <w:rPr>
            <w:webHidden/>
          </w:rPr>
          <w:fldChar w:fldCharType="separate"/>
        </w:r>
        <w:r w:rsidR="0075219A">
          <w:rPr>
            <w:webHidden/>
          </w:rPr>
          <w:t>6</w:t>
        </w:r>
        <w:r w:rsidR="0075219A">
          <w:rPr>
            <w:webHidden/>
          </w:rPr>
          <w:fldChar w:fldCharType="end"/>
        </w:r>
      </w:hyperlink>
    </w:p>
    <w:p w14:paraId="0286EA5F" w14:textId="77777777" w:rsidR="0075219A" w:rsidRDefault="009A2DB5">
      <w:pPr>
        <w:pStyle w:val="39"/>
        <w:rPr>
          <w:rFonts w:asciiTheme="minorHAnsi" w:eastAsiaTheme="minorEastAsia" w:hAnsiTheme="minorHAnsi" w:cstheme="minorBidi"/>
          <w:sz w:val="22"/>
          <w:szCs w:val="22"/>
          <w:lang w:eastAsia="ru-RU"/>
        </w:rPr>
      </w:pPr>
      <w:hyperlink w:anchor="_Toc168502003" w:history="1">
        <w:r w:rsidR="0075219A" w:rsidRPr="00E10183">
          <w:rPr>
            <w:rStyle w:val="afff0"/>
          </w:rPr>
          <w:t>1.1 Basic Principles</w:t>
        </w:r>
        <w:r w:rsidR="0075219A">
          <w:rPr>
            <w:webHidden/>
          </w:rPr>
          <w:tab/>
        </w:r>
        <w:r w:rsidR="0075219A">
          <w:rPr>
            <w:webHidden/>
          </w:rPr>
          <w:fldChar w:fldCharType="begin"/>
        </w:r>
        <w:r w:rsidR="0075219A">
          <w:rPr>
            <w:webHidden/>
          </w:rPr>
          <w:instrText xml:space="preserve"> PAGEREF _Toc168502003 \h </w:instrText>
        </w:r>
        <w:r w:rsidR="0075219A">
          <w:rPr>
            <w:webHidden/>
          </w:rPr>
        </w:r>
        <w:r w:rsidR="0075219A">
          <w:rPr>
            <w:webHidden/>
          </w:rPr>
          <w:fldChar w:fldCharType="separate"/>
        </w:r>
        <w:r w:rsidR="0075219A">
          <w:rPr>
            <w:webHidden/>
          </w:rPr>
          <w:t>6</w:t>
        </w:r>
        <w:r w:rsidR="0075219A">
          <w:rPr>
            <w:webHidden/>
          </w:rPr>
          <w:fldChar w:fldCharType="end"/>
        </w:r>
      </w:hyperlink>
    </w:p>
    <w:p w14:paraId="0CD9F729" w14:textId="77777777" w:rsidR="0075219A" w:rsidRDefault="009A2DB5">
      <w:pPr>
        <w:pStyle w:val="39"/>
        <w:rPr>
          <w:rFonts w:asciiTheme="minorHAnsi" w:eastAsiaTheme="minorEastAsia" w:hAnsiTheme="minorHAnsi" w:cstheme="minorBidi"/>
          <w:sz w:val="22"/>
          <w:szCs w:val="22"/>
          <w:lang w:eastAsia="ru-RU"/>
        </w:rPr>
      </w:pPr>
      <w:hyperlink w:anchor="_Toc168502004" w:history="1">
        <w:r w:rsidR="0075219A" w:rsidRPr="00E10183">
          <w:rPr>
            <w:rStyle w:val="afff0"/>
          </w:rPr>
          <w:t>1.2 Definitions</w:t>
        </w:r>
        <w:r w:rsidR="0075219A">
          <w:rPr>
            <w:webHidden/>
          </w:rPr>
          <w:tab/>
        </w:r>
        <w:r w:rsidR="0075219A">
          <w:rPr>
            <w:webHidden/>
          </w:rPr>
          <w:fldChar w:fldCharType="begin"/>
        </w:r>
        <w:r w:rsidR="0075219A">
          <w:rPr>
            <w:webHidden/>
          </w:rPr>
          <w:instrText xml:space="preserve"> PAGEREF _Toc168502004 \h </w:instrText>
        </w:r>
        <w:r w:rsidR="0075219A">
          <w:rPr>
            <w:webHidden/>
          </w:rPr>
        </w:r>
        <w:r w:rsidR="0075219A">
          <w:rPr>
            <w:webHidden/>
          </w:rPr>
          <w:fldChar w:fldCharType="separate"/>
        </w:r>
        <w:r w:rsidR="0075219A">
          <w:rPr>
            <w:webHidden/>
          </w:rPr>
          <w:t>6</w:t>
        </w:r>
        <w:r w:rsidR="0075219A">
          <w:rPr>
            <w:webHidden/>
          </w:rPr>
          <w:fldChar w:fldCharType="end"/>
        </w:r>
      </w:hyperlink>
    </w:p>
    <w:p w14:paraId="20EB9FAA" w14:textId="77777777" w:rsidR="0075219A" w:rsidRDefault="009A2DB5">
      <w:pPr>
        <w:pStyle w:val="39"/>
        <w:rPr>
          <w:rFonts w:asciiTheme="minorHAnsi" w:eastAsiaTheme="minorEastAsia" w:hAnsiTheme="minorHAnsi" w:cstheme="minorBidi"/>
          <w:sz w:val="22"/>
          <w:szCs w:val="22"/>
          <w:lang w:eastAsia="ru-RU"/>
        </w:rPr>
      </w:pPr>
      <w:hyperlink w:anchor="_Toc168502005" w:history="1">
        <w:r w:rsidR="0075219A" w:rsidRPr="00E10183">
          <w:rPr>
            <w:rStyle w:val="afff0"/>
          </w:rPr>
          <w:t>1.3 Qualitative Characteristics of Financial Statements</w:t>
        </w:r>
        <w:r w:rsidR="0075219A">
          <w:rPr>
            <w:webHidden/>
          </w:rPr>
          <w:tab/>
        </w:r>
        <w:r w:rsidR="0075219A">
          <w:rPr>
            <w:webHidden/>
          </w:rPr>
          <w:fldChar w:fldCharType="begin"/>
        </w:r>
        <w:r w:rsidR="0075219A">
          <w:rPr>
            <w:webHidden/>
          </w:rPr>
          <w:instrText xml:space="preserve"> PAGEREF _Toc168502005 \h </w:instrText>
        </w:r>
        <w:r w:rsidR="0075219A">
          <w:rPr>
            <w:webHidden/>
          </w:rPr>
        </w:r>
        <w:r w:rsidR="0075219A">
          <w:rPr>
            <w:webHidden/>
          </w:rPr>
          <w:fldChar w:fldCharType="separate"/>
        </w:r>
        <w:r w:rsidR="0075219A">
          <w:rPr>
            <w:webHidden/>
          </w:rPr>
          <w:t>7</w:t>
        </w:r>
        <w:r w:rsidR="0075219A">
          <w:rPr>
            <w:webHidden/>
          </w:rPr>
          <w:fldChar w:fldCharType="end"/>
        </w:r>
      </w:hyperlink>
    </w:p>
    <w:p w14:paraId="0A58F6F9" w14:textId="77777777" w:rsidR="0075219A" w:rsidRDefault="009A2DB5">
      <w:pPr>
        <w:pStyle w:val="39"/>
        <w:rPr>
          <w:rFonts w:asciiTheme="minorHAnsi" w:eastAsiaTheme="minorEastAsia" w:hAnsiTheme="minorHAnsi" w:cstheme="minorBidi"/>
          <w:sz w:val="22"/>
          <w:szCs w:val="22"/>
          <w:lang w:eastAsia="ru-RU"/>
        </w:rPr>
      </w:pPr>
      <w:hyperlink w:anchor="_Toc168502006" w:history="1">
        <w:r w:rsidR="0075219A" w:rsidRPr="00E10183">
          <w:rPr>
            <w:rStyle w:val="afff0"/>
          </w:rPr>
          <w:t>1.4 Components of financial statements</w:t>
        </w:r>
        <w:r w:rsidR="0075219A">
          <w:rPr>
            <w:webHidden/>
          </w:rPr>
          <w:tab/>
        </w:r>
        <w:r w:rsidR="0075219A">
          <w:rPr>
            <w:webHidden/>
          </w:rPr>
          <w:fldChar w:fldCharType="begin"/>
        </w:r>
        <w:r w:rsidR="0075219A">
          <w:rPr>
            <w:webHidden/>
          </w:rPr>
          <w:instrText xml:space="preserve"> PAGEREF _Toc168502006 \h </w:instrText>
        </w:r>
        <w:r w:rsidR="0075219A">
          <w:rPr>
            <w:webHidden/>
          </w:rPr>
        </w:r>
        <w:r w:rsidR="0075219A">
          <w:rPr>
            <w:webHidden/>
          </w:rPr>
          <w:fldChar w:fldCharType="separate"/>
        </w:r>
        <w:r w:rsidR="0075219A">
          <w:rPr>
            <w:webHidden/>
          </w:rPr>
          <w:t>10</w:t>
        </w:r>
        <w:r w:rsidR="0075219A">
          <w:rPr>
            <w:webHidden/>
          </w:rPr>
          <w:fldChar w:fldCharType="end"/>
        </w:r>
      </w:hyperlink>
    </w:p>
    <w:p w14:paraId="120757DC" w14:textId="77777777" w:rsidR="0075219A" w:rsidRDefault="009A2DB5">
      <w:pPr>
        <w:pStyle w:val="39"/>
        <w:rPr>
          <w:rFonts w:asciiTheme="minorHAnsi" w:eastAsiaTheme="minorEastAsia" w:hAnsiTheme="minorHAnsi" w:cstheme="minorBidi"/>
          <w:sz w:val="22"/>
          <w:szCs w:val="22"/>
          <w:lang w:eastAsia="ru-RU"/>
        </w:rPr>
      </w:pPr>
      <w:hyperlink w:anchor="_Toc168502007" w:history="1">
        <w:r w:rsidR="0075219A" w:rsidRPr="00E10183">
          <w:rPr>
            <w:rStyle w:val="afff0"/>
          </w:rPr>
          <w:t>1.5 Elements of financial reporting</w:t>
        </w:r>
        <w:r w:rsidR="0075219A">
          <w:rPr>
            <w:webHidden/>
          </w:rPr>
          <w:tab/>
        </w:r>
        <w:r w:rsidR="0075219A">
          <w:rPr>
            <w:webHidden/>
          </w:rPr>
          <w:fldChar w:fldCharType="begin"/>
        </w:r>
        <w:r w:rsidR="0075219A">
          <w:rPr>
            <w:webHidden/>
          </w:rPr>
          <w:instrText xml:space="preserve"> PAGEREF _Toc168502007 \h </w:instrText>
        </w:r>
        <w:r w:rsidR="0075219A">
          <w:rPr>
            <w:webHidden/>
          </w:rPr>
        </w:r>
        <w:r w:rsidR="0075219A">
          <w:rPr>
            <w:webHidden/>
          </w:rPr>
          <w:fldChar w:fldCharType="separate"/>
        </w:r>
        <w:r w:rsidR="0075219A">
          <w:rPr>
            <w:webHidden/>
          </w:rPr>
          <w:t>18</w:t>
        </w:r>
        <w:r w:rsidR="0075219A">
          <w:rPr>
            <w:webHidden/>
          </w:rPr>
          <w:fldChar w:fldCharType="end"/>
        </w:r>
      </w:hyperlink>
    </w:p>
    <w:p w14:paraId="3EC240E4" w14:textId="77777777" w:rsidR="0075219A" w:rsidRDefault="009A2DB5">
      <w:pPr>
        <w:pStyle w:val="39"/>
        <w:rPr>
          <w:rFonts w:asciiTheme="minorHAnsi" w:eastAsiaTheme="minorEastAsia" w:hAnsiTheme="minorHAnsi" w:cstheme="minorBidi"/>
          <w:sz w:val="22"/>
          <w:szCs w:val="22"/>
          <w:lang w:eastAsia="ru-RU"/>
        </w:rPr>
      </w:pPr>
      <w:hyperlink w:anchor="_Toc168502008" w:history="1">
        <w:r w:rsidR="0075219A" w:rsidRPr="00E10183">
          <w:rPr>
            <w:rStyle w:val="afff0"/>
          </w:rPr>
          <w:t>1.6 Functional and presentation currency</w:t>
        </w:r>
        <w:r w:rsidR="0075219A">
          <w:rPr>
            <w:webHidden/>
          </w:rPr>
          <w:tab/>
        </w:r>
        <w:r w:rsidR="0075219A">
          <w:rPr>
            <w:webHidden/>
          </w:rPr>
          <w:fldChar w:fldCharType="begin"/>
        </w:r>
        <w:r w:rsidR="0075219A">
          <w:rPr>
            <w:webHidden/>
          </w:rPr>
          <w:instrText xml:space="preserve"> PAGEREF _Toc168502008 \h </w:instrText>
        </w:r>
        <w:r w:rsidR="0075219A">
          <w:rPr>
            <w:webHidden/>
          </w:rPr>
        </w:r>
        <w:r w:rsidR="0075219A">
          <w:rPr>
            <w:webHidden/>
          </w:rPr>
          <w:fldChar w:fldCharType="separate"/>
        </w:r>
        <w:r w:rsidR="0075219A">
          <w:rPr>
            <w:webHidden/>
          </w:rPr>
          <w:t>21</w:t>
        </w:r>
        <w:r w:rsidR="0075219A">
          <w:rPr>
            <w:webHidden/>
          </w:rPr>
          <w:fldChar w:fldCharType="end"/>
        </w:r>
      </w:hyperlink>
    </w:p>
    <w:p w14:paraId="3D40423C" w14:textId="77777777" w:rsidR="0075219A" w:rsidRDefault="009A2DB5">
      <w:pPr>
        <w:pStyle w:val="39"/>
        <w:rPr>
          <w:rFonts w:asciiTheme="minorHAnsi" w:eastAsiaTheme="minorEastAsia" w:hAnsiTheme="minorHAnsi" w:cstheme="minorBidi"/>
          <w:sz w:val="22"/>
          <w:szCs w:val="22"/>
          <w:lang w:eastAsia="ru-RU"/>
        </w:rPr>
      </w:pPr>
      <w:hyperlink w:anchor="_Toc168502009" w:history="1">
        <w:r w:rsidR="0075219A" w:rsidRPr="00E10183">
          <w:rPr>
            <w:rStyle w:val="afff0"/>
          </w:rPr>
          <w:t>1.7 Interim financial statements</w:t>
        </w:r>
        <w:r w:rsidR="0075219A">
          <w:rPr>
            <w:webHidden/>
          </w:rPr>
          <w:tab/>
        </w:r>
        <w:r w:rsidR="0075219A">
          <w:rPr>
            <w:webHidden/>
          </w:rPr>
          <w:fldChar w:fldCharType="begin"/>
        </w:r>
        <w:r w:rsidR="0075219A">
          <w:rPr>
            <w:webHidden/>
          </w:rPr>
          <w:instrText xml:space="preserve"> PAGEREF _Toc168502009 \h </w:instrText>
        </w:r>
        <w:r w:rsidR="0075219A">
          <w:rPr>
            <w:webHidden/>
          </w:rPr>
        </w:r>
        <w:r w:rsidR="0075219A">
          <w:rPr>
            <w:webHidden/>
          </w:rPr>
          <w:fldChar w:fldCharType="separate"/>
        </w:r>
        <w:r w:rsidR="0075219A">
          <w:rPr>
            <w:webHidden/>
          </w:rPr>
          <w:t>22</w:t>
        </w:r>
        <w:r w:rsidR="0075219A">
          <w:rPr>
            <w:webHidden/>
          </w:rPr>
          <w:fldChar w:fldCharType="end"/>
        </w:r>
      </w:hyperlink>
    </w:p>
    <w:p w14:paraId="6539BA08" w14:textId="77777777" w:rsidR="0075219A" w:rsidRDefault="009A2DB5">
      <w:pPr>
        <w:pStyle w:val="2b"/>
        <w:rPr>
          <w:rFonts w:asciiTheme="minorHAnsi" w:eastAsiaTheme="minorEastAsia" w:hAnsiTheme="minorHAnsi" w:cstheme="minorBidi"/>
          <w:b w:val="0"/>
          <w:sz w:val="22"/>
          <w:szCs w:val="22"/>
          <w:lang w:eastAsia="ru-RU"/>
        </w:rPr>
      </w:pPr>
      <w:hyperlink w:anchor="_Toc168502010" w:history="1">
        <w:r w:rsidR="0075219A" w:rsidRPr="00E10183">
          <w:rPr>
            <w:rStyle w:val="afff0"/>
            <w:rFonts w:ascii="Times New Roman" w:hAnsi="Times New Roman"/>
            <w:snapToGrid w:val="0"/>
            <w:lang w:eastAsia="ru-RU"/>
          </w:rPr>
          <w:t>Section 2: Changes in accounting policies, estimates and errors (IAS 8)</w:t>
        </w:r>
        <w:r w:rsidR="0075219A">
          <w:rPr>
            <w:webHidden/>
          </w:rPr>
          <w:tab/>
        </w:r>
        <w:r w:rsidR="0075219A">
          <w:rPr>
            <w:webHidden/>
          </w:rPr>
          <w:fldChar w:fldCharType="begin"/>
        </w:r>
        <w:r w:rsidR="0075219A">
          <w:rPr>
            <w:webHidden/>
          </w:rPr>
          <w:instrText xml:space="preserve"> PAGEREF _Toc168502010 \h </w:instrText>
        </w:r>
        <w:r w:rsidR="0075219A">
          <w:rPr>
            <w:webHidden/>
          </w:rPr>
        </w:r>
        <w:r w:rsidR="0075219A">
          <w:rPr>
            <w:webHidden/>
          </w:rPr>
          <w:fldChar w:fldCharType="separate"/>
        </w:r>
        <w:r w:rsidR="0075219A">
          <w:rPr>
            <w:webHidden/>
          </w:rPr>
          <w:t>25</w:t>
        </w:r>
        <w:r w:rsidR="0075219A">
          <w:rPr>
            <w:webHidden/>
          </w:rPr>
          <w:fldChar w:fldCharType="end"/>
        </w:r>
      </w:hyperlink>
    </w:p>
    <w:p w14:paraId="72A2B49F" w14:textId="77777777" w:rsidR="0075219A" w:rsidRDefault="009A2DB5">
      <w:pPr>
        <w:pStyle w:val="39"/>
        <w:rPr>
          <w:rFonts w:asciiTheme="minorHAnsi" w:eastAsiaTheme="minorEastAsia" w:hAnsiTheme="minorHAnsi" w:cstheme="minorBidi"/>
          <w:sz w:val="22"/>
          <w:szCs w:val="22"/>
          <w:lang w:eastAsia="ru-RU"/>
        </w:rPr>
      </w:pPr>
      <w:hyperlink w:anchor="_Toc168502011" w:history="1">
        <w:r w:rsidR="0075219A" w:rsidRPr="00E10183">
          <w:rPr>
            <w:rStyle w:val="afff0"/>
          </w:rPr>
          <w:t>2.1 Changes in accounting policies</w:t>
        </w:r>
        <w:r w:rsidR="0075219A">
          <w:rPr>
            <w:webHidden/>
          </w:rPr>
          <w:tab/>
        </w:r>
        <w:r w:rsidR="0075219A">
          <w:rPr>
            <w:webHidden/>
          </w:rPr>
          <w:fldChar w:fldCharType="begin"/>
        </w:r>
        <w:r w:rsidR="0075219A">
          <w:rPr>
            <w:webHidden/>
          </w:rPr>
          <w:instrText xml:space="preserve"> PAGEREF _Toc168502011 \h </w:instrText>
        </w:r>
        <w:r w:rsidR="0075219A">
          <w:rPr>
            <w:webHidden/>
          </w:rPr>
        </w:r>
        <w:r w:rsidR="0075219A">
          <w:rPr>
            <w:webHidden/>
          </w:rPr>
          <w:fldChar w:fldCharType="separate"/>
        </w:r>
        <w:r w:rsidR="0075219A">
          <w:rPr>
            <w:webHidden/>
          </w:rPr>
          <w:t>25</w:t>
        </w:r>
        <w:r w:rsidR="0075219A">
          <w:rPr>
            <w:webHidden/>
          </w:rPr>
          <w:fldChar w:fldCharType="end"/>
        </w:r>
      </w:hyperlink>
    </w:p>
    <w:p w14:paraId="66F8314B" w14:textId="77777777" w:rsidR="0075219A" w:rsidRDefault="009A2DB5">
      <w:pPr>
        <w:pStyle w:val="39"/>
        <w:rPr>
          <w:rFonts w:asciiTheme="minorHAnsi" w:eastAsiaTheme="minorEastAsia" w:hAnsiTheme="minorHAnsi" w:cstheme="minorBidi"/>
          <w:sz w:val="22"/>
          <w:szCs w:val="22"/>
          <w:lang w:eastAsia="ru-RU"/>
        </w:rPr>
      </w:pPr>
      <w:hyperlink w:anchor="_Toc168502012" w:history="1">
        <w:r w:rsidR="0075219A" w:rsidRPr="00E10183">
          <w:rPr>
            <w:rStyle w:val="afff0"/>
          </w:rPr>
          <w:t>2.2 Changes in estimates</w:t>
        </w:r>
        <w:r w:rsidR="0075219A">
          <w:rPr>
            <w:webHidden/>
          </w:rPr>
          <w:tab/>
        </w:r>
        <w:r w:rsidR="0075219A">
          <w:rPr>
            <w:webHidden/>
          </w:rPr>
          <w:fldChar w:fldCharType="begin"/>
        </w:r>
        <w:r w:rsidR="0075219A">
          <w:rPr>
            <w:webHidden/>
          </w:rPr>
          <w:instrText xml:space="preserve"> PAGEREF _Toc168502012 \h </w:instrText>
        </w:r>
        <w:r w:rsidR="0075219A">
          <w:rPr>
            <w:webHidden/>
          </w:rPr>
        </w:r>
        <w:r w:rsidR="0075219A">
          <w:rPr>
            <w:webHidden/>
          </w:rPr>
          <w:fldChar w:fldCharType="separate"/>
        </w:r>
        <w:r w:rsidR="0075219A">
          <w:rPr>
            <w:webHidden/>
          </w:rPr>
          <w:t>27</w:t>
        </w:r>
        <w:r w:rsidR="0075219A">
          <w:rPr>
            <w:webHidden/>
          </w:rPr>
          <w:fldChar w:fldCharType="end"/>
        </w:r>
      </w:hyperlink>
    </w:p>
    <w:p w14:paraId="5A87FC10" w14:textId="77777777" w:rsidR="0075219A" w:rsidRDefault="009A2DB5">
      <w:pPr>
        <w:pStyle w:val="39"/>
        <w:rPr>
          <w:rFonts w:asciiTheme="minorHAnsi" w:eastAsiaTheme="minorEastAsia" w:hAnsiTheme="minorHAnsi" w:cstheme="minorBidi"/>
          <w:sz w:val="22"/>
          <w:szCs w:val="22"/>
          <w:lang w:eastAsia="ru-RU"/>
        </w:rPr>
      </w:pPr>
      <w:hyperlink w:anchor="_Toc168502013" w:history="1">
        <w:r w:rsidR="0075219A" w:rsidRPr="00E10183">
          <w:rPr>
            <w:rStyle w:val="afff0"/>
          </w:rPr>
          <w:t>2.3 Errors</w:t>
        </w:r>
        <w:r w:rsidR="0075219A">
          <w:rPr>
            <w:webHidden/>
          </w:rPr>
          <w:tab/>
        </w:r>
        <w:r w:rsidR="0075219A">
          <w:rPr>
            <w:webHidden/>
          </w:rPr>
          <w:fldChar w:fldCharType="begin"/>
        </w:r>
        <w:r w:rsidR="0075219A">
          <w:rPr>
            <w:webHidden/>
          </w:rPr>
          <w:instrText xml:space="preserve"> PAGEREF _Toc168502013 \h </w:instrText>
        </w:r>
        <w:r w:rsidR="0075219A">
          <w:rPr>
            <w:webHidden/>
          </w:rPr>
        </w:r>
        <w:r w:rsidR="0075219A">
          <w:rPr>
            <w:webHidden/>
          </w:rPr>
          <w:fldChar w:fldCharType="separate"/>
        </w:r>
        <w:r w:rsidR="0075219A">
          <w:rPr>
            <w:webHidden/>
          </w:rPr>
          <w:t>28</w:t>
        </w:r>
        <w:r w:rsidR="0075219A">
          <w:rPr>
            <w:webHidden/>
          </w:rPr>
          <w:fldChar w:fldCharType="end"/>
        </w:r>
      </w:hyperlink>
    </w:p>
    <w:p w14:paraId="2DDDC848" w14:textId="77777777" w:rsidR="0075219A" w:rsidRDefault="009A2DB5">
      <w:pPr>
        <w:pStyle w:val="2b"/>
        <w:rPr>
          <w:rFonts w:asciiTheme="minorHAnsi" w:eastAsiaTheme="minorEastAsia" w:hAnsiTheme="minorHAnsi" w:cstheme="minorBidi"/>
          <w:b w:val="0"/>
          <w:sz w:val="22"/>
          <w:szCs w:val="22"/>
          <w:lang w:eastAsia="ru-RU"/>
        </w:rPr>
      </w:pPr>
      <w:hyperlink w:anchor="_Toc168502014" w:history="1">
        <w:r w:rsidR="0075219A" w:rsidRPr="00E10183">
          <w:rPr>
            <w:rStyle w:val="afff0"/>
            <w:rFonts w:ascii="Times New Roman" w:hAnsi="Times New Roman"/>
          </w:rPr>
          <w:t>Section 3: Accounting Judgments</w:t>
        </w:r>
        <w:r w:rsidR="0075219A">
          <w:rPr>
            <w:webHidden/>
          </w:rPr>
          <w:tab/>
        </w:r>
        <w:r w:rsidR="0075219A">
          <w:rPr>
            <w:webHidden/>
          </w:rPr>
          <w:fldChar w:fldCharType="begin"/>
        </w:r>
        <w:r w:rsidR="0075219A">
          <w:rPr>
            <w:webHidden/>
          </w:rPr>
          <w:instrText xml:space="preserve"> PAGEREF _Toc168502014 \h </w:instrText>
        </w:r>
        <w:r w:rsidR="0075219A">
          <w:rPr>
            <w:webHidden/>
          </w:rPr>
        </w:r>
        <w:r w:rsidR="0075219A">
          <w:rPr>
            <w:webHidden/>
          </w:rPr>
          <w:fldChar w:fldCharType="separate"/>
        </w:r>
        <w:r w:rsidR="0075219A">
          <w:rPr>
            <w:webHidden/>
          </w:rPr>
          <w:t>30</w:t>
        </w:r>
        <w:r w:rsidR="0075219A">
          <w:rPr>
            <w:webHidden/>
          </w:rPr>
          <w:fldChar w:fldCharType="end"/>
        </w:r>
      </w:hyperlink>
    </w:p>
    <w:p w14:paraId="30593D29" w14:textId="77777777" w:rsidR="0075219A" w:rsidRDefault="009A2DB5">
      <w:pPr>
        <w:pStyle w:val="39"/>
        <w:rPr>
          <w:rFonts w:asciiTheme="minorHAnsi" w:eastAsiaTheme="minorEastAsia" w:hAnsiTheme="minorHAnsi" w:cstheme="minorBidi"/>
          <w:sz w:val="22"/>
          <w:szCs w:val="22"/>
          <w:lang w:eastAsia="ru-RU"/>
        </w:rPr>
      </w:pPr>
      <w:hyperlink w:anchor="_Toc168502015" w:history="1">
        <w:r w:rsidR="0075219A" w:rsidRPr="00E10183">
          <w:rPr>
            <w:rStyle w:val="afff0"/>
          </w:rPr>
          <w:t>3.1 General provisions</w:t>
        </w:r>
        <w:r w:rsidR="0075219A">
          <w:rPr>
            <w:webHidden/>
          </w:rPr>
          <w:tab/>
        </w:r>
        <w:r w:rsidR="0075219A">
          <w:rPr>
            <w:webHidden/>
          </w:rPr>
          <w:fldChar w:fldCharType="begin"/>
        </w:r>
        <w:r w:rsidR="0075219A">
          <w:rPr>
            <w:webHidden/>
          </w:rPr>
          <w:instrText xml:space="preserve"> PAGEREF _Toc168502015 \h </w:instrText>
        </w:r>
        <w:r w:rsidR="0075219A">
          <w:rPr>
            <w:webHidden/>
          </w:rPr>
        </w:r>
        <w:r w:rsidR="0075219A">
          <w:rPr>
            <w:webHidden/>
          </w:rPr>
          <w:fldChar w:fldCharType="separate"/>
        </w:r>
        <w:r w:rsidR="0075219A">
          <w:rPr>
            <w:webHidden/>
          </w:rPr>
          <w:t>30</w:t>
        </w:r>
        <w:r w:rsidR="0075219A">
          <w:rPr>
            <w:webHidden/>
          </w:rPr>
          <w:fldChar w:fldCharType="end"/>
        </w:r>
      </w:hyperlink>
    </w:p>
    <w:p w14:paraId="6A8C20EA" w14:textId="77777777" w:rsidR="0075219A" w:rsidRDefault="009A2DB5">
      <w:pPr>
        <w:pStyle w:val="39"/>
        <w:rPr>
          <w:rFonts w:asciiTheme="minorHAnsi" w:eastAsiaTheme="minorEastAsia" w:hAnsiTheme="minorHAnsi" w:cstheme="minorBidi"/>
          <w:sz w:val="22"/>
          <w:szCs w:val="22"/>
          <w:lang w:eastAsia="ru-RU"/>
        </w:rPr>
      </w:pPr>
      <w:hyperlink w:anchor="_Toc168502016" w:history="1">
        <w:r w:rsidR="0075219A" w:rsidRPr="00E10183">
          <w:rPr>
            <w:rStyle w:val="afff0"/>
          </w:rPr>
          <w:t>3.2 Accounting policies</w:t>
        </w:r>
        <w:r w:rsidR="0075219A">
          <w:rPr>
            <w:webHidden/>
          </w:rPr>
          <w:tab/>
        </w:r>
        <w:r w:rsidR="0075219A">
          <w:rPr>
            <w:webHidden/>
          </w:rPr>
          <w:fldChar w:fldCharType="begin"/>
        </w:r>
        <w:r w:rsidR="0075219A">
          <w:rPr>
            <w:webHidden/>
          </w:rPr>
          <w:instrText xml:space="preserve"> PAGEREF _Toc168502016 \h </w:instrText>
        </w:r>
        <w:r w:rsidR="0075219A">
          <w:rPr>
            <w:webHidden/>
          </w:rPr>
        </w:r>
        <w:r w:rsidR="0075219A">
          <w:rPr>
            <w:webHidden/>
          </w:rPr>
          <w:fldChar w:fldCharType="separate"/>
        </w:r>
        <w:r w:rsidR="0075219A">
          <w:rPr>
            <w:webHidden/>
          </w:rPr>
          <w:t>30</w:t>
        </w:r>
        <w:r w:rsidR="0075219A">
          <w:rPr>
            <w:webHidden/>
          </w:rPr>
          <w:fldChar w:fldCharType="end"/>
        </w:r>
      </w:hyperlink>
    </w:p>
    <w:p w14:paraId="1CD794BD" w14:textId="77777777" w:rsidR="0075219A" w:rsidRDefault="009A2DB5">
      <w:pPr>
        <w:pStyle w:val="2b"/>
        <w:rPr>
          <w:rFonts w:asciiTheme="minorHAnsi" w:eastAsiaTheme="minorEastAsia" w:hAnsiTheme="minorHAnsi" w:cstheme="minorBidi"/>
          <w:b w:val="0"/>
          <w:sz w:val="22"/>
          <w:szCs w:val="22"/>
          <w:lang w:eastAsia="ru-RU"/>
        </w:rPr>
      </w:pPr>
      <w:hyperlink w:anchor="_Toc168502017" w:history="1">
        <w:r w:rsidR="0075219A" w:rsidRPr="00E10183">
          <w:rPr>
            <w:rStyle w:val="afff0"/>
            <w:rFonts w:ascii="Times New Roman" w:hAnsi="Times New Roman"/>
          </w:rPr>
          <w:t>CHAPTER 2. GENERAL ACCOUNTING POLICIES</w:t>
        </w:r>
        <w:r w:rsidR="0075219A">
          <w:rPr>
            <w:webHidden/>
          </w:rPr>
          <w:tab/>
        </w:r>
        <w:r w:rsidR="0075219A">
          <w:rPr>
            <w:webHidden/>
          </w:rPr>
          <w:fldChar w:fldCharType="begin"/>
        </w:r>
        <w:r w:rsidR="0075219A">
          <w:rPr>
            <w:webHidden/>
          </w:rPr>
          <w:instrText xml:space="preserve"> PAGEREF _Toc168502017 \h </w:instrText>
        </w:r>
        <w:r w:rsidR="0075219A">
          <w:rPr>
            <w:webHidden/>
          </w:rPr>
        </w:r>
        <w:r w:rsidR="0075219A">
          <w:rPr>
            <w:webHidden/>
          </w:rPr>
          <w:fldChar w:fldCharType="separate"/>
        </w:r>
        <w:r w:rsidR="0075219A">
          <w:rPr>
            <w:webHidden/>
          </w:rPr>
          <w:t>34</w:t>
        </w:r>
        <w:r w:rsidR="0075219A">
          <w:rPr>
            <w:webHidden/>
          </w:rPr>
          <w:fldChar w:fldCharType="end"/>
        </w:r>
      </w:hyperlink>
    </w:p>
    <w:p w14:paraId="1571E770" w14:textId="77777777" w:rsidR="0075219A" w:rsidRDefault="009A2DB5">
      <w:pPr>
        <w:pStyle w:val="2b"/>
        <w:rPr>
          <w:rFonts w:asciiTheme="minorHAnsi" w:eastAsiaTheme="minorEastAsia" w:hAnsiTheme="minorHAnsi" w:cstheme="minorBidi"/>
          <w:b w:val="0"/>
          <w:sz w:val="22"/>
          <w:szCs w:val="22"/>
          <w:lang w:eastAsia="ru-RU"/>
        </w:rPr>
      </w:pPr>
      <w:hyperlink w:anchor="_Toc168502018" w:history="1">
        <w:r w:rsidR="0075219A" w:rsidRPr="00E10183">
          <w:rPr>
            <w:rStyle w:val="afff0"/>
            <w:rFonts w:ascii="Times New Roman" w:hAnsi="Times New Roman"/>
          </w:rPr>
          <w:t>Section 1. Property, plant and equipment (IAS 16)</w:t>
        </w:r>
        <w:r w:rsidR="0075219A">
          <w:rPr>
            <w:webHidden/>
          </w:rPr>
          <w:tab/>
        </w:r>
        <w:r w:rsidR="0075219A">
          <w:rPr>
            <w:webHidden/>
          </w:rPr>
          <w:fldChar w:fldCharType="begin"/>
        </w:r>
        <w:r w:rsidR="0075219A">
          <w:rPr>
            <w:webHidden/>
          </w:rPr>
          <w:instrText xml:space="preserve"> PAGEREF _Toc168502018 \h </w:instrText>
        </w:r>
        <w:r w:rsidR="0075219A">
          <w:rPr>
            <w:webHidden/>
          </w:rPr>
        </w:r>
        <w:r w:rsidR="0075219A">
          <w:rPr>
            <w:webHidden/>
          </w:rPr>
          <w:fldChar w:fldCharType="separate"/>
        </w:r>
        <w:r w:rsidR="0075219A">
          <w:rPr>
            <w:webHidden/>
          </w:rPr>
          <w:t>34</w:t>
        </w:r>
        <w:r w:rsidR="0075219A">
          <w:rPr>
            <w:webHidden/>
          </w:rPr>
          <w:fldChar w:fldCharType="end"/>
        </w:r>
      </w:hyperlink>
    </w:p>
    <w:p w14:paraId="4DC85FD2" w14:textId="77777777" w:rsidR="0075219A" w:rsidRDefault="009A2DB5">
      <w:pPr>
        <w:pStyle w:val="39"/>
        <w:rPr>
          <w:rFonts w:asciiTheme="minorHAnsi" w:eastAsiaTheme="minorEastAsia" w:hAnsiTheme="minorHAnsi" w:cstheme="minorBidi"/>
          <w:sz w:val="22"/>
          <w:szCs w:val="22"/>
          <w:lang w:eastAsia="ru-RU"/>
        </w:rPr>
      </w:pPr>
      <w:hyperlink w:anchor="_Toc168502019" w:history="1">
        <w:r w:rsidR="0075219A" w:rsidRPr="00E10183">
          <w:rPr>
            <w:rStyle w:val="afff0"/>
          </w:rPr>
          <w:t>1.1 General provisions</w:t>
        </w:r>
        <w:r w:rsidR="0075219A">
          <w:rPr>
            <w:webHidden/>
          </w:rPr>
          <w:tab/>
        </w:r>
        <w:r w:rsidR="0075219A">
          <w:rPr>
            <w:webHidden/>
          </w:rPr>
          <w:fldChar w:fldCharType="begin"/>
        </w:r>
        <w:r w:rsidR="0075219A">
          <w:rPr>
            <w:webHidden/>
          </w:rPr>
          <w:instrText xml:space="preserve"> PAGEREF _Toc168502019 \h </w:instrText>
        </w:r>
        <w:r w:rsidR="0075219A">
          <w:rPr>
            <w:webHidden/>
          </w:rPr>
        </w:r>
        <w:r w:rsidR="0075219A">
          <w:rPr>
            <w:webHidden/>
          </w:rPr>
          <w:fldChar w:fldCharType="separate"/>
        </w:r>
        <w:r w:rsidR="0075219A">
          <w:rPr>
            <w:webHidden/>
          </w:rPr>
          <w:t>34</w:t>
        </w:r>
        <w:r w:rsidR="0075219A">
          <w:rPr>
            <w:webHidden/>
          </w:rPr>
          <w:fldChar w:fldCharType="end"/>
        </w:r>
      </w:hyperlink>
    </w:p>
    <w:p w14:paraId="1B10D49B" w14:textId="77777777" w:rsidR="0075219A" w:rsidRDefault="009A2DB5">
      <w:pPr>
        <w:pStyle w:val="39"/>
        <w:rPr>
          <w:rFonts w:asciiTheme="minorHAnsi" w:eastAsiaTheme="minorEastAsia" w:hAnsiTheme="minorHAnsi" w:cstheme="minorBidi"/>
          <w:sz w:val="22"/>
          <w:szCs w:val="22"/>
          <w:lang w:eastAsia="ru-RU"/>
        </w:rPr>
      </w:pPr>
      <w:hyperlink w:anchor="_Toc168502020" w:history="1">
        <w:r w:rsidR="0075219A" w:rsidRPr="00E10183">
          <w:rPr>
            <w:rStyle w:val="afff0"/>
          </w:rPr>
          <w:t>1.2 Definitions</w:t>
        </w:r>
        <w:r w:rsidR="0075219A">
          <w:rPr>
            <w:webHidden/>
          </w:rPr>
          <w:tab/>
        </w:r>
        <w:r w:rsidR="0075219A">
          <w:rPr>
            <w:webHidden/>
          </w:rPr>
          <w:fldChar w:fldCharType="begin"/>
        </w:r>
        <w:r w:rsidR="0075219A">
          <w:rPr>
            <w:webHidden/>
          </w:rPr>
          <w:instrText xml:space="preserve"> PAGEREF _Toc168502020 \h </w:instrText>
        </w:r>
        <w:r w:rsidR="0075219A">
          <w:rPr>
            <w:webHidden/>
          </w:rPr>
        </w:r>
        <w:r w:rsidR="0075219A">
          <w:rPr>
            <w:webHidden/>
          </w:rPr>
          <w:fldChar w:fldCharType="separate"/>
        </w:r>
        <w:r w:rsidR="0075219A">
          <w:rPr>
            <w:webHidden/>
          </w:rPr>
          <w:t>35</w:t>
        </w:r>
        <w:r w:rsidR="0075219A">
          <w:rPr>
            <w:webHidden/>
          </w:rPr>
          <w:fldChar w:fldCharType="end"/>
        </w:r>
      </w:hyperlink>
    </w:p>
    <w:p w14:paraId="6FB90590" w14:textId="77777777" w:rsidR="0075219A" w:rsidRDefault="009A2DB5">
      <w:pPr>
        <w:pStyle w:val="39"/>
        <w:rPr>
          <w:rFonts w:asciiTheme="minorHAnsi" w:eastAsiaTheme="minorEastAsia" w:hAnsiTheme="minorHAnsi" w:cstheme="minorBidi"/>
          <w:sz w:val="22"/>
          <w:szCs w:val="22"/>
          <w:lang w:eastAsia="ru-RU"/>
        </w:rPr>
      </w:pPr>
      <w:hyperlink w:anchor="_Toc168502021" w:history="1">
        <w:r w:rsidR="0075219A" w:rsidRPr="00E10183">
          <w:rPr>
            <w:rStyle w:val="afff0"/>
          </w:rPr>
          <w:t>1.3 Classification</w:t>
        </w:r>
        <w:r w:rsidR="0075219A">
          <w:rPr>
            <w:webHidden/>
          </w:rPr>
          <w:tab/>
        </w:r>
        <w:r w:rsidR="0075219A">
          <w:rPr>
            <w:webHidden/>
          </w:rPr>
          <w:fldChar w:fldCharType="begin"/>
        </w:r>
        <w:r w:rsidR="0075219A">
          <w:rPr>
            <w:webHidden/>
          </w:rPr>
          <w:instrText xml:space="preserve"> PAGEREF _Toc168502021 \h </w:instrText>
        </w:r>
        <w:r w:rsidR="0075219A">
          <w:rPr>
            <w:webHidden/>
          </w:rPr>
        </w:r>
        <w:r w:rsidR="0075219A">
          <w:rPr>
            <w:webHidden/>
          </w:rPr>
          <w:fldChar w:fldCharType="separate"/>
        </w:r>
        <w:r w:rsidR="0075219A">
          <w:rPr>
            <w:webHidden/>
          </w:rPr>
          <w:t>36</w:t>
        </w:r>
        <w:r w:rsidR="0075219A">
          <w:rPr>
            <w:webHidden/>
          </w:rPr>
          <w:fldChar w:fldCharType="end"/>
        </w:r>
      </w:hyperlink>
    </w:p>
    <w:p w14:paraId="28175B8D" w14:textId="77777777" w:rsidR="0075219A" w:rsidRDefault="009A2DB5">
      <w:pPr>
        <w:pStyle w:val="39"/>
        <w:rPr>
          <w:rFonts w:asciiTheme="minorHAnsi" w:eastAsiaTheme="minorEastAsia" w:hAnsiTheme="minorHAnsi" w:cstheme="minorBidi"/>
          <w:sz w:val="22"/>
          <w:szCs w:val="22"/>
          <w:lang w:eastAsia="ru-RU"/>
        </w:rPr>
      </w:pPr>
      <w:hyperlink w:anchor="_Toc168502022" w:history="1">
        <w:r w:rsidR="0075219A" w:rsidRPr="00E10183">
          <w:rPr>
            <w:rStyle w:val="afff0"/>
          </w:rPr>
          <w:t>1.4 Accounting policies</w:t>
        </w:r>
        <w:r w:rsidR="0075219A">
          <w:rPr>
            <w:webHidden/>
          </w:rPr>
          <w:tab/>
        </w:r>
        <w:r w:rsidR="0075219A">
          <w:rPr>
            <w:webHidden/>
          </w:rPr>
          <w:fldChar w:fldCharType="begin"/>
        </w:r>
        <w:r w:rsidR="0075219A">
          <w:rPr>
            <w:webHidden/>
          </w:rPr>
          <w:instrText xml:space="preserve"> PAGEREF _Toc168502022 \h </w:instrText>
        </w:r>
        <w:r w:rsidR="0075219A">
          <w:rPr>
            <w:webHidden/>
          </w:rPr>
        </w:r>
        <w:r w:rsidR="0075219A">
          <w:rPr>
            <w:webHidden/>
          </w:rPr>
          <w:fldChar w:fldCharType="separate"/>
        </w:r>
        <w:r w:rsidR="0075219A">
          <w:rPr>
            <w:webHidden/>
          </w:rPr>
          <w:t>36</w:t>
        </w:r>
        <w:r w:rsidR="0075219A">
          <w:rPr>
            <w:webHidden/>
          </w:rPr>
          <w:fldChar w:fldCharType="end"/>
        </w:r>
      </w:hyperlink>
    </w:p>
    <w:p w14:paraId="231FFBFA" w14:textId="77777777" w:rsidR="0075219A" w:rsidRDefault="009A2DB5">
      <w:pPr>
        <w:pStyle w:val="39"/>
        <w:rPr>
          <w:rFonts w:asciiTheme="minorHAnsi" w:eastAsiaTheme="minorEastAsia" w:hAnsiTheme="minorHAnsi" w:cstheme="minorBidi"/>
          <w:sz w:val="22"/>
          <w:szCs w:val="22"/>
          <w:lang w:eastAsia="ru-RU"/>
        </w:rPr>
      </w:pPr>
      <w:hyperlink w:anchor="_Toc168502023" w:history="1">
        <w:r w:rsidR="0075219A" w:rsidRPr="00E10183">
          <w:rPr>
            <w:rStyle w:val="afff0"/>
          </w:rPr>
          <w:t>1.5 Disclosure of information</w:t>
        </w:r>
        <w:r w:rsidR="0075219A">
          <w:rPr>
            <w:webHidden/>
          </w:rPr>
          <w:tab/>
        </w:r>
        <w:r w:rsidR="0075219A">
          <w:rPr>
            <w:webHidden/>
          </w:rPr>
          <w:fldChar w:fldCharType="begin"/>
        </w:r>
        <w:r w:rsidR="0075219A">
          <w:rPr>
            <w:webHidden/>
          </w:rPr>
          <w:instrText xml:space="preserve"> PAGEREF _Toc168502023 \h </w:instrText>
        </w:r>
        <w:r w:rsidR="0075219A">
          <w:rPr>
            <w:webHidden/>
          </w:rPr>
        </w:r>
        <w:r w:rsidR="0075219A">
          <w:rPr>
            <w:webHidden/>
          </w:rPr>
          <w:fldChar w:fldCharType="separate"/>
        </w:r>
        <w:r w:rsidR="0075219A">
          <w:rPr>
            <w:webHidden/>
          </w:rPr>
          <w:t>43</w:t>
        </w:r>
        <w:r w:rsidR="0075219A">
          <w:rPr>
            <w:webHidden/>
          </w:rPr>
          <w:fldChar w:fldCharType="end"/>
        </w:r>
      </w:hyperlink>
    </w:p>
    <w:p w14:paraId="1D1271CD" w14:textId="77777777" w:rsidR="0075219A" w:rsidRDefault="009A2DB5">
      <w:pPr>
        <w:pStyle w:val="2b"/>
        <w:rPr>
          <w:rFonts w:asciiTheme="minorHAnsi" w:eastAsiaTheme="minorEastAsia" w:hAnsiTheme="minorHAnsi" w:cstheme="minorBidi"/>
          <w:b w:val="0"/>
          <w:sz w:val="22"/>
          <w:szCs w:val="22"/>
          <w:lang w:eastAsia="ru-RU"/>
        </w:rPr>
      </w:pPr>
      <w:hyperlink w:anchor="_Toc168502024" w:history="1">
        <w:r w:rsidR="0075219A" w:rsidRPr="00E10183">
          <w:rPr>
            <w:rStyle w:val="afff0"/>
            <w:rFonts w:ascii="Times New Roman" w:hAnsi="Times New Roman"/>
          </w:rPr>
          <w:t>Section 2: Intangible Assets (IAS 38)</w:t>
        </w:r>
        <w:r w:rsidR="0075219A">
          <w:rPr>
            <w:webHidden/>
          </w:rPr>
          <w:tab/>
        </w:r>
        <w:r w:rsidR="0075219A">
          <w:rPr>
            <w:webHidden/>
          </w:rPr>
          <w:fldChar w:fldCharType="begin"/>
        </w:r>
        <w:r w:rsidR="0075219A">
          <w:rPr>
            <w:webHidden/>
          </w:rPr>
          <w:instrText xml:space="preserve"> PAGEREF _Toc168502024 \h </w:instrText>
        </w:r>
        <w:r w:rsidR="0075219A">
          <w:rPr>
            <w:webHidden/>
          </w:rPr>
        </w:r>
        <w:r w:rsidR="0075219A">
          <w:rPr>
            <w:webHidden/>
          </w:rPr>
          <w:fldChar w:fldCharType="separate"/>
        </w:r>
        <w:r w:rsidR="0075219A">
          <w:rPr>
            <w:webHidden/>
          </w:rPr>
          <w:t>45</w:t>
        </w:r>
        <w:r w:rsidR="0075219A">
          <w:rPr>
            <w:webHidden/>
          </w:rPr>
          <w:fldChar w:fldCharType="end"/>
        </w:r>
      </w:hyperlink>
    </w:p>
    <w:p w14:paraId="67A47FFD" w14:textId="77777777" w:rsidR="0075219A" w:rsidRDefault="009A2DB5">
      <w:pPr>
        <w:pStyle w:val="39"/>
        <w:rPr>
          <w:rFonts w:asciiTheme="minorHAnsi" w:eastAsiaTheme="minorEastAsia" w:hAnsiTheme="minorHAnsi" w:cstheme="minorBidi"/>
          <w:sz w:val="22"/>
          <w:szCs w:val="22"/>
          <w:lang w:eastAsia="ru-RU"/>
        </w:rPr>
      </w:pPr>
      <w:hyperlink w:anchor="_Toc168502025" w:history="1">
        <w:r w:rsidR="0075219A" w:rsidRPr="00E10183">
          <w:rPr>
            <w:rStyle w:val="afff0"/>
          </w:rPr>
          <w:t>2.1 General provisions</w:t>
        </w:r>
        <w:r w:rsidR="0075219A">
          <w:rPr>
            <w:webHidden/>
          </w:rPr>
          <w:tab/>
        </w:r>
        <w:r w:rsidR="0075219A">
          <w:rPr>
            <w:webHidden/>
          </w:rPr>
          <w:fldChar w:fldCharType="begin"/>
        </w:r>
        <w:r w:rsidR="0075219A">
          <w:rPr>
            <w:webHidden/>
          </w:rPr>
          <w:instrText xml:space="preserve"> PAGEREF _Toc168502025 \h </w:instrText>
        </w:r>
        <w:r w:rsidR="0075219A">
          <w:rPr>
            <w:webHidden/>
          </w:rPr>
        </w:r>
        <w:r w:rsidR="0075219A">
          <w:rPr>
            <w:webHidden/>
          </w:rPr>
          <w:fldChar w:fldCharType="separate"/>
        </w:r>
        <w:r w:rsidR="0075219A">
          <w:rPr>
            <w:webHidden/>
          </w:rPr>
          <w:t>45</w:t>
        </w:r>
        <w:r w:rsidR="0075219A">
          <w:rPr>
            <w:webHidden/>
          </w:rPr>
          <w:fldChar w:fldCharType="end"/>
        </w:r>
      </w:hyperlink>
    </w:p>
    <w:p w14:paraId="2CCF07CB" w14:textId="77777777" w:rsidR="0075219A" w:rsidRDefault="009A2DB5">
      <w:pPr>
        <w:pStyle w:val="39"/>
        <w:rPr>
          <w:rFonts w:asciiTheme="minorHAnsi" w:eastAsiaTheme="minorEastAsia" w:hAnsiTheme="minorHAnsi" w:cstheme="minorBidi"/>
          <w:sz w:val="22"/>
          <w:szCs w:val="22"/>
          <w:lang w:eastAsia="ru-RU"/>
        </w:rPr>
      </w:pPr>
      <w:hyperlink w:anchor="_Toc168502026" w:history="1">
        <w:r w:rsidR="0075219A" w:rsidRPr="00E10183">
          <w:rPr>
            <w:rStyle w:val="afff0"/>
          </w:rPr>
          <w:t>2.2 Accounting policies</w:t>
        </w:r>
        <w:r w:rsidR="0075219A">
          <w:rPr>
            <w:webHidden/>
          </w:rPr>
          <w:tab/>
        </w:r>
        <w:r w:rsidR="0075219A">
          <w:rPr>
            <w:webHidden/>
          </w:rPr>
          <w:fldChar w:fldCharType="begin"/>
        </w:r>
        <w:r w:rsidR="0075219A">
          <w:rPr>
            <w:webHidden/>
          </w:rPr>
          <w:instrText xml:space="preserve"> PAGEREF _Toc168502026 \h </w:instrText>
        </w:r>
        <w:r w:rsidR="0075219A">
          <w:rPr>
            <w:webHidden/>
          </w:rPr>
        </w:r>
        <w:r w:rsidR="0075219A">
          <w:rPr>
            <w:webHidden/>
          </w:rPr>
          <w:fldChar w:fldCharType="separate"/>
        </w:r>
        <w:r w:rsidR="0075219A">
          <w:rPr>
            <w:webHidden/>
          </w:rPr>
          <w:t>45</w:t>
        </w:r>
        <w:r w:rsidR="0075219A">
          <w:rPr>
            <w:webHidden/>
          </w:rPr>
          <w:fldChar w:fldCharType="end"/>
        </w:r>
      </w:hyperlink>
    </w:p>
    <w:p w14:paraId="1D6ACC64" w14:textId="77777777" w:rsidR="0075219A" w:rsidRDefault="009A2DB5">
      <w:pPr>
        <w:pStyle w:val="39"/>
        <w:rPr>
          <w:rFonts w:asciiTheme="minorHAnsi" w:eastAsiaTheme="minorEastAsia" w:hAnsiTheme="minorHAnsi" w:cstheme="minorBidi"/>
          <w:sz w:val="22"/>
          <w:szCs w:val="22"/>
          <w:lang w:eastAsia="ru-RU"/>
        </w:rPr>
      </w:pPr>
      <w:hyperlink w:anchor="_Toc168502027" w:history="1">
        <w:r w:rsidR="0075219A" w:rsidRPr="00E10183">
          <w:rPr>
            <w:rStyle w:val="afff0"/>
          </w:rPr>
          <w:t>2.3 Disclosure of information</w:t>
        </w:r>
        <w:r w:rsidR="0075219A">
          <w:rPr>
            <w:webHidden/>
          </w:rPr>
          <w:tab/>
        </w:r>
        <w:r w:rsidR="0075219A">
          <w:rPr>
            <w:webHidden/>
          </w:rPr>
          <w:fldChar w:fldCharType="begin"/>
        </w:r>
        <w:r w:rsidR="0075219A">
          <w:rPr>
            <w:webHidden/>
          </w:rPr>
          <w:instrText xml:space="preserve"> PAGEREF _Toc168502027 \h </w:instrText>
        </w:r>
        <w:r w:rsidR="0075219A">
          <w:rPr>
            <w:webHidden/>
          </w:rPr>
        </w:r>
        <w:r w:rsidR="0075219A">
          <w:rPr>
            <w:webHidden/>
          </w:rPr>
          <w:fldChar w:fldCharType="separate"/>
        </w:r>
        <w:r w:rsidR="0075219A">
          <w:rPr>
            <w:webHidden/>
          </w:rPr>
          <w:t>50</w:t>
        </w:r>
        <w:r w:rsidR="0075219A">
          <w:rPr>
            <w:webHidden/>
          </w:rPr>
          <w:fldChar w:fldCharType="end"/>
        </w:r>
      </w:hyperlink>
    </w:p>
    <w:p w14:paraId="252FE369" w14:textId="77777777" w:rsidR="0075219A" w:rsidRDefault="009A2DB5">
      <w:pPr>
        <w:pStyle w:val="2b"/>
        <w:rPr>
          <w:rFonts w:asciiTheme="minorHAnsi" w:eastAsiaTheme="minorEastAsia" w:hAnsiTheme="minorHAnsi" w:cstheme="minorBidi"/>
          <w:b w:val="0"/>
          <w:sz w:val="22"/>
          <w:szCs w:val="22"/>
          <w:lang w:eastAsia="ru-RU"/>
        </w:rPr>
      </w:pPr>
      <w:hyperlink w:anchor="_Toc168502028" w:history="1">
        <w:r w:rsidR="0075219A" w:rsidRPr="00E10183">
          <w:rPr>
            <w:rStyle w:val="afff0"/>
            <w:rFonts w:ascii="Times New Roman" w:hAnsi="Times New Roman"/>
          </w:rPr>
          <w:t>Section 3. Financial assets and liabilities (IAS 32, IFRS 9, IFRS 7)</w:t>
        </w:r>
        <w:r w:rsidR="0075219A">
          <w:rPr>
            <w:webHidden/>
          </w:rPr>
          <w:tab/>
        </w:r>
        <w:r w:rsidR="0075219A">
          <w:rPr>
            <w:webHidden/>
          </w:rPr>
          <w:fldChar w:fldCharType="begin"/>
        </w:r>
        <w:r w:rsidR="0075219A">
          <w:rPr>
            <w:webHidden/>
          </w:rPr>
          <w:instrText xml:space="preserve"> PAGEREF _Toc168502028 \h </w:instrText>
        </w:r>
        <w:r w:rsidR="0075219A">
          <w:rPr>
            <w:webHidden/>
          </w:rPr>
        </w:r>
        <w:r w:rsidR="0075219A">
          <w:rPr>
            <w:webHidden/>
          </w:rPr>
          <w:fldChar w:fldCharType="separate"/>
        </w:r>
        <w:r w:rsidR="0075219A">
          <w:rPr>
            <w:webHidden/>
          </w:rPr>
          <w:t>52</w:t>
        </w:r>
        <w:r w:rsidR="0075219A">
          <w:rPr>
            <w:webHidden/>
          </w:rPr>
          <w:fldChar w:fldCharType="end"/>
        </w:r>
      </w:hyperlink>
    </w:p>
    <w:p w14:paraId="3933E6C5" w14:textId="77777777" w:rsidR="0075219A" w:rsidRDefault="009A2DB5">
      <w:pPr>
        <w:pStyle w:val="39"/>
        <w:rPr>
          <w:rFonts w:asciiTheme="minorHAnsi" w:eastAsiaTheme="minorEastAsia" w:hAnsiTheme="minorHAnsi" w:cstheme="minorBidi"/>
          <w:sz w:val="22"/>
          <w:szCs w:val="22"/>
          <w:lang w:eastAsia="ru-RU"/>
        </w:rPr>
      </w:pPr>
      <w:hyperlink w:anchor="_Toc168502029" w:history="1">
        <w:r w:rsidR="0075219A" w:rsidRPr="00E10183">
          <w:rPr>
            <w:rStyle w:val="afff0"/>
          </w:rPr>
          <w:t>3.1 Definitions</w:t>
        </w:r>
        <w:r w:rsidR="0075219A">
          <w:rPr>
            <w:webHidden/>
          </w:rPr>
          <w:tab/>
        </w:r>
        <w:r w:rsidR="0075219A">
          <w:rPr>
            <w:webHidden/>
          </w:rPr>
          <w:fldChar w:fldCharType="begin"/>
        </w:r>
        <w:r w:rsidR="0075219A">
          <w:rPr>
            <w:webHidden/>
          </w:rPr>
          <w:instrText xml:space="preserve"> PAGEREF _Toc168502029 \h </w:instrText>
        </w:r>
        <w:r w:rsidR="0075219A">
          <w:rPr>
            <w:webHidden/>
          </w:rPr>
        </w:r>
        <w:r w:rsidR="0075219A">
          <w:rPr>
            <w:webHidden/>
          </w:rPr>
          <w:fldChar w:fldCharType="separate"/>
        </w:r>
        <w:r w:rsidR="0075219A">
          <w:rPr>
            <w:webHidden/>
          </w:rPr>
          <w:t>52</w:t>
        </w:r>
        <w:r w:rsidR="0075219A">
          <w:rPr>
            <w:webHidden/>
          </w:rPr>
          <w:fldChar w:fldCharType="end"/>
        </w:r>
      </w:hyperlink>
    </w:p>
    <w:p w14:paraId="1728F32D" w14:textId="77777777" w:rsidR="0075219A" w:rsidRDefault="009A2DB5">
      <w:pPr>
        <w:pStyle w:val="39"/>
        <w:rPr>
          <w:rFonts w:asciiTheme="minorHAnsi" w:eastAsiaTheme="minorEastAsia" w:hAnsiTheme="minorHAnsi" w:cstheme="minorBidi"/>
          <w:sz w:val="22"/>
          <w:szCs w:val="22"/>
          <w:lang w:eastAsia="ru-RU"/>
        </w:rPr>
      </w:pPr>
      <w:hyperlink w:anchor="_Toc168502030" w:history="1">
        <w:r w:rsidR="0075219A" w:rsidRPr="00E10183">
          <w:rPr>
            <w:rStyle w:val="afff0"/>
          </w:rPr>
          <w:t>3.2 Financial instruments - key elements of recognition and measurement</w:t>
        </w:r>
        <w:r w:rsidR="0075219A">
          <w:rPr>
            <w:webHidden/>
          </w:rPr>
          <w:tab/>
        </w:r>
        <w:r w:rsidR="0075219A">
          <w:rPr>
            <w:webHidden/>
          </w:rPr>
          <w:fldChar w:fldCharType="begin"/>
        </w:r>
        <w:r w:rsidR="0075219A">
          <w:rPr>
            <w:webHidden/>
          </w:rPr>
          <w:instrText xml:space="preserve"> PAGEREF _Toc168502030 \h </w:instrText>
        </w:r>
        <w:r w:rsidR="0075219A">
          <w:rPr>
            <w:webHidden/>
          </w:rPr>
        </w:r>
        <w:r w:rsidR="0075219A">
          <w:rPr>
            <w:webHidden/>
          </w:rPr>
          <w:fldChar w:fldCharType="separate"/>
        </w:r>
        <w:r w:rsidR="0075219A">
          <w:rPr>
            <w:webHidden/>
          </w:rPr>
          <w:t>55</w:t>
        </w:r>
        <w:r w:rsidR="0075219A">
          <w:rPr>
            <w:webHidden/>
          </w:rPr>
          <w:fldChar w:fldCharType="end"/>
        </w:r>
      </w:hyperlink>
    </w:p>
    <w:p w14:paraId="1905D67F" w14:textId="77777777" w:rsidR="0075219A" w:rsidRDefault="009A2DB5">
      <w:pPr>
        <w:pStyle w:val="39"/>
        <w:rPr>
          <w:rFonts w:asciiTheme="minorHAnsi" w:eastAsiaTheme="minorEastAsia" w:hAnsiTheme="minorHAnsi" w:cstheme="minorBidi"/>
          <w:sz w:val="22"/>
          <w:szCs w:val="22"/>
          <w:lang w:eastAsia="ru-RU"/>
        </w:rPr>
      </w:pPr>
      <w:hyperlink w:anchor="_Toc168502031" w:history="1">
        <w:r w:rsidR="0075219A" w:rsidRPr="00E10183">
          <w:rPr>
            <w:rStyle w:val="afff0"/>
          </w:rPr>
          <w:t>3.3 Main categories of financial instruments</w:t>
        </w:r>
        <w:r w:rsidR="0075219A">
          <w:rPr>
            <w:webHidden/>
          </w:rPr>
          <w:tab/>
        </w:r>
        <w:r w:rsidR="0075219A">
          <w:rPr>
            <w:webHidden/>
          </w:rPr>
          <w:fldChar w:fldCharType="begin"/>
        </w:r>
        <w:r w:rsidR="0075219A">
          <w:rPr>
            <w:webHidden/>
          </w:rPr>
          <w:instrText xml:space="preserve"> PAGEREF _Toc168502031 \h </w:instrText>
        </w:r>
        <w:r w:rsidR="0075219A">
          <w:rPr>
            <w:webHidden/>
          </w:rPr>
        </w:r>
        <w:r w:rsidR="0075219A">
          <w:rPr>
            <w:webHidden/>
          </w:rPr>
          <w:fldChar w:fldCharType="separate"/>
        </w:r>
        <w:r w:rsidR="0075219A">
          <w:rPr>
            <w:webHidden/>
          </w:rPr>
          <w:t>58</w:t>
        </w:r>
        <w:r w:rsidR="0075219A">
          <w:rPr>
            <w:webHidden/>
          </w:rPr>
          <w:fldChar w:fldCharType="end"/>
        </w:r>
      </w:hyperlink>
    </w:p>
    <w:p w14:paraId="1002951D" w14:textId="77777777" w:rsidR="0075219A" w:rsidRDefault="009A2DB5">
      <w:pPr>
        <w:pStyle w:val="39"/>
        <w:rPr>
          <w:rFonts w:asciiTheme="minorHAnsi" w:eastAsiaTheme="minorEastAsia" w:hAnsiTheme="minorHAnsi" w:cstheme="minorBidi"/>
          <w:sz w:val="22"/>
          <w:szCs w:val="22"/>
          <w:lang w:eastAsia="ru-RU"/>
        </w:rPr>
      </w:pPr>
      <w:hyperlink w:anchor="_Toc168502032" w:history="1">
        <w:r w:rsidR="0075219A" w:rsidRPr="00E10183">
          <w:rPr>
            <w:rStyle w:val="afff0"/>
          </w:rPr>
          <w:t>3.4 Classification of financial assets</w:t>
        </w:r>
        <w:r w:rsidR="0075219A">
          <w:rPr>
            <w:webHidden/>
          </w:rPr>
          <w:tab/>
        </w:r>
        <w:r w:rsidR="0075219A">
          <w:rPr>
            <w:webHidden/>
          </w:rPr>
          <w:fldChar w:fldCharType="begin"/>
        </w:r>
        <w:r w:rsidR="0075219A">
          <w:rPr>
            <w:webHidden/>
          </w:rPr>
          <w:instrText xml:space="preserve"> PAGEREF _Toc168502032 \h </w:instrText>
        </w:r>
        <w:r w:rsidR="0075219A">
          <w:rPr>
            <w:webHidden/>
          </w:rPr>
        </w:r>
        <w:r w:rsidR="0075219A">
          <w:rPr>
            <w:webHidden/>
          </w:rPr>
          <w:fldChar w:fldCharType="separate"/>
        </w:r>
        <w:r w:rsidR="0075219A">
          <w:rPr>
            <w:webHidden/>
          </w:rPr>
          <w:t>58</w:t>
        </w:r>
        <w:r w:rsidR="0075219A">
          <w:rPr>
            <w:webHidden/>
          </w:rPr>
          <w:fldChar w:fldCharType="end"/>
        </w:r>
      </w:hyperlink>
    </w:p>
    <w:p w14:paraId="4E1F3E3E" w14:textId="77777777" w:rsidR="0075219A" w:rsidRDefault="009A2DB5">
      <w:pPr>
        <w:pStyle w:val="39"/>
        <w:rPr>
          <w:rFonts w:asciiTheme="minorHAnsi" w:eastAsiaTheme="minorEastAsia" w:hAnsiTheme="minorHAnsi" w:cstheme="minorBidi"/>
          <w:sz w:val="22"/>
          <w:szCs w:val="22"/>
          <w:lang w:eastAsia="ru-RU"/>
        </w:rPr>
      </w:pPr>
      <w:hyperlink w:anchor="_Toc168502033" w:history="1">
        <w:r w:rsidR="0075219A" w:rsidRPr="00E10183">
          <w:rPr>
            <w:rStyle w:val="afff0"/>
          </w:rPr>
          <w:t>3.5 Analyzing business models</w:t>
        </w:r>
        <w:r w:rsidR="0075219A">
          <w:rPr>
            <w:webHidden/>
          </w:rPr>
          <w:tab/>
        </w:r>
        <w:r w:rsidR="0075219A">
          <w:rPr>
            <w:webHidden/>
          </w:rPr>
          <w:fldChar w:fldCharType="begin"/>
        </w:r>
        <w:r w:rsidR="0075219A">
          <w:rPr>
            <w:webHidden/>
          </w:rPr>
          <w:instrText xml:space="preserve"> PAGEREF _Toc168502033 \h </w:instrText>
        </w:r>
        <w:r w:rsidR="0075219A">
          <w:rPr>
            <w:webHidden/>
          </w:rPr>
        </w:r>
        <w:r w:rsidR="0075219A">
          <w:rPr>
            <w:webHidden/>
          </w:rPr>
          <w:fldChar w:fldCharType="separate"/>
        </w:r>
        <w:r w:rsidR="0075219A">
          <w:rPr>
            <w:webHidden/>
          </w:rPr>
          <w:t>64</w:t>
        </w:r>
        <w:r w:rsidR="0075219A">
          <w:rPr>
            <w:webHidden/>
          </w:rPr>
          <w:fldChar w:fldCharType="end"/>
        </w:r>
      </w:hyperlink>
    </w:p>
    <w:p w14:paraId="1FA3C005" w14:textId="77777777" w:rsidR="0075219A" w:rsidRDefault="009A2DB5">
      <w:pPr>
        <w:pStyle w:val="39"/>
        <w:rPr>
          <w:rFonts w:asciiTheme="minorHAnsi" w:eastAsiaTheme="minorEastAsia" w:hAnsiTheme="minorHAnsi" w:cstheme="minorBidi"/>
          <w:sz w:val="22"/>
          <w:szCs w:val="22"/>
          <w:lang w:eastAsia="ru-RU"/>
        </w:rPr>
      </w:pPr>
      <w:hyperlink w:anchor="_Toc168502034" w:history="1">
        <w:r w:rsidR="0075219A" w:rsidRPr="00E10183">
          <w:rPr>
            <w:rStyle w:val="afff0"/>
            <w:rFonts w:ascii="Times New Roman" w:hAnsi="Times New Roman"/>
            <w:b/>
          </w:rPr>
          <w:t>3.6.</w:t>
        </w:r>
        <w:r w:rsidR="0075219A">
          <w:rPr>
            <w:rFonts w:asciiTheme="minorHAnsi" w:eastAsiaTheme="minorEastAsia" w:hAnsiTheme="minorHAnsi" w:cstheme="minorBidi"/>
            <w:sz w:val="22"/>
            <w:szCs w:val="22"/>
            <w:lang w:eastAsia="ru-RU"/>
          </w:rPr>
          <w:tab/>
        </w:r>
        <w:r w:rsidR="0075219A" w:rsidRPr="00E10183">
          <w:rPr>
            <w:rStyle w:val="afff0"/>
            <w:rFonts w:ascii="Times New Roman" w:hAnsi="Times New Roman"/>
            <w:b/>
          </w:rPr>
          <w:t>Assessment of contractual cash flows - SPPI testing</w:t>
        </w:r>
        <w:r w:rsidR="0075219A">
          <w:rPr>
            <w:webHidden/>
          </w:rPr>
          <w:tab/>
        </w:r>
        <w:r w:rsidR="0075219A">
          <w:rPr>
            <w:webHidden/>
          </w:rPr>
          <w:fldChar w:fldCharType="begin"/>
        </w:r>
        <w:r w:rsidR="0075219A">
          <w:rPr>
            <w:webHidden/>
          </w:rPr>
          <w:instrText xml:space="preserve"> PAGEREF _Toc168502034 \h </w:instrText>
        </w:r>
        <w:r w:rsidR="0075219A">
          <w:rPr>
            <w:webHidden/>
          </w:rPr>
        </w:r>
        <w:r w:rsidR="0075219A">
          <w:rPr>
            <w:webHidden/>
          </w:rPr>
          <w:fldChar w:fldCharType="separate"/>
        </w:r>
        <w:r w:rsidR="0075219A">
          <w:rPr>
            <w:webHidden/>
          </w:rPr>
          <w:t>66</w:t>
        </w:r>
        <w:r w:rsidR="0075219A">
          <w:rPr>
            <w:webHidden/>
          </w:rPr>
          <w:fldChar w:fldCharType="end"/>
        </w:r>
      </w:hyperlink>
    </w:p>
    <w:p w14:paraId="680A3E14" w14:textId="77777777" w:rsidR="0075219A" w:rsidRDefault="009A2DB5">
      <w:pPr>
        <w:pStyle w:val="39"/>
        <w:rPr>
          <w:rFonts w:asciiTheme="minorHAnsi" w:eastAsiaTheme="minorEastAsia" w:hAnsiTheme="minorHAnsi" w:cstheme="minorBidi"/>
          <w:sz w:val="22"/>
          <w:szCs w:val="22"/>
          <w:lang w:eastAsia="ru-RU"/>
        </w:rPr>
      </w:pPr>
      <w:hyperlink w:anchor="_Toc168502035" w:history="1">
        <w:r w:rsidR="0075219A" w:rsidRPr="00E10183">
          <w:rPr>
            <w:rStyle w:val="afff0"/>
          </w:rPr>
          <w:t>3.7 Reclassification of financial assets to another category</w:t>
        </w:r>
        <w:r w:rsidR="0075219A">
          <w:rPr>
            <w:webHidden/>
          </w:rPr>
          <w:tab/>
        </w:r>
        <w:r w:rsidR="0075219A">
          <w:rPr>
            <w:webHidden/>
          </w:rPr>
          <w:fldChar w:fldCharType="begin"/>
        </w:r>
        <w:r w:rsidR="0075219A">
          <w:rPr>
            <w:webHidden/>
          </w:rPr>
          <w:instrText xml:space="preserve"> PAGEREF _Toc168502035 \h </w:instrText>
        </w:r>
        <w:r w:rsidR="0075219A">
          <w:rPr>
            <w:webHidden/>
          </w:rPr>
        </w:r>
        <w:r w:rsidR="0075219A">
          <w:rPr>
            <w:webHidden/>
          </w:rPr>
          <w:fldChar w:fldCharType="separate"/>
        </w:r>
        <w:r w:rsidR="0075219A">
          <w:rPr>
            <w:webHidden/>
          </w:rPr>
          <w:t>67</w:t>
        </w:r>
        <w:r w:rsidR="0075219A">
          <w:rPr>
            <w:webHidden/>
          </w:rPr>
          <w:fldChar w:fldCharType="end"/>
        </w:r>
      </w:hyperlink>
    </w:p>
    <w:p w14:paraId="6BFC834B" w14:textId="77777777" w:rsidR="0075219A" w:rsidRDefault="009A2DB5">
      <w:pPr>
        <w:pStyle w:val="39"/>
        <w:rPr>
          <w:rFonts w:asciiTheme="minorHAnsi" w:eastAsiaTheme="minorEastAsia" w:hAnsiTheme="minorHAnsi" w:cstheme="minorBidi"/>
          <w:sz w:val="22"/>
          <w:szCs w:val="22"/>
          <w:lang w:eastAsia="ru-RU"/>
        </w:rPr>
      </w:pPr>
      <w:hyperlink w:anchor="_Toc168502036" w:history="1">
        <w:r w:rsidR="0075219A" w:rsidRPr="00E10183">
          <w:rPr>
            <w:rStyle w:val="afff0"/>
          </w:rPr>
          <w:t>3.8 Impairment of financial assets</w:t>
        </w:r>
        <w:r w:rsidR="0075219A">
          <w:rPr>
            <w:webHidden/>
          </w:rPr>
          <w:tab/>
        </w:r>
        <w:r w:rsidR="0075219A">
          <w:rPr>
            <w:webHidden/>
          </w:rPr>
          <w:fldChar w:fldCharType="begin"/>
        </w:r>
        <w:r w:rsidR="0075219A">
          <w:rPr>
            <w:webHidden/>
          </w:rPr>
          <w:instrText xml:space="preserve"> PAGEREF _Toc168502036 \h </w:instrText>
        </w:r>
        <w:r w:rsidR="0075219A">
          <w:rPr>
            <w:webHidden/>
          </w:rPr>
        </w:r>
        <w:r w:rsidR="0075219A">
          <w:rPr>
            <w:webHidden/>
          </w:rPr>
          <w:fldChar w:fldCharType="separate"/>
        </w:r>
        <w:r w:rsidR="0075219A">
          <w:rPr>
            <w:webHidden/>
          </w:rPr>
          <w:t>68</w:t>
        </w:r>
        <w:r w:rsidR="0075219A">
          <w:rPr>
            <w:webHidden/>
          </w:rPr>
          <w:fldChar w:fldCharType="end"/>
        </w:r>
      </w:hyperlink>
    </w:p>
    <w:p w14:paraId="5145C204" w14:textId="77777777" w:rsidR="0075219A" w:rsidRDefault="009A2DB5">
      <w:pPr>
        <w:pStyle w:val="39"/>
        <w:rPr>
          <w:rFonts w:asciiTheme="minorHAnsi" w:eastAsiaTheme="minorEastAsia" w:hAnsiTheme="minorHAnsi" w:cstheme="minorBidi"/>
          <w:sz w:val="22"/>
          <w:szCs w:val="22"/>
          <w:lang w:eastAsia="ru-RU"/>
        </w:rPr>
      </w:pPr>
      <w:hyperlink w:anchor="_Toc168502037" w:history="1">
        <w:r w:rsidR="0075219A" w:rsidRPr="00E10183">
          <w:rPr>
            <w:rStyle w:val="afff0"/>
          </w:rPr>
          <w:t>3.9 Offsetting a financial asset and a financial liability</w:t>
        </w:r>
        <w:r w:rsidR="0075219A">
          <w:rPr>
            <w:webHidden/>
          </w:rPr>
          <w:tab/>
        </w:r>
        <w:r w:rsidR="0075219A">
          <w:rPr>
            <w:webHidden/>
          </w:rPr>
          <w:fldChar w:fldCharType="begin"/>
        </w:r>
        <w:r w:rsidR="0075219A">
          <w:rPr>
            <w:webHidden/>
          </w:rPr>
          <w:instrText xml:space="preserve"> PAGEREF _Toc168502037 \h </w:instrText>
        </w:r>
        <w:r w:rsidR="0075219A">
          <w:rPr>
            <w:webHidden/>
          </w:rPr>
        </w:r>
        <w:r w:rsidR="0075219A">
          <w:rPr>
            <w:webHidden/>
          </w:rPr>
          <w:fldChar w:fldCharType="separate"/>
        </w:r>
        <w:r w:rsidR="0075219A">
          <w:rPr>
            <w:webHidden/>
          </w:rPr>
          <w:t>72</w:t>
        </w:r>
        <w:r w:rsidR="0075219A">
          <w:rPr>
            <w:webHidden/>
          </w:rPr>
          <w:fldChar w:fldCharType="end"/>
        </w:r>
      </w:hyperlink>
    </w:p>
    <w:p w14:paraId="7C30F156" w14:textId="77777777" w:rsidR="0075219A" w:rsidRDefault="009A2DB5">
      <w:pPr>
        <w:pStyle w:val="39"/>
        <w:rPr>
          <w:rFonts w:asciiTheme="minorHAnsi" w:eastAsiaTheme="minorEastAsia" w:hAnsiTheme="minorHAnsi" w:cstheme="minorBidi"/>
          <w:sz w:val="22"/>
          <w:szCs w:val="22"/>
          <w:lang w:eastAsia="ru-RU"/>
        </w:rPr>
      </w:pPr>
      <w:hyperlink w:anchor="_Toc168502038" w:history="1">
        <w:r w:rsidR="0075219A" w:rsidRPr="00E10183">
          <w:rPr>
            <w:rStyle w:val="afff0"/>
          </w:rPr>
          <w:t>3.10. Financial liabilities</w:t>
        </w:r>
        <w:r w:rsidR="0075219A">
          <w:rPr>
            <w:webHidden/>
          </w:rPr>
          <w:tab/>
        </w:r>
        <w:r w:rsidR="0075219A">
          <w:rPr>
            <w:webHidden/>
          </w:rPr>
          <w:fldChar w:fldCharType="begin"/>
        </w:r>
        <w:r w:rsidR="0075219A">
          <w:rPr>
            <w:webHidden/>
          </w:rPr>
          <w:instrText xml:space="preserve"> PAGEREF _Toc168502038 \h </w:instrText>
        </w:r>
        <w:r w:rsidR="0075219A">
          <w:rPr>
            <w:webHidden/>
          </w:rPr>
        </w:r>
        <w:r w:rsidR="0075219A">
          <w:rPr>
            <w:webHidden/>
          </w:rPr>
          <w:fldChar w:fldCharType="separate"/>
        </w:r>
        <w:r w:rsidR="0075219A">
          <w:rPr>
            <w:webHidden/>
          </w:rPr>
          <w:t>74</w:t>
        </w:r>
        <w:r w:rsidR="0075219A">
          <w:rPr>
            <w:webHidden/>
          </w:rPr>
          <w:fldChar w:fldCharType="end"/>
        </w:r>
      </w:hyperlink>
    </w:p>
    <w:p w14:paraId="7CA760EE" w14:textId="77777777" w:rsidR="0075219A" w:rsidRDefault="009A2DB5">
      <w:pPr>
        <w:pStyle w:val="39"/>
        <w:rPr>
          <w:rFonts w:asciiTheme="minorHAnsi" w:eastAsiaTheme="minorEastAsia" w:hAnsiTheme="minorHAnsi" w:cstheme="minorBidi"/>
          <w:sz w:val="22"/>
          <w:szCs w:val="22"/>
          <w:lang w:eastAsia="ru-RU"/>
        </w:rPr>
      </w:pPr>
      <w:hyperlink w:anchor="_Toc168502039" w:history="1">
        <w:r w:rsidR="0075219A" w:rsidRPr="00E10183">
          <w:rPr>
            <w:rStyle w:val="afff0"/>
          </w:rPr>
          <w:t>3.11. Liabilities and equity</w:t>
        </w:r>
        <w:r w:rsidR="0075219A">
          <w:rPr>
            <w:webHidden/>
          </w:rPr>
          <w:tab/>
        </w:r>
        <w:r w:rsidR="0075219A">
          <w:rPr>
            <w:webHidden/>
          </w:rPr>
          <w:fldChar w:fldCharType="begin"/>
        </w:r>
        <w:r w:rsidR="0075219A">
          <w:rPr>
            <w:webHidden/>
          </w:rPr>
          <w:instrText xml:space="preserve"> PAGEREF _Toc168502039 \h </w:instrText>
        </w:r>
        <w:r w:rsidR="0075219A">
          <w:rPr>
            <w:webHidden/>
          </w:rPr>
        </w:r>
        <w:r w:rsidR="0075219A">
          <w:rPr>
            <w:webHidden/>
          </w:rPr>
          <w:fldChar w:fldCharType="separate"/>
        </w:r>
        <w:r w:rsidR="0075219A">
          <w:rPr>
            <w:webHidden/>
          </w:rPr>
          <w:t>79</w:t>
        </w:r>
        <w:r w:rsidR="0075219A">
          <w:rPr>
            <w:webHidden/>
          </w:rPr>
          <w:fldChar w:fldCharType="end"/>
        </w:r>
      </w:hyperlink>
    </w:p>
    <w:p w14:paraId="3C3E91DB" w14:textId="77777777" w:rsidR="0075219A" w:rsidRDefault="009A2DB5">
      <w:pPr>
        <w:pStyle w:val="39"/>
        <w:rPr>
          <w:rFonts w:asciiTheme="minorHAnsi" w:eastAsiaTheme="minorEastAsia" w:hAnsiTheme="minorHAnsi" w:cstheme="minorBidi"/>
          <w:sz w:val="22"/>
          <w:szCs w:val="22"/>
          <w:lang w:eastAsia="ru-RU"/>
        </w:rPr>
      </w:pPr>
      <w:hyperlink w:anchor="_Toc168502040" w:history="1">
        <w:r w:rsidR="0075219A" w:rsidRPr="00E10183">
          <w:rPr>
            <w:rStyle w:val="afff0"/>
          </w:rPr>
          <w:t>3.12. Accounting for income and expenses from financial assets and financial liabilities</w:t>
        </w:r>
        <w:r w:rsidR="0075219A">
          <w:rPr>
            <w:webHidden/>
          </w:rPr>
          <w:tab/>
        </w:r>
        <w:r w:rsidR="0075219A">
          <w:rPr>
            <w:webHidden/>
          </w:rPr>
          <w:fldChar w:fldCharType="begin"/>
        </w:r>
        <w:r w:rsidR="0075219A">
          <w:rPr>
            <w:webHidden/>
          </w:rPr>
          <w:instrText xml:space="preserve"> PAGEREF _Toc168502040 \h </w:instrText>
        </w:r>
        <w:r w:rsidR="0075219A">
          <w:rPr>
            <w:webHidden/>
          </w:rPr>
        </w:r>
        <w:r w:rsidR="0075219A">
          <w:rPr>
            <w:webHidden/>
          </w:rPr>
          <w:fldChar w:fldCharType="separate"/>
        </w:r>
        <w:r w:rsidR="0075219A">
          <w:rPr>
            <w:webHidden/>
          </w:rPr>
          <w:t>84</w:t>
        </w:r>
        <w:r w:rsidR="0075219A">
          <w:rPr>
            <w:webHidden/>
          </w:rPr>
          <w:fldChar w:fldCharType="end"/>
        </w:r>
      </w:hyperlink>
    </w:p>
    <w:p w14:paraId="476E6117" w14:textId="77777777" w:rsidR="0075219A" w:rsidRDefault="009A2DB5">
      <w:pPr>
        <w:pStyle w:val="39"/>
        <w:rPr>
          <w:rFonts w:asciiTheme="minorHAnsi" w:eastAsiaTheme="minorEastAsia" w:hAnsiTheme="minorHAnsi" w:cstheme="minorBidi"/>
          <w:sz w:val="22"/>
          <w:szCs w:val="22"/>
          <w:lang w:eastAsia="ru-RU"/>
        </w:rPr>
      </w:pPr>
      <w:hyperlink w:anchor="_Toc168502041" w:history="1">
        <w:r w:rsidR="0075219A" w:rsidRPr="00E10183">
          <w:rPr>
            <w:rStyle w:val="afff0"/>
          </w:rPr>
          <w:t>3.13. Accounting for disposal of financial instruments</w:t>
        </w:r>
        <w:r w:rsidR="0075219A">
          <w:rPr>
            <w:webHidden/>
          </w:rPr>
          <w:tab/>
        </w:r>
        <w:r w:rsidR="0075219A">
          <w:rPr>
            <w:webHidden/>
          </w:rPr>
          <w:fldChar w:fldCharType="begin"/>
        </w:r>
        <w:r w:rsidR="0075219A">
          <w:rPr>
            <w:webHidden/>
          </w:rPr>
          <w:instrText xml:space="preserve"> PAGEREF _Toc168502041 \h </w:instrText>
        </w:r>
        <w:r w:rsidR="0075219A">
          <w:rPr>
            <w:webHidden/>
          </w:rPr>
        </w:r>
        <w:r w:rsidR="0075219A">
          <w:rPr>
            <w:webHidden/>
          </w:rPr>
          <w:fldChar w:fldCharType="separate"/>
        </w:r>
        <w:r w:rsidR="0075219A">
          <w:rPr>
            <w:webHidden/>
          </w:rPr>
          <w:t>86</w:t>
        </w:r>
        <w:r w:rsidR="0075219A">
          <w:rPr>
            <w:webHidden/>
          </w:rPr>
          <w:fldChar w:fldCharType="end"/>
        </w:r>
      </w:hyperlink>
    </w:p>
    <w:p w14:paraId="708F83B9" w14:textId="77777777" w:rsidR="0075219A" w:rsidRDefault="009A2DB5">
      <w:pPr>
        <w:pStyle w:val="39"/>
        <w:rPr>
          <w:rFonts w:asciiTheme="minorHAnsi" w:eastAsiaTheme="minorEastAsia" w:hAnsiTheme="minorHAnsi" w:cstheme="minorBidi"/>
          <w:sz w:val="22"/>
          <w:szCs w:val="22"/>
          <w:lang w:eastAsia="ru-RU"/>
        </w:rPr>
      </w:pPr>
      <w:hyperlink w:anchor="_Toc168502042" w:history="1">
        <w:r w:rsidR="0075219A" w:rsidRPr="00E10183">
          <w:rPr>
            <w:rStyle w:val="afff0"/>
          </w:rPr>
          <w:t>3.14. Other operations</w:t>
        </w:r>
        <w:r w:rsidR="0075219A">
          <w:rPr>
            <w:webHidden/>
          </w:rPr>
          <w:tab/>
        </w:r>
        <w:r w:rsidR="0075219A">
          <w:rPr>
            <w:webHidden/>
          </w:rPr>
          <w:fldChar w:fldCharType="begin"/>
        </w:r>
        <w:r w:rsidR="0075219A">
          <w:rPr>
            <w:webHidden/>
          </w:rPr>
          <w:instrText xml:space="preserve"> PAGEREF _Toc168502042 \h </w:instrText>
        </w:r>
        <w:r w:rsidR="0075219A">
          <w:rPr>
            <w:webHidden/>
          </w:rPr>
        </w:r>
        <w:r w:rsidR="0075219A">
          <w:rPr>
            <w:webHidden/>
          </w:rPr>
          <w:fldChar w:fldCharType="separate"/>
        </w:r>
        <w:r w:rsidR="0075219A">
          <w:rPr>
            <w:webHidden/>
          </w:rPr>
          <w:t>91</w:t>
        </w:r>
        <w:r w:rsidR="0075219A">
          <w:rPr>
            <w:webHidden/>
          </w:rPr>
          <w:fldChar w:fldCharType="end"/>
        </w:r>
      </w:hyperlink>
    </w:p>
    <w:p w14:paraId="4CBD3E47" w14:textId="77777777" w:rsidR="0075219A" w:rsidRDefault="009A2DB5">
      <w:pPr>
        <w:pStyle w:val="39"/>
        <w:rPr>
          <w:rFonts w:asciiTheme="minorHAnsi" w:eastAsiaTheme="minorEastAsia" w:hAnsiTheme="minorHAnsi" w:cstheme="minorBidi"/>
          <w:sz w:val="22"/>
          <w:szCs w:val="22"/>
          <w:lang w:eastAsia="ru-RU"/>
        </w:rPr>
      </w:pPr>
      <w:hyperlink w:anchor="_Toc168502043" w:history="1">
        <w:r w:rsidR="0075219A" w:rsidRPr="00E10183">
          <w:rPr>
            <w:rStyle w:val="afff0"/>
          </w:rPr>
          <w:t>3.15. Disclosure of information</w:t>
        </w:r>
        <w:r w:rsidR="0075219A">
          <w:rPr>
            <w:webHidden/>
          </w:rPr>
          <w:tab/>
        </w:r>
        <w:r w:rsidR="0075219A">
          <w:rPr>
            <w:webHidden/>
          </w:rPr>
          <w:fldChar w:fldCharType="begin"/>
        </w:r>
        <w:r w:rsidR="0075219A">
          <w:rPr>
            <w:webHidden/>
          </w:rPr>
          <w:instrText xml:space="preserve"> PAGEREF _Toc168502043 \h </w:instrText>
        </w:r>
        <w:r w:rsidR="0075219A">
          <w:rPr>
            <w:webHidden/>
          </w:rPr>
        </w:r>
        <w:r w:rsidR="0075219A">
          <w:rPr>
            <w:webHidden/>
          </w:rPr>
          <w:fldChar w:fldCharType="separate"/>
        </w:r>
        <w:r w:rsidR="0075219A">
          <w:rPr>
            <w:webHidden/>
          </w:rPr>
          <w:t>92</w:t>
        </w:r>
        <w:r w:rsidR="0075219A">
          <w:rPr>
            <w:webHidden/>
          </w:rPr>
          <w:fldChar w:fldCharType="end"/>
        </w:r>
      </w:hyperlink>
    </w:p>
    <w:p w14:paraId="130AFD31" w14:textId="77777777" w:rsidR="0075219A" w:rsidRDefault="009A2DB5">
      <w:pPr>
        <w:pStyle w:val="2b"/>
        <w:rPr>
          <w:rFonts w:asciiTheme="minorHAnsi" w:eastAsiaTheme="minorEastAsia" w:hAnsiTheme="minorHAnsi" w:cstheme="minorBidi"/>
          <w:b w:val="0"/>
          <w:sz w:val="22"/>
          <w:szCs w:val="22"/>
          <w:lang w:eastAsia="ru-RU"/>
        </w:rPr>
      </w:pPr>
      <w:hyperlink w:anchor="_Toc168502044" w:history="1">
        <w:r w:rsidR="0075219A" w:rsidRPr="00E10183">
          <w:rPr>
            <w:rStyle w:val="afff0"/>
            <w:rFonts w:ascii="Times New Roman" w:hAnsi="Times New Roman"/>
          </w:rPr>
          <w:t>Section 4: Inventories (IAS 2)</w:t>
        </w:r>
        <w:r w:rsidR="0075219A">
          <w:rPr>
            <w:webHidden/>
          </w:rPr>
          <w:tab/>
        </w:r>
        <w:r w:rsidR="0075219A">
          <w:rPr>
            <w:webHidden/>
          </w:rPr>
          <w:fldChar w:fldCharType="begin"/>
        </w:r>
        <w:r w:rsidR="0075219A">
          <w:rPr>
            <w:webHidden/>
          </w:rPr>
          <w:instrText xml:space="preserve"> PAGEREF _Toc168502044 \h </w:instrText>
        </w:r>
        <w:r w:rsidR="0075219A">
          <w:rPr>
            <w:webHidden/>
          </w:rPr>
        </w:r>
        <w:r w:rsidR="0075219A">
          <w:rPr>
            <w:webHidden/>
          </w:rPr>
          <w:fldChar w:fldCharType="separate"/>
        </w:r>
        <w:r w:rsidR="0075219A">
          <w:rPr>
            <w:webHidden/>
          </w:rPr>
          <w:t>101</w:t>
        </w:r>
        <w:r w:rsidR="0075219A">
          <w:rPr>
            <w:webHidden/>
          </w:rPr>
          <w:fldChar w:fldCharType="end"/>
        </w:r>
      </w:hyperlink>
    </w:p>
    <w:p w14:paraId="279FFAA6" w14:textId="77777777" w:rsidR="0075219A" w:rsidRDefault="009A2DB5">
      <w:pPr>
        <w:pStyle w:val="39"/>
        <w:rPr>
          <w:rFonts w:asciiTheme="minorHAnsi" w:eastAsiaTheme="minorEastAsia" w:hAnsiTheme="minorHAnsi" w:cstheme="minorBidi"/>
          <w:sz w:val="22"/>
          <w:szCs w:val="22"/>
          <w:lang w:eastAsia="ru-RU"/>
        </w:rPr>
      </w:pPr>
      <w:hyperlink w:anchor="_Toc168502045" w:history="1">
        <w:r w:rsidR="0075219A" w:rsidRPr="00E10183">
          <w:rPr>
            <w:rStyle w:val="afff0"/>
          </w:rPr>
          <w:t>4.1 General provisions</w:t>
        </w:r>
        <w:r w:rsidR="0075219A">
          <w:rPr>
            <w:webHidden/>
          </w:rPr>
          <w:tab/>
        </w:r>
        <w:r w:rsidR="0075219A">
          <w:rPr>
            <w:webHidden/>
          </w:rPr>
          <w:fldChar w:fldCharType="begin"/>
        </w:r>
        <w:r w:rsidR="0075219A">
          <w:rPr>
            <w:webHidden/>
          </w:rPr>
          <w:instrText xml:space="preserve"> PAGEREF _Toc168502045 \h </w:instrText>
        </w:r>
        <w:r w:rsidR="0075219A">
          <w:rPr>
            <w:webHidden/>
          </w:rPr>
        </w:r>
        <w:r w:rsidR="0075219A">
          <w:rPr>
            <w:webHidden/>
          </w:rPr>
          <w:fldChar w:fldCharType="separate"/>
        </w:r>
        <w:r w:rsidR="0075219A">
          <w:rPr>
            <w:webHidden/>
          </w:rPr>
          <w:t>101</w:t>
        </w:r>
        <w:r w:rsidR="0075219A">
          <w:rPr>
            <w:webHidden/>
          </w:rPr>
          <w:fldChar w:fldCharType="end"/>
        </w:r>
      </w:hyperlink>
    </w:p>
    <w:p w14:paraId="3F5F6E79" w14:textId="77777777" w:rsidR="0075219A" w:rsidRDefault="009A2DB5">
      <w:pPr>
        <w:pStyle w:val="39"/>
        <w:rPr>
          <w:rFonts w:asciiTheme="minorHAnsi" w:eastAsiaTheme="minorEastAsia" w:hAnsiTheme="minorHAnsi" w:cstheme="minorBidi"/>
          <w:sz w:val="22"/>
          <w:szCs w:val="22"/>
          <w:lang w:eastAsia="ru-RU"/>
        </w:rPr>
      </w:pPr>
      <w:hyperlink w:anchor="_Toc168502046" w:history="1">
        <w:r w:rsidR="0075219A" w:rsidRPr="00E10183">
          <w:rPr>
            <w:rStyle w:val="afff0"/>
          </w:rPr>
          <w:t>4.2 Definitions</w:t>
        </w:r>
        <w:r w:rsidR="0075219A">
          <w:rPr>
            <w:webHidden/>
          </w:rPr>
          <w:tab/>
        </w:r>
        <w:r w:rsidR="0075219A">
          <w:rPr>
            <w:webHidden/>
          </w:rPr>
          <w:fldChar w:fldCharType="begin"/>
        </w:r>
        <w:r w:rsidR="0075219A">
          <w:rPr>
            <w:webHidden/>
          </w:rPr>
          <w:instrText xml:space="preserve"> PAGEREF _Toc168502046 \h </w:instrText>
        </w:r>
        <w:r w:rsidR="0075219A">
          <w:rPr>
            <w:webHidden/>
          </w:rPr>
        </w:r>
        <w:r w:rsidR="0075219A">
          <w:rPr>
            <w:webHidden/>
          </w:rPr>
          <w:fldChar w:fldCharType="separate"/>
        </w:r>
        <w:r w:rsidR="0075219A">
          <w:rPr>
            <w:webHidden/>
          </w:rPr>
          <w:t>101</w:t>
        </w:r>
        <w:r w:rsidR="0075219A">
          <w:rPr>
            <w:webHidden/>
          </w:rPr>
          <w:fldChar w:fldCharType="end"/>
        </w:r>
      </w:hyperlink>
    </w:p>
    <w:p w14:paraId="4B1DEC53" w14:textId="77777777" w:rsidR="0075219A" w:rsidRDefault="009A2DB5">
      <w:pPr>
        <w:pStyle w:val="39"/>
        <w:rPr>
          <w:rFonts w:asciiTheme="minorHAnsi" w:eastAsiaTheme="minorEastAsia" w:hAnsiTheme="minorHAnsi" w:cstheme="minorBidi"/>
          <w:sz w:val="22"/>
          <w:szCs w:val="22"/>
          <w:lang w:eastAsia="ru-RU"/>
        </w:rPr>
      </w:pPr>
      <w:hyperlink w:anchor="_Toc168502047" w:history="1">
        <w:r w:rsidR="0075219A" w:rsidRPr="00E10183">
          <w:rPr>
            <w:rStyle w:val="afff0"/>
          </w:rPr>
          <w:t>4.3 Classification</w:t>
        </w:r>
        <w:r w:rsidR="0075219A">
          <w:rPr>
            <w:webHidden/>
          </w:rPr>
          <w:tab/>
        </w:r>
        <w:r w:rsidR="0075219A">
          <w:rPr>
            <w:webHidden/>
          </w:rPr>
          <w:fldChar w:fldCharType="begin"/>
        </w:r>
        <w:r w:rsidR="0075219A">
          <w:rPr>
            <w:webHidden/>
          </w:rPr>
          <w:instrText xml:space="preserve"> PAGEREF _Toc168502047 \h </w:instrText>
        </w:r>
        <w:r w:rsidR="0075219A">
          <w:rPr>
            <w:webHidden/>
          </w:rPr>
        </w:r>
        <w:r w:rsidR="0075219A">
          <w:rPr>
            <w:webHidden/>
          </w:rPr>
          <w:fldChar w:fldCharType="separate"/>
        </w:r>
        <w:r w:rsidR="0075219A">
          <w:rPr>
            <w:webHidden/>
          </w:rPr>
          <w:t>101</w:t>
        </w:r>
        <w:r w:rsidR="0075219A">
          <w:rPr>
            <w:webHidden/>
          </w:rPr>
          <w:fldChar w:fldCharType="end"/>
        </w:r>
      </w:hyperlink>
    </w:p>
    <w:p w14:paraId="56001A39" w14:textId="77777777" w:rsidR="0075219A" w:rsidRDefault="009A2DB5">
      <w:pPr>
        <w:pStyle w:val="39"/>
        <w:rPr>
          <w:rFonts w:asciiTheme="minorHAnsi" w:eastAsiaTheme="minorEastAsia" w:hAnsiTheme="minorHAnsi" w:cstheme="minorBidi"/>
          <w:sz w:val="22"/>
          <w:szCs w:val="22"/>
          <w:lang w:eastAsia="ru-RU"/>
        </w:rPr>
      </w:pPr>
      <w:hyperlink w:anchor="_Toc168502048" w:history="1">
        <w:r w:rsidR="0075219A" w:rsidRPr="00E10183">
          <w:rPr>
            <w:rStyle w:val="afff0"/>
          </w:rPr>
          <w:t>4.4 Accounting policies</w:t>
        </w:r>
        <w:r w:rsidR="0075219A">
          <w:rPr>
            <w:webHidden/>
          </w:rPr>
          <w:tab/>
        </w:r>
        <w:r w:rsidR="0075219A">
          <w:rPr>
            <w:webHidden/>
          </w:rPr>
          <w:fldChar w:fldCharType="begin"/>
        </w:r>
        <w:r w:rsidR="0075219A">
          <w:rPr>
            <w:webHidden/>
          </w:rPr>
          <w:instrText xml:space="preserve"> PAGEREF _Toc168502048 \h </w:instrText>
        </w:r>
        <w:r w:rsidR="0075219A">
          <w:rPr>
            <w:webHidden/>
          </w:rPr>
        </w:r>
        <w:r w:rsidR="0075219A">
          <w:rPr>
            <w:webHidden/>
          </w:rPr>
          <w:fldChar w:fldCharType="separate"/>
        </w:r>
        <w:r w:rsidR="0075219A">
          <w:rPr>
            <w:webHidden/>
          </w:rPr>
          <w:t>101</w:t>
        </w:r>
        <w:r w:rsidR="0075219A">
          <w:rPr>
            <w:webHidden/>
          </w:rPr>
          <w:fldChar w:fldCharType="end"/>
        </w:r>
      </w:hyperlink>
    </w:p>
    <w:p w14:paraId="5CFAD007" w14:textId="77777777" w:rsidR="0075219A" w:rsidRDefault="009A2DB5">
      <w:pPr>
        <w:pStyle w:val="39"/>
        <w:rPr>
          <w:rFonts w:asciiTheme="minorHAnsi" w:eastAsiaTheme="minorEastAsia" w:hAnsiTheme="minorHAnsi" w:cstheme="minorBidi"/>
          <w:sz w:val="22"/>
          <w:szCs w:val="22"/>
          <w:lang w:eastAsia="ru-RU"/>
        </w:rPr>
      </w:pPr>
      <w:hyperlink w:anchor="_Toc168502049" w:history="1">
        <w:r w:rsidR="0075219A" w:rsidRPr="00E10183">
          <w:rPr>
            <w:rStyle w:val="afff0"/>
          </w:rPr>
          <w:t>4.5 Disclosure of information</w:t>
        </w:r>
        <w:r w:rsidR="0075219A">
          <w:rPr>
            <w:webHidden/>
          </w:rPr>
          <w:tab/>
        </w:r>
        <w:r w:rsidR="0075219A">
          <w:rPr>
            <w:webHidden/>
          </w:rPr>
          <w:fldChar w:fldCharType="begin"/>
        </w:r>
        <w:r w:rsidR="0075219A">
          <w:rPr>
            <w:webHidden/>
          </w:rPr>
          <w:instrText xml:space="preserve"> PAGEREF _Toc168502049 \h </w:instrText>
        </w:r>
        <w:r w:rsidR="0075219A">
          <w:rPr>
            <w:webHidden/>
          </w:rPr>
        </w:r>
        <w:r w:rsidR="0075219A">
          <w:rPr>
            <w:webHidden/>
          </w:rPr>
          <w:fldChar w:fldCharType="separate"/>
        </w:r>
        <w:r w:rsidR="0075219A">
          <w:rPr>
            <w:webHidden/>
          </w:rPr>
          <w:t>103</w:t>
        </w:r>
        <w:r w:rsidR="0075219A">
          <w:rPr>
            <w:webHidden/>
          </w:rPr>
          <w:fldChar w:fldCharType="end"/>
        </w:r>
      </w:hyperlink>
    </w:p>
    <w:p w14:paraId="1D0B75C9" w14:textId="77777777" w:rsidR="0075219A" w:rsidRDefault="009A2DB5">
      <w:pPr>
        <w:pStyle w:val="2b"/>
        <w:rPr>
          <w:rFonts w:asciiTheme="minorHAnsi" w:eastAsiaTheme="minorEastAsia" w:hAnsiTheme="minorHAnsi" w:cstheme="minorBidi"/>
          <w:b w:val="0"/>
          <w:sz w:val="22"/>
          <w:szCs w:val="22"/>
          <w:lang w:eastAsia="ru-RU"/>
        </w:rPr>
      </w:pPr>
      <w:hyperlink w:anchor="_Toc168502050" w:history="1">
        <w:r w:rsidR="0075219A" w:rsidRPr="00E10183">
          <w:rPr>
            <w:rStyle w:val="afff0"/>
            <w:rFonts w:ascii="Times New Roman" w:hAnsi="Times New Roman"/>
          </w:rPr>
          <w:t>Section 5: Cash and Cash Equivalents (IAS 7)</w:t>
        </w:r>
        <w:r w:rsidR="0075219A">
          <w:rPr>
            <w:webHidden/>
          </w:rPr>
          <w:tab/>
        </w:r>
        <w:r w:rsidR="0075219A">
          <w:rPr>
            <w:webHidden/>
          </w:rPr>
          <w:fldChar w:fldCharType="begin"/>
        </w:r>
        <w:r w:rsidR="0075219A">
          <w:rPr>
            <w:webHidden/>
          </w:rPr>
          <w:instrText xml:space="preserve"> PAGEREF _Toc168502050 \h </w:instrText>
        </w:r>
        <w:r w:rsidR="0075219A">
          <w:rPr>
            <w:webHidden/>
          </w:rPr>
        </w:r>
        <w:r w:rsidR="0075219A">
          <w:rPr>
            <w:webHidden/>
          </w:rPr>
          <w:fldChar w:fldCharType="separate"/>
        </w:r>
        <w:r w:rsidR="0075219A">
          <w:rPr>
            <w:webHidden/>
          </w:rPr>
          <w:t>104</w:t>
        </w:r>
        <w:r w:rsidR="0075219A">
          <w:rPr>
            <w:webHidden/>
          </w:rPr>
          <w:fldChar w:fldCharType="end"/>
        </w:r>
      </w:hyperlink>
    </w:p>
    <w:p w14:paraId="5BB2604F" w14:textId="77777777" w:rsidR="0075219A" w:rsidRDefault="009A2DB5">
      <w:pPr>
        <w:pStyle w:val="39"/>
        <w:rPr>
          <w:rFonts w:asciiTheme="minorHAnsi" w:eastAsiaTheme="minorEastAsia" w:hAnsiTheme="minorHAnsi" w:cstheme="minorBidi"/>
          <w:sz w:val="22"/>
          <w:szCs w:val="22"/>
          <w:lang w:eastAsia="ru-RU"/>
        </w:rPr>
      </w:pPr>
      <w:hyperlink w:anchor="_Toc168502051" w:history="1">
        <w:r w:rsidR="0075219A" w:rsidRPr="00E10183">
          <w:rPr>
            <w:rStyle w:val="afff0"/>
          </w:rPr>
          <w:t>5.1 General provisions</w:t>
        </w:r>
        <w:r w:rsidR="0075219A">
          <w:rPr>
            <w:webHidden/>
          </w:rPr>
          <w:tab/>
        </w:r>
        <w:r w:rsidR="0075219A">
          <w:rPr>
            <w:webHidden/>
          </w:rPr>
          <w:fldChar w:fldCharType="begin"/>
        </w:r>
        <w:r w:rsidR="0075219A">
          <w:rPr>
            <w:webHidden/>
          </w:rPr>
          <w:instrText xml:space="preserve"> PAGEREF _Toc168502051 \h </w:instrText>
        </w:r>
        <w:r w:rsidR="0075219A">
          <w:rPr>
            <w:webHidden/>
          </w:rPr>
        </w:r>
        <w:r w:rsidR="0075219A">
          <w:rPr>
            <w:webHidden/>
          </w:rPr>
          <w:fldChar w:fldCharType="separate"/>
        </w:r>
        <w:r w:rsidR="0075219A">
          <w:rPr>
            <w:webHidden/>
          </w:rPr>
          <w:t>104</w:t>
        </w:r>
        <w:r w:rsidR="0075219A">
          <w:rPr>
            <w:webHidden/>
          </w:rPr>
          <w:fldChar w:fldCharType="end"/>
        </w:r>
      </w:hyperlink>
    </w:p>
    <w:p w14:paraId="65258AB1" w14:textId="77777777" w:rsidR="0075219A" w:rsidRDefault="009A2DB5">
      <w:pPr>
        <w:pStyle w:val="39"/>
        <w:rPr>
          <w:rFonts w:asciiTheme="minorHAnsi" w:eastAsiaTheme="minorEastAsia" w:hAnsiTheme="minorHAnsi" w:cstheme="minorBidi"/>
          <w:sz w:val="22"/>
          <w:szCs w:val="22"/>
          <w:lang w:eastAsia="ru-RU"/>
        </w:rPr>
      </w:pPr>
      <w:hyperlink w:anchor="_Toc168502052" w:history="1">
        <w:r w:rsidR="0075219A" w:rsidRPr="00E10183">
          <w:rPr>
            <w:rStyle w:val="afff0"/>
          </w:rPr>
          <w:t>5.2 Definitions</w:t>
        </w:r>
        <w:r w:rsidR="0075219A">
          <w:rPr>
            <w:webHidden/>
          </w:rPr>
          <w:tab/>
        </w:r>
        <w:r w:rsidR="0075219A">
          <w:rPr>
            <w:webHidden/>
          </w:rPr>
          <w:fldChar w:fldCharType="begin"/>
        </w:r>
        <w:r w:rsidR="0075219A">
          <w:rPr>
            <w:webHidden/>
          </w:rPr>
          <w:instrText xml:space="preserve"> PAGEREF _Toc168502052 \h </w:instrText>
        </w:r>
        <w:r w:rsidR="0075219A">
          <w:rPr>
            <w:webHidden/>
          </w:rPr>
        </w:r>
        <w:r w:rsidR="0075219A">
          <w:rPr>
            <w:webHidden/>
          </w:rPr>
          <w:fldChar w:fldCharType="separate"/>
        </w:r>
        <w:r w:rsidR="0075219A">
          <w:rPr>
            <w:webHidden/>
          </w:rPr>
          <w:t>104</w:t>
        </w:r>
        <w:r w:rsidR="0075219A">
          <w:rPr>
            <w:webHidden/>
          </w:rPr>
          <w:fldChar w:fldCharType="end"/>
        </w:r>
      </w:hyperlink>
    </w:p>
    <w:p w14:paraId="6C4699E4" w14:textId="77777777" w:rsidR="0075219A" w:rsidRDefault="009A2DB5">
      <w:pPr>
        <w:pStyle w:val="39"/>
        <w:rPr>
          <w:rFonts w:asciiTheme="minorHAnsi" w:eastAsiaTheme="minorEastAsia" w:hAnsiTheme="minorHAnsi" w:cstheme="minorBidi"/>
          <w:sz w:val="22"/>
          <w:szCs w:val="22"/>
          <w:lang w:eastAsia="ru-RU"/>
        </w:rPr>
      </w:pPr>
      <w:hyperlink w:anchor="_Toc168502053" w:history="1">
        <w:r w:rsidR="0075219A" w:rsidRPr="00E10183">
          <w:rPr>
            <w:rStyle w:val="afff0"/>
          </w:rPr>
          <w:t>5.3 Accounting policies</w:t>
        </w:r>
        <w:r w:rsidR="0075219A">
          <w:rPr>
            <w:webHidden/>
          </w:rPr>
          <w:tab/>
        </w:r>
        <w:r w:rsidR="0075219A">
          <w:rPr>
            <w:webHidden/>
          </w:rPr>
          <w:fldChar w:fldCharType="begin"/>
        </w:r>
        <w:r w:rsidR="0075219A">
          <w:rPr>
            <w:webHidden/>
          </w:rPr>
          <w:instrText xml:space="preserve"> PAGEREF _Toc168502053 \h </w:instrText>
        </w:r>
        <w:r w:rsidR="0075219A">
          <w:rPr>
            <w:webHidden/>
          </w:rPr>
        </w:r>
        <w:r w:rsidR="0075219A">
          <w:rPr>
            <w:webHidden/>
          </w:rPr>
          <w:fldChar w:fldCharType="separate"/>
        </w:r>
        <w:r w:rsidR="0075219A">
          <w:rPr>
            <w:webHidden/>
          </w:rPr>
          <w:t>104</w:t>
        </w:r>
        <w:r w:rsidR="0075219A">
          <w:rPr>
            <w:webHidden/>
          </w:rPr>
          <w:fldChar w:fldCharType="end"/>
        </w:r>
      </w:hyperlink>
    </w:p>
    <w:p w14:paraId="6B8AA7C0" w14:textId="77777777" w:rsidR="0075219A" w:rsidRDefault="009A2DB5">
      <w:pPr>
        <w:pStyle w:val="39"/>
        <w:rPr>
          <w:rFonts w:asciiTheme="minorHAnsi" w:eastAsiaTheme="minorEastAsia" w:hAnsiTheme="minorHAnsi" w:cstheme="minorBidi"/>
          <w:sz w:val="22"/>
          <w:szCs w:val="22"/>
          <w:lang w:eastAsia="ru-RU"/>
        </w:rPr>
      </w:pPr>
      <w:hyperlink w:anchor="_Toc168502054" w:history="1">
        <w:r w:rsidR="0075219A" w:rsidRPr="00E10183">
          <w:rPr>
            <w:rStyle w:val="afff0"/>
          </w:rPr>
          <w:t>5.4 Statement of Cash Flows</w:t>
        </w:r>
        <w:r w:rsidR="0075219A">
          <w:rPr>
            <w:webHidden/>
          </w:rPr>
          <w:tab/>
        </w:r>
        <w:r w:rsidR="0075219A">
          <w:rPr>
            <w:webHidden/>
          </w:rPr>
          <w:fldChar w:fldCharType="begin"/>
        </w:r>
        <w:r w:rsidR="0075219A">
          <w:rPr>
            <w:webHidden/>
          </w:rPr>
          <w:instrText xml:space="preserve"> PAGEREF _Toc168502054 \h </w:instrText>
        </w:r>
        <w:r w:rsidR="0075219A">
          <w:rPr>
            <w:webHidden/>
          </w:rPr>
        </w:r>
        <w:r w:rsidR="0075219A">
          <w:rPr>
            <w:webHidden/>
          </w:rPr>
          <w:fldChar w:fldCharType="separate"/>
        </w:r>
        <w:r w:rsidR="0075219A">
          <w:rPr>
            <w:webHidden/>
          </w:rPr>
          <w:t>105</w:t>
        </w:r>
        <w:r w:rsidR="0075219A">
          <w:rPr>
            <w:webHidden/>
          </w:rPr>
          <w:fldChar w:fldCharType="end"/>
        </w:r>
      </w:hyperlink>
    </w:p>
    <w:p w14:paraId="41526E8E" w14:textId="77777777" w:rsidR="0075219A" w:rsidRDefault="009A2DB5">
      <w:pPr>
        <w:pStyle w:val="39"/>
        <w:rPr>
          <w:rFonts w:asciiTheme="minorHAnsi" w:eastAsiaTheme="minorEastAsia" w:hAnsiTheme="minorHAnsi" w:cstheme="minorBidi"/>
          <w:sz w:val="22"/>
          <w:szCs w:val="22"/>
          <w:lang w:eastAsia="ru-RU"/>
        </w:rPr>
      </w:pPr>
      <w:hyperlink w:anchor="_Toc168502055" w:history="1">
        <w:r w:rsidR="0075219A" w:rsidRPr="00E10183">
          <w:rPr>
            <w:rStyle w:val="afff0"/>
          </w:rPr>
          <w:t>5.5 Disclosure of information</w:t>
        </w:r>
        <w:r w:rsidR="0075219A">
          <w:rPr>
            <w:webHidden/>
          </w:rPr>
          <w:tab/>
        </w:r>
        <w:r w:rsidR="0075219A">
          <w:rPr>
            <w:webHidden/>
          </w:rPr>
          <w:fldChar w:fldCharType="begin"/>
        </w:r>
        <w:r w:rsidR="0075219A">
          <w:rPr>
            <w:webHidden/>
          </w:rPr>
          <w:instrText xml:space="preserve"> PAGEREF _Toc168502055 \h </w:instrText>
        </w:r>
        <w:r w:rsidR="0075219A">
          <w:rPr>
            <w:webHidden/>
          </w:rPr>
        </w:r>
        <w:r w:rsidR="0075219A">
          <w:rPr>
            <w:webHidden/>
          </w:rPr>
          <w:fldChar w:fldCharType="separate"/>
        </w:r>
        <w:r w:rsidR="0075219A">
          <w:rPr>
            <w:webHidden/>
          </w:rPr>
          <w:t>107</w:t>
        </w:r>
        <w:r w:rsidR="0075219A">
          <w:rPr>
            <w:webHidden/>
          </w:rPr>
          <w:fldChar w:fldCharType="end"/>
        </w:r>
      </w:hyperlink>
    </w:p>
    <w:p w14:paraId="12681687" w14:textId="77777777" w:rsidR="0075219A" w:rsidRDefault="009A2DB5">
      <w:pPr>
        <w:pStyle w:val="2b"/>
        <w:rPr>
          <w:rFonts w:asciiTheme="minorHAnsi" w:eastAsiaTheme="minorEastAsia" w:hAnsiTheme="minorHAnsi" w:cstheme="minorBidi"/>
          <w:b w:val="0"/>
          <w:sz w:val="22"/>
          <w:szCs w:val="22"/>
          <w:lang w:eastAsia="ru-RU"/>
        </w:rPr>
      </w:pPr>
      <w:hyperlink w:anchor="_Toc168502056" w:history="1">
        <w:r w:rsidR="0075219A" w:rsidRPr="00E10183">
          <w:rPr>
            <w:rStyle w:val="afff0"/>
            <w:rFonts w:ascii="Times New Roman" w:hAnsi="Times New Roman"/>
          </w:rPr>
          <w:t>Section 6: Non-current Assets Held for Sale and Discontinued Operations (IFRS 5)</w:t>
        </w:r>
        <w:r w:rsidR="0075219A">
          <w:rPr>
            <w:webHidden/>
          </w:rPr>
          <w:tab/>
        </w:r>
        <w:r w:rsidR="0075219A">
          <w:rPr>
            <w:webHidden/>
          </w:rPr>
          <w:fldChar w:fldCharType="begin"/>
        </w:r>
        <w:r w:rsidR="0075219A">
          <w:rPr>
            <w:webHidden/>
          </w:rPr>
          <w:instrText xml:space="preserve"> PAGEREF _Toc168502056 \h </w:instrText>
        </w:r>
        <w:r w:rsidR="0075219A">
          <w:rPr>
            <w:webHidden/>
          </w:rPr>
        </w:r>
        <w:r w:rsidR="0075219A">
          <w:rPr>
            <w:webHidden/>
          </w:rPr>
          <w:fldChar w:fldCharType="separate"/>
        </w:r>
        <w:r w:rsidR="0075219A">
          <w:rPr>
            <w:webHidden/>
          </w:rPr>
          <w:t>109</w:t>
        </w:r>
        <w:r w:rsidR="0075219A">
          <w:rPr>
            <w:webHidden/>
          </w:rPr>
          <w:fldChar w:fldCharType="end"/>
        </w:r>
      </w:hyperlink>
    </w:p>
    <w:p w14:paraId="3E3503D2" w14:textId="77777777" w:rsidR="0075219A" w:rsidRDefault="009A2DB5">
      <w:pPr>
        <w:pStyle w:val="39"/>
        <w:rPr>
          <w:rFonts w:asciiTheme="minorHAnsi" w:eastAsiaTheme="minorEastAsia" w:hAnsiTheme="minorHAnsi" w:cstheme="minorBidi"/>
          <w:sz w:val="22"/>
          <w:szCs w:val="22"/>
          <w:lang w:eastAsia="ru-RU"/>
        </w:rPr>
      </w:pPr>
      <w:hyperlink w:anchor="_Toc168502057" w:history="1">
        <w:r w:rsidR="0075219A" w:rsidRPr="00E10183">
          <w:rPr>
            <w:rStyle w:val="afff0"/>
          </w:rPr>
          <w:t>6-1.1. General provisions</w:t>
        </w:r>
        <w:r w:rsidR="0075219A">
          <w:rPr>
            <w:webHidden/>
          </w:rPr>
          <w:tab/>
        </w:r>
        <w:r w:rsidR="0075219A">
          <w:rPr>
            <w:webHidden/>
          </w:rPr>
          <w:fldChar w:fldCharType="begin"/>
        </w:r>
        <w:r w:rsidR="0075219A">
          <w:rPr>
            <w:webHidden/>
          </w:rPr>
          <w:instrText xml:space="preserve"> PAGEREF _Toc168502057 \h </w:instrText>
        </w:r>
        <w:r w:rsidR="0075219A">
          <w:rPr>
            <w:webHidden/>
          </w:rPr>
        </w:r>
        <w:r w:rsidR="0075219A">
          <w:rPr>
            <w:webHidden/>
          </w:rPr>
          <w:fldChar w:fldCharType="separate"/>
        </w:r>
        <w:r w:rsidR="0075219A">
          <w:rPr>
            <w:webHidden/>
          </w:rPr>
          <w:t>109</w:t>
        </w:r>
        <w:r w:rsidR="0075219A">
          <w:rPr>
            <w:webHidden/>
          </w:rPr>
          <w:fldChar w:fldCharType="end"/>
        </w:r>
      </w:hyperlink>
    </w:p>
    <w:p w14:paraId="12E073C5" w14:textId="77777777" w:rsidR="0075219A" w:rsidRDefault="009A2DB5">
      <w:pPr>
        <w:pStyle w:val="39"/>
        <w:rPr>
          <w:rFonts w:asciiTheme="minorHAnsi" w:eastAsiaTheme="minorEastAsia" w:hAnsiTheme="minorHAnsi" w:cstheme="minorBidi"/>
          <w:sz w:val="22"/>
          <w:szCs w:val="22"/>
          <w:lang w:eastAsia="ru-RU"/>
        </w:rPr>
      </w:pPr>
      <w:hyperlink w:anchor="_Toc168502058" w:history="1">
        <w:r w:rsidR="0075219A" w:rsidRPr="00E10183">
          <w:rPr>
            <w:rStyle w:val="afff0"/>
          </w:rPr>
          <w:t>6-1.2. Accounting policies</w:t>
        </w:r>
        <w:r w:rsidR="0075219A">
          <w:rPr>
            <w:webHidden/>
          </w:rPr>
          <w:tab/>
        </w:r>
        <w:r w:rsidR="0075219A">
          <w:rPr>
            <w:webHidden/>
          </w:rPr>
          <w:fldChar w:fldCharType="begin"/>
        </w:r>
        <w:r w:rsidR="0075219A">
          <w:rPr>
            <w:webHidden/>
          </w:rPr>
          <w:instrText xml:space="preserve"> PAGEREF _Toc168502058 \h </w:instrText>
        </w:r>
        <w:r w:rsidR="0075219A">
          <w:rPr>
            <w:webHidden/>
          </w:rPr>
        </w:r>
        <w:r w:rsidR="0075219A">
          <w:rPr>
            <w:webHidden/>
          </w:rPr>
          <w:fldChar w:fldCharType="separate"/>
        </w:r>
        <w:r w:rsidR="0075219A">
          <w:rPr>
            <w:webHidden/>
          </w:rPr>
          <w:t>109</w:t>
        </w:r>
        <w:r w:rsidR="0075219A">
          <w:rPr>
            <w:webHidden/>
          </w:rPr>
          <w:fldChar w:fldCharType="end"/>
        </w:r>
      </w:hyperlink>
    </w:p>
    <w:p w14:paraId="47C6164C" w14:textId="77777777" w:rsidR="0075219A" w:rsidRDefault="009A2DB5">
      <w:pPr>
        <w:pStyle w:val="39"/>
        <w:rPr>
          <w:rFonts w:asciiTheme="minorHAnsi" w:eastAsiaTheme="minorEastAsia" w:hAnsiTheme="minorHAnsi" w:cstheme="minorBidi"/>
          <w:sz w:val="22"/>
          <w:szCs w:val="22"/>
          <w:lang w:eastAsia="ru-RU"/>
        </w:rPr>
      </w:pPr>
      <w:hyperlink w:anchor="_Toc168502059" w:history="1">
        <w:r w:rsidR="0075219A" w:rsidRPr="00E10183">
          <w:rPr>
            <w:rStyle w:val="afff0"/>
          </w:rPr>
          <w:t>6-1.3 Disclosure of information</w:t>
        </w:r>
        <w:r w:rsidR="0075219A">
          <w:rPr>
            <w:webHidden/>
          </w:rPr>
          <w:tab/>
        </w:r>
        <w:r w:rsidR="0075219A">
          <w:rPr>
            <w:webHidden/>
          </w:rPr>
          <w:fldChar w:fldCharType="begin"/>
        </w:r>
        <w:r w:rsidR="0075219A">
          <w:rPr>
            <w:webHidden/>
          </w:rPr>
          <w:instrText xml:space="preserve"> PAGEREF _Toc168502059 \h </w:instrText>
        </w:r>
        <w:r w:rsidR="0075219A">
          <w:rPr>
            <w:webHidden/>
          </w:rPr>
        </w:r>
        <w:r w:rsidR="0075219A">
          <w:rPr>
            <w:webHidden/>
          </w:rPr>
          <w:fldChar w:fldCharType="separate"/>
        </w:r>
        <w:r w:rsidR="0075219A">
          <w:rPr>
            <w:webHidden/>
          </w:rPr>
          <w:t>112</w:t>
        </w:r>
        <w:r w:rsidR="0075219A">
          <w:rPr>
            <w:webHidden/>
          </w:rPr>
          <w:fldChar w:fldCharType="end"/>
        </w:r>
      </w:hyperlink>
    </w:p>
    <w:p w14:paraId="15523143" w14:textId="77777777" w:rsidR="0075219A" w:rsidRDefault="009A2DB5">
      <w:pPr>
        <w:pStyle w:val="2b"/>
        <w:rPr>
          <w:rFonts w:asciiTheme="minorHAnsi" w:eastAsiaTheme="minorEastAsia" w:hAnsiTheme="minorHAnsi" w:cstheme="minorBidi"/>
          <w:b w:val="0"/>
          <w:sz w:val="22"/>
          <w:szCs w:val="22"/>
          <w:lang w:eastAsia="ru-RU"/>
        </w:rPr>
      </w:pPr>
      <w:hyperlink w:anchor="_Toc168502060" w:history="1">
        <w:r w:rsidR="0075219A" w:rsidRPr="00E10183">
          <w:rPr>
            <w:rStyle w:val="afff0"/>
            <w:rFonts w:ascii="Times New Roman" w:hAnsi="Times New Roman"/>
          </w:rPr>
          <w:t>Section 7: Provisions, contingent assets and contingent liabilities (IAS 37)</w:t>
        </w:r>
        <w:r w:rsidR="0075219A">
          <w:rPr>
            <w:webHidden/>
          </w:rPr>
          <w:tab/>
        </w:r>
        <w:r w:rsidR="0075219A">
          <w:rPr>
            <w:webHidden/>
          </w:rPr>
          <w:fldChar w:fldCharType="begin"/>
        </w:r>
        <w:r w:rsidR="0075219A">
          <w:rPr>
            <w:webHidden/>
          </w:rPr>
          <w:instrText xml:space="preserve"> PAGEREF _Toc168502060 \h </w:instrText>
        </w:r>
        <w:r w:rsidR="0075219A">
          <w:rPr>
            <w:webHidden/>
          </w:rPr>
        </w:r>
        <w:r w:rsidR="0075219A">
          <w:rPr>
            <w:webHidden/>
          </w:rPr>
          <w:fldChar w:fldCharType="separate"/>
        </w:r>
        <w:r w:rsidR="0075219A">
          <w:rPr>
            <w:webHidden/>
          </w:rPr>
          <w:t>115</w:t>
        </w:r>
        <w:r w:rsidR="0075219A">
          <w:rPr>
            <w:webHidden/>
          </w:rPr>
          <w:fldChar w:fldCharType="end"/>
        </w:r>
      </w:hyperlink>
    </w:p>
    <w:p w14:paraId="0D388E0A" w14:textId="77777777" w:rsidR="0075219A" w:rsidRDefault="009A2DB5">
      <w:pPr>
        <w:pStyle w:val="39"/>
        <w:rPr>
          <w:rFonts w:asciiTheme="minorHAnsi" w:eastAsiaTheme="minorEastAsia" w:hAnsiTheme="minorHAnsi" w:cstheme="minorBidi"/>
          <w:sz w:val="22"/>
          <w:szCs w:val="22"/>
          <w:lang w:eastAsia="ru-RU"/>
        </w:rPr>
      </w:pPr>
      <w:hyperlink w:anchor="_Toc168502061" w:history="1">
        <w:r w:rsidR="0075219A" w:rsidRPr="00E10183">
          <w:rPr>
            <w:rStyle w:val="afff0"/>
          </w:rPr>
          <w:t>7.1 General provisions</w:t>
        </w:r>
        <w:r w:rsidR="0075219A">
          <w:rPr>
            <w:webHidden/>
          </w:rPr>
          <w:tab/>
        </w:r>
        <w:r w:rsidR="0075219A">
          <w:rPr>
            <w:webHidden/>
          </w:rPr>
          <w:fldChar w:fldCharType="begin"/>
        </w:r>
        <w:r w:rsidR="0075219A">
          <w:rPr>
            <w:webHidden/>
          </w:rPr>
          <w:instrText xml:space="preserve"> PAGEREF _Toc168502061 \h </w:instrText>
        </w:r>
        <w:r w:rsidR="0075219A">
          <w:rPr>
            <w:webHidden/>
          </w:rPr>
        </w:r>
        <w:r w:rsidR="0075219A">
          <w:rPr>
            <w:webHidden/>
          </w:rPr>
          <w:fldChar w:fldCharType="separate"/>
        </w:r>
        <w:r w:rsidR="0075219A">
          <w:rPr>
            <w:webHidden/>
          </w:rPr>
          <w:t>115</w:t>
        </w:r>
        <w:r w:rsidR="0075219A">
          <w:rPr>
            <w:webHidden/>
          </w:rPr>
          <w:fldChar w:fldCharType="end"/>
        </w:r>
      </w:hyperlink>
    </w:p>
    <w:p w14:paraId="4DADE009" w14:textId="77777777" w:rsidR="0075219A" w:rsidRDefault="009A2DB5">
      <w:pPr>
        <w:pStyle w:val="39"/>
        <w:rPr>
          <w:rFonts w:asciiTheme="minorHAnsi" w:eastAsiaTheme="minorEastAsia" w:hAnsiTheme="minorHAnsi" w:cstheme="minorBidi"/>
          <w:sz w:val="22"/>
          <w:szCs w:val="22"/>
          <w:lang w:eastAsia="ru-RU"/>
        </w:rPr>
      </w:pPr>
      <w:hyperlink w:anchor="_Toc168502062" w:history="1">
        <w:r w:rsidR="0075219A" w:rsidRPr="00E10183">
          <w:rPr>
            <w:rStyle w:val="afff0"/>
          </w:rPr>
          <w:t>7.2 Definitions</w:t>
        </w:r>
        <w:r w:rsidR="0075219A">
          <w:rPr>
            <w:webHidden/>
          </w:rPr>
          <w:tab/>
        </w:r>
        <w:r w:rsidR="0075219A">
          <w:rPr>
            <w:webHidden/>
          </w:rPr>
          <w:fldChar w:fldCharType="begin"/>
        </w:r>
        <w:r w:rsidR="0075219A">
          <w:rPr>
            <w:webHidden/>
          </w:rPr>
          <w:instrText xml:space="preserve"> PAGEREF _Toc168502062 \h </w:instrText>
        </w:r>
        <w:r w:rsidR="0075219A">
          <w:rPr>
            <w:webHidden/>
          </w:rPr>
        </w:r>
        <w:r w:rsidR="0075219A">
          <w:rPr>
            <w:webHidden/>
          </w:rPr>
          <w:fldChar w:fldCharType="separate"/>
        </w:r>
        <w:r w:rsidR="0075219A">
          <w:rPr>
            <w:webHidden/>
          </w:rPr>
          <w:t>115</w:t>
        </w:r>
        <w:r w:rsidR="0075219A">
          <w:rPr>
            <w:webHidden/>
          </w:rPr>
          <w:fldChar w:fldCharType="end"/>
        </w:r>
      </w:hyperlink>
    </w:p>
    <w:p w14:paraId="2278A146" w14:textId="77777777" w:rsidR="0075219A" w:rsidRDefault="009A2DB5">
      <w:pPr>
        <w:pStyle w:val="39"/>
        <w:rPr>
          <w:rFonts w:asciiTheme="minorHAnsi" w:eastAsiaTheme="minorEastAsia" w:hAnsiTheme="minorHAnsi" w:cstheme="minorBidi"/>
          <w:sz w:val="22"/>
          <w:szCs w:val="22"/>
          <w:lang w:eastAsia="ru-RU"/>
        </w:rPr>
      </w:pPr>
      <w:hyperlink w:anchor="_Toc168502063" w:history="1">
        <w:r w:rsidR="0075219A" w:rsidRPr="00E10183">
          <w:rPr>
            <w:rStyle w:val="afff0"/>
          </w:rPr>
          <w:t>7.3 Accounting policies</w:t>
        </w:r>
        <w:r w:rsidR="0075219A">
          <w:rPr>
            <w:webHidden/>
          </w:rPr>
          <w:tab/>
        </w:r>
        <w:r w:rsidR="0075219A">
          <w:rPr>
            <w:webHidden/>
          </w:rPr>
          <w:fldChar w:fldCharType="begin"/>
        </w:r>
        <w:r w:rsidR="0075219A">
          <w:rPr>
            <w:webHidden/>
          </w:rPr>
          <w:instrText xml:space="preserve"> PAGEREF _Toc168502063 \h </w:instrText>
        </w:r>
        <w:r w:rsidR="0075219A">
          <w:rPr>
            <w:webHidden/>
          </w:rPr>
        </w:r>
        <w:r w:rsidR="0075219A">
          <w:rPr>
            <w:webHidden/>
          </w:rPr>
          <w:fldChar w:fldCharType="separate"/>
        </w:r>
        <w:r w:rsidR="0075219A">
          <w:rPr>
            <w:webHidden/>
          </w:rPr>
          <w:t>116</w:t>
        </w:r>
        <w:r w:rsidR="0075219A">
          <w:rPr>
            <w:webHidden/>
          </w:rPr>
          <w:fldChar w:fldCharType="end"/>
        </w:r>
      </w:hyperlink>
    </w:p>
    <w:p w14:paraId="08CFB268" w14:textId="77777777" w:rsidR="0075219A" w:rsidRDefault="009A2DB5">
      <w:pPr>
        <w:pStyle w:val="39"/>
        <w:rPr>
          <w:rFonts w:asciiTheme="minorHAnsi" w:eastAsiaTheme="minorEastAsia" w:hAnsiTheme="minorHAnsi" w:cstheme="minorBidi"/>
          <w:sz w:val="22"/>
          <w:szCs w:val="22"/>
          <w:lang w:eastAsia="ru-RU"/>
        </w:rPr>
      </w:pPr>
      <w:hyperlink w:anchor="_Toc168502064" w:history="1">
        <w:r w:rsidR="0075219A" w:rsidRPr="00E10183">
          <w:rPr>
            <w:rStyle w:val="afff0"/>
          </w:rPr>
          <w:t>7.4 Disclosure of information</w:t>
        </w:r>
        <w:r w:rsidR="0075219A">
          <w:rPr>
            <w:webHidden/>
          </w:rPr>
          <w:tab/>
        </w:r>
        <w:r w:rsidR="0075219A">
          <w:rPr>
            <w:webHidden/>
          </w:rPr>
          <w:fldChar w:fldCharType="begin"/>
        </w:r>
        <w:r w:rsidR="0075219A">
          <w:rPr>
            <w:webHidden/>
          </w:rPr>
          <w:instrText xml:space="preserve"> PAGEREF _Toc168502064 \h </w:instrText>
        </w:r>
        <w:r w:rsidR="0075219A">
          <w:rPr>
            <w:webHidden/>
          </w:rPr>
        </w:r>
        <w:r w:rsidR="0075219A">
          <w:rPr>
            <w:webHidden/>
          </w:rPr>
          <w:fldChar w:fldCharType="separate"/>
        </w:r>
        <w:r w:rsidR="0075219A">
          <w:rPr>
            <w:webHidden/>
          </w:rPr>
          <w:t>119</w:t>
        </w:r>
        <w:r w:rsidR="0075219A">
          <w:rPr>
            <w:webHidden/>
          </w:rPr>
          <w:fldChar w:fldCharType="end"/>
        </w:r>
      </w:hyperlink>
    </w:p>
    <w:p w14:paraId="22FBE732" w14:textId="77777777" w:rsidR="0075219A" w:rsidRDefault="009A2DB5">
      <w:pPr>
        <w:pStyle w:val="2b"/>
        <w:rPr>
          <w:rFonts w:asciiTheme="minorHAnsi" w:eastAsiaTheme="minorEastAsia" w:hAnsiTheme="minorHAnsi" w:cstheme="minorBidi"/>
          <w:b w:val="0"/>
          <w:sz w:val="22"/>
          <w:szCs w:val="22"/>
          <w:lang w:eastAsia="ru-RU"/>
        </w:rPr>
      </w:pPr>
      <w:hyperlink w:anchor="_Toc168502065" w:history="1">
        <w:r w:rsidR="0075219A" w:rsidRPr="00E10183">
          <w:rPr>
            <w:rStyle w:val="afff0"/>
            <w:rFonts w:ascii="Times New Roman" w:hAnsi="Times New Roman"/>
          </w:rPr>
          <w:t>Section 8. Employee benefits (IAS 19)</w:t>
        </w:r>
        <w:r w:rsidR="0075219A">
          <w:rPr>
            <w:webHidden/>
          </w:rPr>
          <w:tab/>
        </w:r>
        <w:r w:rsidR="0075219A">
          <w:rPr>
            <w:webHidden/>
          </w:rPr>
          <w:fldChar w:fldCharType="begin"/>
        </w:r>
        <w:r w:rsidR="0075219A">
          <w:rPr>
            <w:webHidden/>
          </w:rPr>
          <w:instrText xml:space="preserve"> PAGEREF _Toc168502065 \h </w:instrText>
        </w:r>
        <w:r w:rsidR="0075219A">
          <w:rPr>
            <w:webHidden/>
          </w:rPr>
        </w:r>
        <w:r w:rsidR="0075219A">
          <w:rPr>
            <w:webHidden/>
          </w:rPr>
          <w:fldChar w:fldCharType="separate"/>
        </w:r>
        <w:r w:rsidR="0075219A">
          <w:rPr>
            <w:webHidden/>
          </w:rPr>
          <w:t>120</w:t>
        </w:r>
        <w:r w:rsidR="0075219A">
          <w:rPr>
            <w:webHidden/>
          </w:rPr>
          <w:fldChar w:fldCharType="end"/>
        </w:r>
      </w:hyperlink>
    </w:p>
    <w:p w14:paraId="34E13179" w14:textId="77777777" w:rsidR="0075219A" w:rsidRDefault="009A2DB5">
      <w:pPr>
        <w:pStyle w:val="39"/>
        <w:rPr>
          <w:rFonts w:asciiTheme="minorHAnsi" w:eastAsiaTheme="minorEastAsia" w:hAnsiTheme="minorHAnsi" w:cstheme="minorBidi"/>
          <w:sz w:val="22"/>
          <w:szCs w:val="22"/>
          <w:lang w:eastAsia="ru-RU"/>
        </w:rPr>
      </w:pPr>
      <w:hyperlink w:anchor="_Toc168502066" w:history="1">
        <w:r w:rsidR="0075219A" w:rsidRPr="00E10183">
          <w:rPr>
            <w:rStyle w:val="afff0"/>
          </w:rPr>
          <w:t>8.1 General provisions</w:t>
        </w:r>
        <w:r w:rsidR="0075219A">
          <w:rPr>
            <w:webHidden/>
          </w:rPr>
          <w:tab/>
        </w:r>
        <w:r w:rsidR="0075219A">
          <w:rPr>
            <w:webHidden/>
          </w:rPr>
          <w:fldChar w:fldCharType="begin"/>
        </w:r>
        <w:r w:rsidR="0075219A">
          <w:rPr>
            <w:webHidden/>
          </w:rPr>
          <w:instrText xml:space="preserve"> PAGEREF _Toc168502066 \h </w:instrText>
        </w:r>
        <w:r w:rsidR="0075219A">
          <w:rPr>
            <w:webHidden/>
          </w:rPr>
        </w:r>
        <w:r w:rsidR="0075219A">
          <w:rPr>
            <w:webHidden/>
          </w:rPr>
          <w:fldChar w:fldCharType="separate"/>
        </w:r>
        <w:r w:rsidR="0075219A">
          <w:rPr>
            <w:webHidden/>
          </w:rPr>
          <w:t>120</w:t>
        </w:r>
        <w:r w:rsidR="0075219A">
          <w:rPr>
            <w:webHidden/>
          </w:rPr>
          <w:fldChar w:fldCharType="end"/>
        </w:r>
      </w:hyperlink>
    </w:p>
    <w:p w14:paraId="3E33AD4C" w14:textId="77777777" w:rsidR="0075219A" w:rsidRDefault="009A2DB5">
      <w:pPr>
        <w:pStyle w:val="39"/>
        <w:rPr>
          <w:rFonts w:asciiTheme="minorHAnsi" w:eastAsiaTheme="minorEastAsia" w:hAnsiTheme="minorHAnsi" w:cstheme="minorBidi"/>
          <w:sz w:val="22"/>
          <w:szCs w:val="22"/>
          <w:lang w:eastAsia="ru-RU"/>
        </w:rPr>
      </w:pPr>
      <w:hyperlink w:anchor="_Toc168502067" w:history="1">
        <w:r w:rsidR="0075219A" w:rsidRPr="00E10183">
          <w:rPr>
            <w:rStyle w:val="afff0"/>
          </w:rPr>
          <w:t>8.2 Definitions</w:t>
        </w:r>
        <w:r w:rsidR="0075219A">
          <w:rPr>
            <w:webHidden/>
          </w:rPr>
          <w:tab/>
        </w:r>
        <w:r w:rsidR="0075219A">
          <w:rPr>
            <w:webHidden/>
          </w:rPr>
          <w:fldChar w:fldCharType="begin"/>
        </w:r>
        <w:r w:rsidR="0075219A">
          <w:rPr>
            <w:webHidden/>
          </w:rPr>
          <w:instrText xml:space="preserve"> PAGEREF _Toc168502067 \h </w:instrText>
        </w:r>
        <w:r w:rsidR="0075219A">
          <w:rPr>
            <w:webHidden/>
          </w:rPr>
        </w:r>
        <w:r w:rsidR="0075219A">
          <w:rPr>
            <w:webHidden/>
          </w:rPr>
          <w:fldChar w:fldCharType="separate"/>
        </w:r>
        <w:r w:rsidR="0075219A">
          <w:rPr>
            <w:webHidden/>
          </w:rPr>
          <w:t>120</w:t>
        </w:r>
        <w:r w:rsidR="0075219A">
          <w:rPr>
            <w:webHidden/>
          </w:rPr>
          <w:fldChar w:fldCharType="end"/>
        </w:r>
      </w:hyperlink>
    </w:p>
    <w:p w14:paraId="5F8C1B3E" w14:textId="77777777" w:rsidR="0075219A" w:rsidRDefault="009A2DB5">
      <w:pPr>
        <w:pStyle w:val="39"/>
        <w:rPr>
          <w:rFonts w:asciiTheme="minorHAnsi" w:eastAsiaTheme="minorEastAsia" w:hAnsiTheme="minorHAnsi" w:cstheme="minorBidi"/>
          <w:sz w:val="22"/>
          <w:szCs w:val="22"/>
          <w:lang w:eastAsia="ru-RU"/>
        </w:rPr>
      </w:pPr>
      <w:hyperlink w:anchor="_Toc168502068" w:history="1">
        <w:r w:rsidR="0075219A" w:rsidRPr="00E10183">
          <w:rPr>
            <w:rStyle w:val="afff0"/>
          </w:rPr>
          <w:t>8.3 Classification</w:t>
        </w:r>
        <w:r w:rsidR="0075219A">
          <w:rPr>
            <w:webHidden/>
          </w:rPr>
          <w:tab/>
        </w:r>
        <w:r w:rsidR="0075219A">
          <w:rPr>
            <w:webHidden/>
          </w:rPr>
          <w:fldChar w:fldCharType="begin"/>
        </w:r>
        <w:r w:rsidR="0075219A">
          <w:rPr>
            <w:webHidden/>
          </w:rPr>
          <w:instrText xml:space="preserve"> PAGEREF _Toc168502068 \h </w:instrText>
        </w:r>
        <w:r w:rsidR="0075219A">
          <w:rPr>
            <w:webHidden/>
          </w:rPr>
        </w:r>
        <w:r w:rsidR="0075219A">
          <w:rPr>
            <w:webHidden/>
          </w:rPr>
          <w:fldChar w:fldCharType="separate"/>
        </w:r>
        <w:r w:rsidR="0075219A">
          <w:rPr>
            <w:webHidden/>
          </w:rPr>
          <w:t>120</w:t>
        </w:r>
        <w:r w:rsidR="0075219A">
          <w:rPr>
            <w:webHidden/>
          </w:rPr>
          <w:fldChar w:fldCharType="end"/>
        </w:r>
      </w:hyperlink>
    </w:p>
    <w:p w14:paraId="1CFE032D" w14:textId="77777777" w:rsidR="0075219A" w:rsidRDefault="009A2DB5">
      <w:pPr>
        <w:pStyle w:val="39"/>
        <w:rPr>
          <w:rFonts w:asciiTheme="minorHAnsi" w:eastAsiaTheme="minorEastAsia" w:hAnsiTheme="minorHAnsi" w:cstheme="minorBidi"/>
          <w:sz w:val="22"/>
          <w:szCs w:val="22"/>
          <w:lang w:eastAsia="ru-RU"/>
        </w:rPr>
      </w:pPr>
      <w:hyperlink w:anchor="_Toc168502069" w:history="1">
        <w:r w:rsidR="0075219A" w:rsidRPr="00E10183">
          <w:rPr>
            <w:rStyle w:val="afff0"/>
          </w:rPr>
          <w:t>8.4 Accounting policies</w:t>
        </w:r>
        <w:r w:rsidR="0075219A">
          <w:rPr>
            <w:webHidden/>
          </w:rPr>
          <w:tab/>
        </w:r>
        <w:r w:rsidR="0075219A">
          <w:rPr>
            <w:webHidden/>
          </w:rPr>
          <w:fldChar w:fldCharType="begin"/>
        </w:r>
        <w:r w:rsidR="0075219A">
          <w:rPr>
            <w:webHidden/>
          </w:rPr>
          <w:instrText xml:space="preserve"> PAGEREF _Toc168502069 \h </w:instrText>
        </w:r>
        <w:r w:rsidR="0075219A">
          <w:rPr>
            <w:webHidden/>
          </w:rPr>
        </w:r>
        <w:r w:rsidR="0075219A">
          <w:rPr>
            <w:webHidden/>
          </w:rPr>
          <w:fldChar w:fldCharType="separate"/>
        </w:r>
        <w:r w:rsidR="0075219A">
          <w:rPr>
            <w:webHidden/>
          </w:rPr>
          <w:t>120</w:t>
        </w:r>
        <w:r w:rsidR="0075219A">
          <w:rPr>
            <w:webHidden/>
          </w:rPr>
          <w:fldChar w:fldCharType="end"/>
        </w:r>
      </w:hyperlink>
    </w:p>
    <w:p w14:paraId="57CC8D2B" w14:textId="77777777" w:rsidR="0075219A" w:rsidRDefault="009A2DB5">
      <w:pPr>
        <w:pStyle w:val="39"/>
        <w:rPr>
          <w:rFonts w:asciiTheme="minorHAnsi" w:eastAsiaTheme="minorEastAsia" w:hAnsiTheme="minorHAnsi" w:cstheme="minorBidi"/>
          <w:sz w:val="22"/>
          <w:szCs w:val="22"/>
          <w:lang w:eastAsia="ru-RU"/>
        </w:rPr>
      </w:pPr>
      <w:hyperlink w:anchor="_Toc168502070" w:history="1">
        <w:r w:rsidR="0075219A" w:rsidRPr="00E10183">
          <w:rPr>
            <w:rStyle w:val="afff0"/>
          </w:rPr>
          <w:t>8.5 Disclosure of information</w:t>
        </w:r>
        <w:r w:rsidR="0075219A">
          <w:rPr>
            <w:webHidden/>
          </w:rPr>
          <w:tab/>
        </w:r>
        <w:r w:rsidR="0075219A">
          <w:rPr>
            <w:webHidden/>
          </w:rPr>
          <w:fldChar w:fldCharType="begin"/>
        </w:r>
        <w:r w:rsidR="0075219A">
          <w:rPr>
            <w:webHidden/>
          </w:rPr>
          <w:instrText xml:space="preserve"> PAGEREF _Toc168502070 \h </w:instrText>
        </w:r>
        <w:r w:rsidR="0075219A">
          <w:rPr>
            <w:webHidden/>
          </w:rPr>
        </w:r>
        <w:r w:rsidR="0075219A">
          <w:rPr>
            <w:webHidden/>
          </w:rPr>
          <w:fldChar w:fldCharType="separate"/>
        </w:r>
        <w:r w:rsidR="0075219A">
          <w:rPr>
            <w:webHidden/>
          </w:rPr>
          <w:t>122</w:t>
        </w:r>
        <w:r w:rsidR="0075219A">
          <w:rPr>
            <w:webHidden/>
          </w:rPr>
          <w:fldChar w:fldCharType="end"/>
        </w:r>
      </w:hyperlink>
    </w:p>
    <w:p w14:paraId="5D5090D2" w14:textId="77777777" w:rsidR="0075219A" w:rsidRDefault="009A2DB5">
      <w:pPr>
        <w:pStyle w:val="2b"/>
        <w:rPr>
          <w:rFonts w:asciiTheme="minorHAnsi" w:eastAsiaTheme="minorEastAsia" w:hAnsiTheme="minorHAnsi" w:cstheme="minorBidi"/>
          <w:b w:val="0"/>
          <w:sz w:val="22"/>
          <w:szCs w:val="22"/>
          <w:lang w:eastAsia="ru-RU"/>
        </w:rPr>
      </w:pPr>
      <w:hyperlink w:anchor="_Toc168502071" w:history="1">
        <w:r w:rsidR="0075219A" w:rsidRPr="00E10183">
          <w:rPr>
            <w:rStyle w:val="afff0"/>
            <w:rFonts w:ascii="Times New Roman" w:hAnsi="Times New Roman"/>
            <w:lang w:eastAsia="ru-RU"/>
          </w:rPr>
          <w:t>Section 9. Revenue from contracts with customers (IFRS 15)</w:t>
        </w:r>
        <w:r w:rsidR="0075219A">
          <w:rPr>
            <w:webHidden/>
          </w:rPr>
          <w:tab/>
        </w:r>
        <w:r w:rsidR="0075219A">
          <w:rPr>
            <w:webHidden/>
          </w:rPr>
          <w:fldChar w:fldCharType="begin"/>
        </w:r>
        <w:r w:rsidR="0075219A">
          <w:rPr>
            <w:webHidden/>
          </w:rPr>
          <w:instrText xml:space="preserve"> PAGEREF _Toc168502071 \h </w:instrText>
        </w:r>
        <w:r w:rsidR="0075219A">
          <w:rPr>
            <w:webHidden/>
          </w:rPr>
        </w:r>
        <w:r w:rsidR="0075219A">
          <w:rPr>
            <w:webHidden/>
          </w:rPr>
          <w:fldChar w:fldCharType="separate"/>
        </w:r>
        <w:r w:rsidR="0075219A">
          <w:rPr>
            <w:webHidden/>
          </w:rPr>
          <w:t>123</w:t>
        </w:r>
        <w:r w:rsidR="0075219A">
          <w:rPr>
            <w:webHidden/>
          </w:rPr>
          <w:fldChar w:fldCharType="end"/>
        </w:r>
      </w:hyperlink>
    </w:p>
    <w:p w14:paraId="76D0BF32" w14:textId="77777777" w:rsidR="0075219A" w:rsidRDefault="009A2DB5">
      <w:pPr>
        <w:pStyle w:val="39"/>
        <w:rPr>
          <w:rFonts w:asciiTheme="minorHAnsi" w:eastAsiaTheme="minorEastAsia" w:hAnsiTheme="minorHAnsi" w:cstheme="minorBidi"/>
          <w:sz w:val="22"/>
          <w:szCs w:val="22"/>
          <w:lang w:eastAsia="ru-RU"/>
        </w:rPr>
      </w:pPr>
      <w:hyperlink w:anchor="_Toc168502072" w:history="1">
        <w:r w:rsidR="0075219A" w:rsidRPr="00E10183">
          <w:rPr>
            <w:rStyle w:val="afff0"/>
          </w:rPr>
          <w:t>9.1 General provisions</w:t>
        </w:r>
        <w:r w:rsidR="0075219A">
          <w:rPr>
            <w:webHidden/>
          </w:rPr>
          <w:tab/>
        </w:r>
        <w:r w:rsidR="0075219A">
          <w:rPr>
            <w:webHidden/>
          </w:rPr>
          <w:fldChar w:fldCharType="begin"/>
        </w:r>
        <w:r w:rsidR="0075219A">
          <w:rPr>
            <w:webHidden/>
          </w:rPr>
          <w:instrText xml:space="preserve"> PAGEREF _Toc168502072 \h </w:instrText>
        </w:r>
        <w:r w:rsidR="0075219A">
          <w:rPr>
            <w:webHidden/>
          </w:rPr>
        </w:r>
        <w:r w:rsidR="0075219A">
          <w:rPr>
            <w:webHidden/>
          </w:rPr>
          <w:fldChar w:fldCharType="separate"/>
        </w:r>
        <w:r w:rsidR="0075219A">
          <w:rPr>
            <w:webHidden/>
          </w:rPr>
          <w:t>123</w:t>
        </w:r>
        <w:r w:rsidR="0075219A">
          <w:rPr>
            <w:webHidden/>
          </w:rPr>
          <w:fldChar w:fldCharType="end"/>
        </w:r>
      </w:hyperlink>
    </w:p>
    <w:p w14:paraId="4143EB7B" w14:textId="77777777" w:rsidR="0075219A" w:rsidRDefault="009A2DB5">
      <w:pPr>
        <w:pStyle w:val="39"/>
        <w:rPr>
          <w:rFonts w:asciiTheme="minorHAnsi" w:eastAsiaTheme="minorEastAsia" w:hAnsiTheme="minorHAnsi" w:cstheme="minorBidi"/>
          <w:sz w:val="22"/>
          <w:szCs w:val="22"/>
          <w:lang w:eastAsia="ru-RU"/>
        </w:rPr>
      </w:pPr>
      <w:hyperlink w:anchor="_Toc168502073" w:history="1">
        <w:r w:rsidR="0075219A" w:rsidRPr="00E10183">
          <w:rPr>
            <w:rStyle w:val="afff0"/>
          </w:rPr>
          <w:t>9.2 Definitions</w:t>
        </w:r>
        <w:r w:rsidR="0075219A">
          <w:rPr>
            <w:webHidden/>
          </w:rPr>
          <w:tab/>
        </w:r>
        <w:r w:rsidR="0075219A">
          <w:rPr>
            <w:webHidden/>
          </w:rPr>
          <w:fldChar w:fldCharType="begin"/>
        </w:r>
        <w:r w:rsidR="0075219A">
          <w:rPr>
            <w:webHidden/>
          </w:rPr>
          <w:instrText xml:space="preserve"> PAGEREF _Toc168502073 \h </w:instrText>
        </w:r>
        <w:r w:rsidR="0075219A">
          <w:rPr>
            <w:webHidden/>
          </w:rPr>
        </w:r>
        <w:r w:rsidR="0075219A">
          <w:rPr>
            <w:webHidden/>
          </w:rPr>
          <w:fldChar w:fldCharType="separate"/>
        </w:r>
        <w:r w:rsidR="0075219A">
          <w:rPr>
            <w:webHidden/>
          </w:rPr>
          <w:t>123</w:t>
        </w:r>
        <w:r w:rsidR="0075219A">
          <w:rPr>
            <w:webHidden/>
          </w:rPr>
          <w:fldChar w:fldCharType="end"/>
        </w:r>
      </w:hyperlink>
    </w:p>
    <w:p w14:paraId="65ADB382" w14:textId="77777777" w:rsidR="0075219A" w:rsidRDefault="009A2DB5">
      <w:pPr>
        <w:pStyle w:val="39"/>
        <w:rPr>
          <w:rFonts w:asciiTheme="minorHAnsi" w:eastAsiaTheme="minorEastAsia" w:hAnsiTheme="minorHAnsi" w:cstheme="minorBidi"/>
          <w:sz w:val="22"/>
          <w:szCs w:val="22"/>
          <w:lang w:eastAsia="ru-RU"/>
        </w:rPr>
      </w:pPr>
      <w:hyperlink w:anchor="_Toc168502074" w:history="1">
        <w:r w:rsidR="0075219A" w:rsidRPr="00E10183">
          <w:rPr>
            <w:rStyle w:val="afff0"/>
            <w:lang w:eastAsia="ru-RU"/>
          </w:rPr>
          <w:t>9</w:t>
        </w:r>
        <w:r w:rsidR="0075219A" w:rsidRPr="00E10183">
          <w:rPr>
            <w:rStyle w:val="afff0"/>
          </w:rPr>
          <w:t>.3. Classification</w:t>
        </w:r>
        <w:r w:rsidR="0075219A">
          <w:rPr>
            <w:webHidden/>
          </w:rPr>
          <w:tab/>
        </w:r>
        <w:r w:rsidR="0075219A">
          <w:rPr>
            <w:webHidden/>
          </w:rPr>
          <w:fldChar w:fldCharType="begin"/>
        </w:r>
        <w:r w:rsidR="0075219A">
          <w:rPr>
            <w:webHidden/>
          </w:rPr>
          <w:instrText xml:space="preserve"> PAGEREF _Toc168502074 \h </w:instrText>
        </w:r>
        <w:r w:rsidR="0075219A">
          <w:rPr>
            <w:webHidden/>
          </w:rPr>
        </w:r>
        <w:r w:rsidR="0075219A">
          <w:rPr>
            <w:webHidden/>
          </w:rPr>
          <w:fldChar w:fldCharType="separate"/>
        </w:r>
        <w:r w:rsidR="0075219A">
          <w:rPr>
            <w:webHidden/>
          </w:rPr>
          <w:t>124</w:t>
        </w:r>
        <w:r w:rsidR="0075219A">
          <w:rPr>
            <w:webHidden/>
          </w:rPr>
          <w:fldChar w:fldCharType="end"/>
        </w:r>
      </w:hyperlink>
    </w:p>
    <w:p w14:paraId="53CC7CA9" w14:textId="77777777" w:rsidR="0075219A" w:rsidRDefault="009A2DB5">
      <w:pPr>
        <w:pStyle w:val="39"/>
        <w:rPr>
          <w:rFonts w:asciiTheme="minorHAnsi" w:eastAsiaTheme="minorEastAsia" w:hAnsiTheme="minorHAnsi" w:cstheme="minorBidi"/>
          <w:sz w:val="22"/>
          <w:szCs w:val="22"/>
          <w:lang w:eastAsia="ru-RU"/>
        </w:rPr>
      </w:pPr>
      <w:hyperlink w:anchor="_Toc168502075" w:history="1">
        <w:r w:rsidR="0075219A" w:rsidRPr="00E10183">
          <w:rPr>
            <w:rStyle w:val="afff0"/>
          </w:rPr>
          <w:t>9.4 Disclosure of information</w:t>
        </w:r>
        <w:r w:rsidR="0075219A">
          <w:rPr>
            <w:webHidden/>
          </w:rPr>
          <w:tab/>
        </w:r>
        <w:r w:rsidR="0075219A">
          <w:rPr>
            <w:webHidden/>
          </w:rPr>
          <w:fldChar w:fldCharType="begin"/>
        </w:r>
        <w:r w:rsidR="0075219A">
          <w:rPr>
            <w:webHidden/>
          </w:rPr>
          <w:instrText xml:space="preserve"> PAGEREF _Toc168502075 \h </w:instrText>
        </w:r>
        <w:r w:rsidR="0075219A">
          <w:rPr>
            <w:webHidden/>
          </w:rPr>
        </w:r>
        <w:r w:rsidR="0075219A">
          <w:rPr>
            <w:webHidden/>
          </w:rPr>
          <w:fldChar w:fldCharType="separate"/>
        </w:r>
        <w:r w:rsidR="0075219A">
          <w:rPr>
            <w:webHidden/>
          </w:rPr>
          <w:t>124</w:t>
        </w:r>
        <w:r w:rsidR="0075219A">
          <w:rPr>
            <w:webHidden/>
          </w:rPr>
          <w:fldChar w:fldCharType="end"/>
        </w:r>
      </w:hyperlink>
    </w:p>
    <w:p w14:paraId="66D73197" w14:textId="77777777" w:rsidR="0075219A" w:rsidRDefault="009A2DB5">
      <w:pPr>
        <w:pStyle w:val="2b"/>
        <w:rPr>
          <w:rFonts w:asciiTheme="minorHAnsi" w:eastAsiaTheme="minorEastAsia" w:hAnsiTheme="minorHAnsi" w:cstheme="minorBidi"/>
          <w:b w:val="0"/>
          <w:sz w:val="22"/>
          <w:szCs w:val="22"/>
          <w:lang w:eastAsia="ru-RU"/>
        </w:rPr>
      </w:pPr>
      <w:hyperlink w:anchor="_Toc168502076" w:history="1">
        <w:r w:rsidR="0075219A" w:rsidRPr="00E10183">
          <w:rPr>
            <w:rStyle w:val="afff0"/>
            <w:rFonts w:ascii="Times New Roman" w:hAnsi="Times New Roman"/>
          </w:rPr>
          <w:t>Section 10. Expenses</w:t>
        </w:r>
        <w:r w:rsidR="0075219A">
          <w:rPr>
            <w:webHidden/>
          </w:rPr>
          <w:tab/>
        </w:r>
        <w:r w:rsidR="0075219A">
          <w:rPr>
            <w:webHidden/>
          </w:rPr>
          <w:fldChar w:fldCharType="begin"/>
        </w:r>
        <w:r w:rsidR="0075219A">
          <w:rPr>
            <w:webHidden/>
          </w:rPr>
          <w:instrText xml:space="preserve"> PAGEREF _Toc168502076 \h </w:instrText>
        </w:r>
        <w:r w:rsidR="0075219A">
          <w:rPr>
            <w:webHidden/>
          </w:rPr>
        </w:r>
        <w:r w:rsidR="0075219A">
          <w:rPr>
            <w:webHidden/>
          </w:rPr>
          <w:fldChar w:fldCharType="separate"/>
        </w:r>
        <w:r w:rsidR="0075219A">
          <w:rPr>
            <w:webHidden/>
          </w:rPr>
          <w:t>126</w:t>
        </w:r>
        <w:r w:rsidR="0075219A">
          <w:rPr>
            <w:webHidden/>
          </w:rPr>
          <w:fldChar w:fldCharType="end"/>
        </w:r>
      </w:hyperlink>
    </w:p>
    <w:p w14:paraId="689651A8" w14:textId="77777777" w:rsidR="0075219A" w:rsidRDefault="009A2DB5">
      <w:pPr>
        <w:pStyle w:val="39"/>
        <w:rPr>
          <w:rFonts w:asciiTheme="minorHAnsi" w:eastAsiaTheme="minorEastAsia" w:hAnsiTheme="minorHAnsi" w:cstheme="minorBidi"/>
          <w:sz w:val="22"/>
          <w:szCs w:val="22"/>
          <w:lang w:eastAsia="ru-RU"/>
        </w:rPr>
      </w:pPr>
      <w:hyperlink w:anchor="_Toc168502077" w:history="1">
        <w:r w:rsidR="0075219A" w:rsidRPr="00E10183">
          <w:rPr>
            <w:rStyle w:val="afff0"/>
          </w:rPr>
          <w:t>10.1 General provisions</w:t>
        </w:r>
        <w:r w:rsidR="0075219A">
          <w:rPr>
            <w:webHidden/>
          </w:rPr>
          <w:tab/>
        </w:r>
        <w:r w:rsidR="0075219A">
          <w:rPr>
            <w:webHidden/>
          </w:rPr>
          <w:fldChar w:fldCharType="begin"/>
        </w:r>
        <w:r w:rsidR="0075219A">
          <w:rPr>
            <w:webHidden/>
          </w:rPr>
          <w:instrText xml:space="preserve"> PAGEREF _Toc168502077 \h </w:instrText>
        </w:r>
        <w:r w:rsidR="0075219A">
          <w:rPr>
            <w:webHidden/>
          </w:rPr>
        </w:r>
        <w:r w:rsidR="0075219A">
          <w:rPr>
            <w:webHidden/>
          </w:rPr>
          <w:fldChar w:fldCharType="separate"/>
        </w:r>
        <w:r w:rsidR="0075219A">
          <w:rPr>
            <w:webHidden/>
          </w:rPr>
          <w:t>126</w:t>
        </w:r>
        <w:r w:rsidR="0075219A">
          <w:rPr>
            <w:webHidden/>
          </w:rPr>
          <w:fldChar w:fldCharType="end"/>
        </w:r>
      </w:hyperlink>
    </w:p>
    <w:p w14:paraId="69C79822" w14:textId="77777777" w:rsidR="0075219A" w:rsidRDefault="009A2DB5">
      <w:pPr>
        <w:pStyle w:val="39"/>
        <w:rPr>
          <w:rFonts w:asciiTheme="minorHAnsi" w:eastAsiaTheme="minorEastAsia" w:hAnsiTheme="minorHAnsi" w:cstheme="minorBidi"/>
          <w:sz w:val="22"/>
          <w:szCs w:val="22"/>
          <w:lang w:eastAsia="ru-RU"/>
        </w:rPr>
      </w:pPr>
      <w:hyperlink w:anchor="_Toc168502078" w:history="1">
        <w:r w:rsidR="0075219A" w:rsidRPr="00E10183">
          <w:rPr>
            <w:rStyle w:val="afff0"/>
          </w:rPr>
          <w:t>10.2 Classification</w:t>
        </w:r>
        <w:r w:rsidR="0075219A">
          <w:rPr>
            <w:webHidden/>
          </w:rPr>
          <w:tab/>
        </w:r>
        <w:r w:rsidR="0075219A">
          <w:rPr>
            <w:webHidden/>
          </w:rPr>
          <w:fldChar w:fldCharType="begin"/>
        </w:r>
        <w:r w:rsidR="0075219A">
          <w:rPr>
            <w:webHidden/>
          </w:rPr>
          <w:instrText xml:space="preserve"> PAGEREF _Toc168502078 \h </w:instrText>
        </w:r>
        <w:r w:rsidR="0075219A">
          <w:rPr>
            <w:webHidden/>
          </w:rPr>
        </w:r>
        <w:r w:rsidR="0075219A">
          <w:rPr>
            <w:webHidden/>
          </w:rPr>
          <w:fldChar w:fldCharType="separate"/>
        </w:r>
        <w:r w:rsidR="0075219A">
          <w:rPr>
            <w:webHidden/>
          </w:rPr>
          <w:t>126</w:t>
        </w:r>
        <w:r w:rsidR="0075219A">
          <w:rPr>
            <w:webHidden/>
          </w:rPr>
          <w:fldChar w:fldCharType="end"/>
        </w:r>
      </w:hyperlink>
    </w:p>
    <w:p w14:paraId="29244517" w14:textId="77777777" w:rsidR="0075219A" w:rsidRDefault="009A2DB5">
      <w:pPr>
        <w:pStyle w:val="39"/>
        <w:rPr>
          <w:rFonts w:asciiTheme="minorHAnsi" w:eastAsiaTheme="minorEastAsia" w:hAnsiTheme="minorHAnsi" w:cstheme="minorBidi"/>
          <w:sz w:val="22"/>
          <w:szCs w:val="22"/>
          <w:lang w:eastAsia="ru-RU"/>
        </w:rPr>
      </w:pPr>
      <w:hyperlink w:anchor="_Toc168502079" w:history="1">
        <w:r w:rsidR="0075219A" w:rsidRPr="00E10183">
          <w:rPr>
            <w:rStyle w:val="afff0"/>
          </w:rPr>
          <w:t>10.3 Accounting policies</w:t>
        </w:r>
        <w:r w:rsidR="0075219A">
          <w:rPr>
            <w:webHidden/>
          </w:rPr>
          <w:tab/>
        </w:r>
        <w:r w:rsidR="0075219A">
          <w:rPr>
            <w:webHidden/>
          </w:rPr>
          <w:fldChar w:fldCharType="begin"/>
        </w:r>
        <w:r w:rsidR="0075219A">
          <w:rPr>
            <w:webHidden/>
          </w:rPr>
          <w:instrText xml:space="preserve"> PAGEREF _Toc168502079 \h </w:instrText>
        </w:r>
        <w:r w:rsidR="0075219A">
          <w:rPr>
            <w:webHidden/>
          </w:rPr>
        </w:r>
        <w:r w:rsidR="0075219A">
          <w:rPr>
            <w:webHidden/>
          </w:rPr>
          <w:fldChar w:fldCharType="separate"/>
        </w:r>
        <w:r w:rsidR="0075219A">
          <w:rPr>
            <w:webHidden/>
          </w:rPr>
          <w:t>127</w:t>
        </w:r>
        <w:r w:rsidR="0075219A">
          <w:rPr>
            <w:webHidden/>
          </w:rPr>
          <w:fldChar w:fldCharType="end"/>
        </w:r>
      </w:hyperlink>
    </w:p>
    <w:p w14:paraId="6F7B5D0B" w14:textId="77777777" w:rsidR="0075219A" w:rsidRDefault="009A2DB5">
      <w:pPr>
        <w:pStyle w:val="39"/>
        <w:rPr>
          <w:rFonts w:asciiTheme="minorHAnsi" w:eastAsiaTheme="minorEastAsia" w:hAnsiTheme="minorHAnsi" w:cstheme="minorBidi"/>
          <w:sz w:val="22"/>
          <w:szCs w:val="22"/>
          <w:lang w:eastAsia="ru-RU"/>
        </w:rPr>
      </w:pPr>
      <w:hyperlink w:anchor="_Toc168502080" w:history="1">
        <w:r w:rsidR="0075219A" w:rsidRPr="00E10183">
          <w:rPr>
            <w:rStyle w:val="afff0"/>
          </w:rPr>
          <w:t>10.4 Disclosure of information</w:t>
        </w:r>
        <w:r w:rsidR="0075219A">
          <w:rPr>
            <w:webHidden/>
          </w:rPr>
          <w:tab/>
        </w:r>
        <w:r w:rsidR="0075219A">
          <w:rPr>
            <w:webHidden/>
          </w:rPr>
          <w:fldChar w:fldCharType="begin"/>
        </w:r>
        <w:r w:rsidR="0075219A">
          <w:rPr>
            <w:webHidden/>
          </w:rPr>
          <w:instrText xml:space="preserve"> PAGEREF _Toc168502080 \h </w:instrText>
        </w:r>
        <w:r w:rsidR="0075219A">
          <w:rPr>
            <w:webHidden/>
          </w:rPr>
        </w:r>
        <w:r w:rsidR="0075219A">
          <w:rPr>
            <w:webHidden/>
          </w:rPr>
          <w:fldChar w:fldCharType="separate"/>
        </w:r>
        <w:r w:rsidR="0075219A">
          <w:rPr>
            <w:webHidden/>
          </w:rPr>
          <w:t>129</w:t>
        </w:r>
        <w:r w:rsidR="0075219A">
          <w:rPr>
            <w:webHidden/>
          </w:rPr>
          <w:fldChar w:fldCharType="end"/>
        </w:r>
      </w:hyperlink>
    </w:p>
    <w:p w14:paraId="6AAD5918" w14:textId="77777777" w:rsidR="0075219A" w:rsidRDefault="009A2DB5">
      <w:pPr>
        <w:pStyle w:val="2b"/>
        <w:rPr>
          <w:rFonts w:asciiTheme="minorHAnsi" w:eastAsiaTheme="minorEastAsia" w:hAnsiTheme="minorHAnsi" w:cstheme="minorBidi"/>
          <w:b w:val="0"/>
          <w:sz w:val="22"/>
          <w:szCs w:val="22"/>
          <w:lang w:eastAsia="ru-RU"/>
        </w:rPr>
      </w:pPr>
      <w:hyperlink w:anchor="_Toc168502081" w:history="1">
        <w:r w:rsidR="0075219A" w:rsidRPr="00E10183">
          <w:rPr>
            <w:rStyle w:val="afff0"/>
            <w:rFonts w:ascii="Times New Roman" w:hAnsi="Times New Roman"/>
          </w:rPr>
          <w:t>Section 11. Impairment of assets (IAS 36)</w:t>
        </w:r>
        <w:r w:rsidR="0075219A">
          <w:rPr>
            <w:webHidden/>
          </w:rPr>
          <w:tab/>
        </w:r>
        <w:r w:rsidR="0075219A">
          <w:rPr>
            <w:webHidden/>
          </w:rPr>
          <w:fldChar w:fldCharType="begin"/>
        </w:r>
        <w:r w:rsidR="0075219A">
          <w:rPr>
            <w:webHidden/>
          </w:rPr>
          <w:instrText xml:space="preserve"> PAGEREF _Toc168502081 \h </w:instrText>
        </w:r>
        <w:r w:rsidR="0075219A">
          <w:rPr>
            <w:webHidden/>
          </w:rPr>
        </w:r>
        <w:r w:rsidR="0075219A">
          <w:rPr>
            <w:webHidden/>
          </w:rPr>
          <w:fldChar w:fldCharType="separate"/>
        </w:r>
        <w:r w:rsidR="0075219A">
          <w:rPr>
            <w:webHidden/>
          </w:rPr>
          <w:t>131</w:t>
        </w:r>
        <w:r w:rsidR="0075219A">
          <w:rPr>
            <w:webHidden/>
          </w:rPr>
          <w:fldChar w:fldCharType="end"/>
        </w:r>
      </w:hyperlink>
    </w:p>
    <w:p w14:paraId="173FCF5A" w14:textId="77777777" w:rsidR="0075219A" w:rsidRDefault="009A2DB5">
      <w:pPr>
        <w:pStyle w:val="39"/>
        <w:rPr>
          <w:rFonts w:asciiTheme="minorHAnsi" w:eastAsiaTheme="minorEastAsia" w:hAnsiTheme="minorHAnsi" w:cstheme="minorBidi"/>
          <w:sz w:val="22"/>
          <w:szCs w:val="22"/>
          <w:lang w:eastAsia="ru-RU"/>
        </w:rPr>
      </w:pPr>
      <w:hyperlink w:anchor="_Toc168502082" w:history="1">
        <w:r w:rsidR="0075219A" w:rsidRPr="00E10183">
          <w:rPr>
            <w:rStyle w:val="afff0"/>
          </w:rPr>
          <w:t>11.1 General provisions</w:t>
        </w:r>
        <w:r w:rsidR="0075219A">
          <w:rPr>
            <w:webHidden/>
          </w:rPr>
          <w:tab/>
        </w:r>
        <w:r w:rsidR="0075219A">
          <w:rPr>
            <w:webHidden/>
          </w:rPr>
          <w:fldChar w:fldCharType="begin"/>
        </w:r>
        <w:r w:rsidR="0075219A">
          <w:rPr>
            <w:webHidden/>
          </w:rPr>
          <w:instrText xml:space="preserve"> PAGEREF _Toc168502082 \h </w:instrText>
        </w:r>
        <w:r w:rsidR="0075219A">
          <w:rPr>
            <w:webHidden/>
          </w:rPr>
        </w:r>
        <w:r w:rsidR="0075219A">
          <w:rPr>
            <w:webHidden/>
          </w:rPr>
          <w:fldChar w:fldCharType="separate"/>
        </w:r>
        <w:r w:rsidR="0075219A">
          <w:rPr>
            <w:webHidden/>
          </w:rPr>
          <w:t>131</w:t>
        </w:r>
        <w:r w:rsidR="0075219A">
          <w:rPr>
            <w:webHidden/>
          </w:rPr>
          <w:fldChar w:fldCharType="end"/>
        </w:r>
      </w:hyperlink>
    </w:p>
    <w:p w14:paraId="06027D2D" w14:textId="77777777" w:rsidR="0075219A" w:rsidRDefault="009A2DB5">
      <w:pPr>
        <w:pStyle w:val="39"/>
        <w:rPr>
          <w:rFonts w:asciiTheme="minorHAnsi" w:eastAsiaTheme="minorEastAsia" w:hAnsiTheme="minorHAnsi" w:cstheme="minorBidi"/>
          <w:sz w:val="22"/>
          <w:szCs w:val="22"/>
          <w:lang w:eastAsia="ru-RU"/>
        </w:rPr>
      </w:pPr>
      <w:hyperlink w:anchor="_Toc168502083" w:history="1">
        <w:r w:rsidR="0075219A" w:rsidRPr="00E10183">
          <w:rPr>
            <w:rStyle w:val="afff0"/>
          </w:rPr>
          <w:t>11.2 Definitions</w:t>
        </w:r>
        <w:r w:rsidR="0075219A">
          <w:rPr>
            <w:webHidden/>
          </w:rPr>
          <w:tab/>
        </w:r>
        <w:r w:rsidR="0075219A">
          <w:rPr>
            <w:webHidden/>
          </w:rPr>
          <w:fldChar w:fldCharType="begin"/>
        </w:r>
        <w:r w:rsidR="0075219A">
          <w:rPr>
            <w:webHidden/>
          </w:rPr>
          <w:instrText xml:space="preserve"> PAGEREF _Toc168502083 \h </w:instrText>
        </w:r>
        <w:r w:rsidR="0075219A">
          <w:rPr>
            <w:webHidden/>
          </w:rPr>
        </w:r>
        <w:r w:rsidR="0075219A">
          <w:rPr>
            <w:webHidden/>
          </w:rPr>
          <w:fldChar w:fldCharType="separate"/>
        </w:r>
        <w:r w:rsidR="0075219A">
          <w:rPr>
            <w:webHidden/>
          </w:rPr>
          <w:t>131</w:t>
        </w:r>
        <w:r w:rsidR="0075219A">
          <w:rPr>
            <w:webHidden/>
          </w:rPr>
          <w:fldChar w:fldCharType="end"/>
        </w:r>
      </w:hyperlink>
    </w:p>
    <w:p w14:paraId="2888D3C8" w14:textId="77777777" w:rsidR="0075219A" w:rsidRDefault="009A2DB5">
      <w:pPr>
        <w:pStyle w:val="39"/>
        <w:rPr>
          <w:rFonts w:asciiTheme="minorHAnsi" w:eastAsiaTheme="minorEastAsia" w:hAnsiTheme="minorHAnsi" w:cstheme="minorBidi"/>
          <w:sz w:val="22"/>
          <w:szCs w:val="22"/>
          <w:lang w:eastAsia="ru-RU"/>
        </w:rPr>
      </w:pPr>
      <w:hyperlink w:anchor="_Toc168502084" w:history="1">
        <w:r w:rsidR="0075219A" w:rsidRPr="00E10183">
          <w:rPr>
            <w:rStyle w:val="afff0"/>
          </w:rPr>
          <w:t>11.3 Accounting policies</w:t>
        </w:r>
        <w:r w:rsidR="0075219A">
          <w:rPr>
            <w:webHidden/>
          </w:rPr>
          <w:tab/>
        </w:r>
        <w:r w:rsidR="0075219A">
          <w:rPr>
            <w:webHidden/>
          </w:rPr>
          <w:fldChar w:fldCharType="begin"/>
        </w:r>
        <w:r w:rsidR="0075219A">
          <w:rPr>
            <w:webHidden/>
          </w:rPr>
          <w:instrText xml:space="preserve"> PAGEREF _Toc168502084 \h </w:instrText>
        </w:r>
        <w:r w:rsidR="0075219A">
          <w:rPr>
            <w:webHidden/>
          </w:rPr>
        </w:r>
        <w:r w:rsidR="0075219A">
          <w:rPr>
            <w:webHidden/>
          </w:rPr>
          <w:fldChar w:fldCharType="separate"/>
        </w:r>
        <w:r w:rsidR="0075219A">
          <w:rPr>
            <w:webHidden/>
          </w:rPr>
          <w:t>132</w:t>
        </w:r>
        <w:r w:rsidR="0075219A">
          <w:rPr>
            <w:webHidden/>
          </w:rPr>
          <w:fldChar w:fldCharType="end"/>
        </w:r>
      </w:hyperlink>
    </w:p>
    <w:p w14:paraId="24316E7C" w14:textId="77777777" w:rsidR="0075219A" w:rsidRDefault="009A2DB5">
      <w:pPr>
        <w:pStyle w:val="39"/>
        <w:rPr>
          <w:rFonts w:asciiTheme="minorHAnsi" w:eastAsiaTheme="minorEastAsia" w:hAnsiTheme="minorHAnsi" w:cstheme="minorBidi"/>
          <w:sz w:val="22"/>
          <w:szCs w:val="22"/>
          <w:lang w:eastAsia="ru-RU"/>
        </w:rPr>
      </w:pPr>
      <w:hyperlink w:anchor="_Toc168502085" w:history="1">
        <w:r w:rsidR="0075219A" w:rsidRPr="00E10183">
          <w:rPr>
            <w:rStyle w:val="afff0"/>
          </w:rPr>
          <w:t>11.4 Disclosure of information</w:t>
        </w:r>
        <w:r w:rsidR="0075219A">
          <w:rPr>
            <w:webHidden/>
          </w:rPr>
          <w:tab/>
        </w:r>
        <w:r w:rsidR="0075219A">
          <w:rPr>
            <w:webHidden/>
          </w:rPr>
          <w:fldChar w:fldCharType="begin"/>
        </w:r>
        <w:r w:rsidR="0075219A">
          <w:rPr>
            <w:webHidden/>
          </w:rPr>
          <w:instrText xml:space="preserve"> PAGEREF _Toc168502085 \h </w:instrText>
        </w:r>
        <w:r w:rsidR="0075219A">
          <w:rPr>
            <w:webHidden/>
          </w:rPr>
        </w:r>
        <w:r w:rsidR="0075219A">
          <w:rPr>
            <w:webHidden/>
          </w:rPr>
          <w:fldChar w:fldCharType="separate"/>
        </w:r>
        <w:r w:rsidR="0075219A">
          <w:rPr>
            <w:webHidden/>
          </w:rPr>
          <w:t>138</w:t>
        </w:r>
        <w:r w:rsidR="0075219A">
          <w:rPr>
            <w:webHidden/>
          </w:rPr>
          <w:fldChar w:fldCharType="end"/>
        </w:r>
      </w:hyperlink>
    </w:p>
    <w:p w14:paraId="176841D2" w14:textId="77777777" w:rsidR="0075219A" w:rsidRDefault="009A2DB5">
      <w:pPr>
        <w:pStyle w:val="2b"/>
        <w:rPr>
          <w:rFonts w:asciiTheme="minorHAnsi" w:eastAsiaTheme="minorEastAsia" w:hAnsiTheme="minorHAnsi" w:cstheme="minorBidi"/>
          <w:b w:val="0"/>
          <w:sz w:val="22"/>
          <w:szCs w:val="22"/>
          <w:lang w:eastAsia="ru-RU"/>
        </w:rPr>
      </w:pPr>
      <w:hyperlink w:anchor="_Toc168502086" w:history="1">
        <w:r w:rsidR="0075219A" w:rsidRPr="00E10183">
          <w:rPr>
            <w:rStyle w:val="afff0"/>
            <w:rFonts w:ascii="Times New Roman" w:hAnsi="Times New Roman"/>
          </w:rPr>
          <w:t>Section 12. Leases (IFRS 16)</w:t>
        </w:r>
        <w:r w:rsidR="0075219A">
          <w:rPr>
            <w:webHidden/>
          </w:rPr>
          <w:tab/>
        </w:r>
        <w:r w:rsidR="0075219A">
          <w:rPr>
            <w:webHidden/>
          </w:rPr>
          <w:fldChar w:fldCharType="begin"/>
        </w:r>
        <w:r w:rsidR="0075219A">
          <w:rPr>
            <w:webHidden/>
          </w:rPr>
          <w:instrText xml:space="preserve"> PAGEREF _Toc168502086 \h </w:instrText>
        </w:r>
        <w:r w:rsidR="0075219A">
          <w:rPr>
            <w:webHidden/>
          </w:rPr>
        </w:r>
        <w:r w:rsidR="0075219A">
          <w:rPr>
            <w:webHidden/>
          </w:rPr>
          <w:fldChar w:fldCharType="separate"/>
        </w:r>
        <w:r w:rsidR="0075219A">
          <w:rPr>
            <w:webHidden/>
          </w:rPr>
          <w:t>142</w:t>
        </w:r>
        <w:r w:rsidR="0075219A">
          <w:rPr>
            <w:webHidden/>
          </w:rPr>
          <w:fldChar w:fldCharType="end"/>
        </w:r>
      </w:hyperlink>
    </w:p>
    <w:p w14:paraId="15B1E6AA" w14:textId="77777777" w:rsidR="0075219A" w:rsidRDefault="009A2DB5">
      <w:pPr>
        <w:pStyle w:val="39"/>
        <w:rPr>
          <w:rFonts w:asciiTheme="minorHAnsi" w:eastAsiaTheme="minorEastAsia" w:hAnsiTheme="minorHAnsi" w:cstheme="minorBidi"/>
          <w:sz w:val="22"/>
          <w:szCs w:val="22"/>
          <w:lang w:eastAsia="ru-RU"/>
        </w:rPr>
      </w:pPr>
      <w:hyperlink w:anchor="_Toc168502087" w:history="1">
        <w:r w:rsidR="0075219A" w:rsidRPr="00E10183">
          <w:rPr>
            <w:rStyle w:val="afff0"/>
          </w:rPr>
          <w:t>12.1 General Provisions.</w:t>
        </w:r>
        <w:r w:rsidR="0075219A">
          <w:rPr>
            <w:webHidden/>
          </w:rPr>
          <w:tab/>
        </w:r>
        <w:r w:rsidR="0075219A">
          <w:rPr>
            <w:webHidden/>
          </w:rPr>
          <w:fldChar w:fldCharType="begin"/>
        </w:r>
        <w:r w:rsidR="0075219A">
          <w:rPr>
            <w:webHidden/>
          </w:rPr>
          <w:instrText xml:space="preserve"> PAGEREF _Toc168502087 \h </w:instrText>
        </w:r>
        <w:r w:rsidR="0075219A">
          <w:rPr>
            <w:webHidden/>
          </w:rPr>
        </w:r>
        <w:r w:rsidR="0075219A">
          <w:rPr>
            <w:webHidden/>
          </w:rPr>
          <w:fldChar w:fldCharType="separate"/>
        </w:r>
        <w:r w:rsidR="0075219A">
          <w:rPr>
            <w:webHidden/>
          </w:rPr>
          <w:t>142</w:t>
        </w:r>
        <w:r w:rsidR="0075219A">
          <w:rPr>
            <w:webHidden/>
          </w:rPr>
          <w:fldChar w:fldCharType="end"/>
        </w:r>
      </w:hyperlink>
    </w:p>
    <w:p w14:paraId="64EAC546" w14:textId="77777777" w:rsidR="0075219A" w:rsidRDefault="009A2DB5">
      <w:pPr>
        <w:pStyle w:val="39"/>
        <w:rPr>
          <w:rFonts w:asciiTheme="minorHAnsi" w:eastAsiaTheme="minorEastAsia" w:hAnsiTheme="minorHAnsi" w:cstheme="minorBidi"/>
          <w:sz w:val="22"/>
          <w:szCs w:val="22"/>
          <w:lang w:eastAsia="ru-RU"/>
        </w:rPr>
      </w:pPr>
      <w:hyperlink w:anchor="_Toc168502088" w:history="1">
        <w:r w:rsidR="0075219A" w:rsidRPr="00E10183">
          <w:rPr>
            <w:rStyle w:val="afff0"/>
          </w:rPr>
          <w:t>12.2 Definitions.</w:t>
        </w:r>
        <w:r w:rsidR="0075219A">
          <w:rPr>
            <w:webHidden/>
          </w:rPr>
          <w:tab/>
        </w:r>
        <w:r w:rsidR="0075219A">
          <w:rPr>
            <w:webHidden/>
          </w:rPr>
          <w:fldChar w:fldCharType="begin"/>
        </w:r>
        <w:r w:rsidR="0075219A">
          <w:rPr>
            <w:webHidden/>
          </w:rPr>
          <w:instrText xml:space="preserve"> PAGEREF _Toc168502088 \h </w:instrText>
        </w:r>
        <w:r w:rsidR="0075219A">
          <w:rPr>
            <w:webHidden/>
          </w:rPr>
        </w:r>
        <w:r w:rsidR="0075219A">
          <w:rPr>
            <w:webHidden/>
          </w:rPr>
          <w:fldChar w:fldCharType="separate"/>
        </w:r>
        <w:r w:rsidR="0075219A">
          <w:rPr>
            <w:webHidden/>
          </w:rPr>
          <w:t>142</w:t>
        </w:r>
        <w:r w:rsidR="0075219A">
          <w:rPr>
            <w:webHidden/>
          </w:rPr>
          <w:fldChar w:fldCharType="end"/>
        </w:r>
      </w:hyperlink>
    </w:p>
    <w:p w14:paraId="1D9EED24" w14:textId="77777777" w:rsidR="0075219A" w:rsidRDefault="009A2DB5">
      <w:pPr>
        <w:pStyle w:val="39"/>
        <w:rPr>
          <w:rFonts w:asciiTheme="minorHAnsi" w:eastAsiaTheme="minorEastAsia" w:hAnsiTheme="minorHAnsi" w:cstheme="minorBidi"/>
          <w:sz w:val="22"/>
          <w:szCs w:val="22"/>
          <w:lang w:eastAsia="ru-RU"/>
        </w:rPr>
      </w:pPr>
      <w:hyperlink w:anchor="_Toc168502089" w:history="1">
        <w:r w:rsidR="0075219A" w:rsidRPr="00E10183">
          <w:rPr>
            <w:rStyle w:val="afff0"/>
          </w:rPr>
          <w:t>12.3 Accounting Principles.</w:t>
        </w:r>
        <w:r w:rsidR="0075219A">
          <w:rPr>
            <w:webHidden/>
          </w:rPr>
          <w:tab/>
        </w:r>
        <w:r w:rsidR="0075219A">
          <w:rPr>
            <w:webHidden/>
          </w:rPr>
          <w:fldChar w:fldCharType="begin"/>
        </w:r>
        <w:r w:rsidR="0075219A">
          <w:rPr>
            <w:webHidden/>
          </w:rPr>
          <w:instrText xml:space="preserve"> PAGEREF _Toc168502089 \h </w:instrText>
        </w:r>
        <w:r w:rsidR="0075219A">
          <w:rPr>
            <w:webHidden/>
          </w:rPr>
        </w:r>
        <w:r w:rsidR="0075219A">
          <w:rPr>
            <w:webHidden/>
          </w:rPr>
          <w:fldChar w:fldCharType="separate"/>
        </w:r>
        <w:r w:rsidR="0075219A">
          <w:rPr>
            <w:webHidden/>
          </w:rPr>
          <w:t>143</w:t>
        </w:r>
        <w:r w:rsidR="0075219A">
          <w:rPr>
            <w:webHidden/>
          </w:rPr>
          <w:fldChar w:fldCharType="end"/>
        </w:r>
      </w:hyperlink>
    </w:p>
    <w:p w14:paraId="74FC4854" w14:textId="77777777" w:rsidR="0075219A" w:rsidRDefault="009A2DB5">
      <w:pPr>
        <w:pStyle w:val="39"/>
        <w:rPr>
          <w:rFonts w:asciiTheme="minorHAnsi" w:eastAsiaTheme="minorEastAsia" w:hAnsiTheme="minorHAnsi" w:cstheme="minorBidi"/>
          <w:sz w:val="22"/>
          <w:szCs w:val="22"/>
          <w:lang w:eastAsia="ru-RU"/>
        </w:rPr>
      </w:pPr>
      <w:hyperlink w:anchor="_Toc168502090" w:history="1">
        <w:r w:rsidR="0075219A" w:rsidRPr="00E10183">
          <w:rPr>
            <w:rStyle w:val="afff0"/>
            <w:lang w:eastAsia="ru-RU"/>
          </w:rPr>
          <w:t>12.4 Lease modifications</w:t>
        </w:r>
        <w:r w:rsidR="0075219A">
          <w:rPr>
            <w:webHidden/>
          </w:rPr>
          <w:tab/>
        </w:r>
        <w:r w:rsidR="0075219A">
          <w:rPr>
            <w:webHidden/>
          </w:rPr>
          <w:fldChar w:fldCharType="begin"/>
        </w:r>
        <w:r w:rsidR="0075219A">
          <w:rPr>
            <w:webHidden/>
          </w:rPr>
          <w:instrText xml:space="preserve"> PAGEREF _Toc168502090 \h </w:instrText>
        </w:r>
        <w:r w:rsidR="0075219A">
          <w:rPr>
            <w:webHidden/>
          </w:rPr>
        </w:r>
        <w:r w:rsidR="0075219A">
          <w:rPr>
            <w:webHidden/>
          </w:rPr>
          <w:fldChar w:fldCharType="separate"/>
        </w:r>
        <w:r w:rsidR="0075219A">
          <w:rPr>
            <w:webHidden/>
          </w:rPr>
          <w:t>144</w:t>
        </w:r>
        <w:r w:rsidR="0075219A">
          <w:rPr>
            <w:webHidden/>
          </w:rPr>
          <w:fldChar w:fldCharType="end"/>
        </w:r>
      </w:hyperlink>
    </w:p>
    <w:p w14:paraId="0D6FBEF2" w14:textId="77777777" w:rsidR="0075219A" w:rsidRDefault="009A2DB5">
      <w:pPr>
        <w:pStyle w:val="39"/>
        <w:rPr>
          <w:rFonts w:asciiTheme="minorHAnsi" w:eastAsiaTheme="minorEastAsia" w:hAnsiTheme="minorHAnsi" w:cstheme="minorBidi"/>
          <w:sz w:val="22"/>
          <w:szCs w:val="22"/>
          <w:lang w:eastAsia="ru-RU"/>
        </w:rPr>
      </w:pPr>
      <w:hyperlink w:anchor="_Toc168502091" w:history="1">
        <w:r w:rsidR="0075219A" w:rsidRPr="00E10183">
          <w:rPr>
            <w:rStyle w:val="afff0"/>
            <w:lang w:eastAsia="ru-RU"/>
          </w:rPr>
          <w:t>12.5 Disclosure of information.</w:t>
        </w:r>
        <w:r w:rsidR="0075219A">
          <w:rPr>
            <w:webHidden/>
          </w:rPr>
          <w:tab/>
        </w:r>
        <w:r w:rsidR="0075219A">
          <w:rPr>
            <w:webHidden/>
          </w:rPr>
          <w:fldChar w:fldCharType="begin"/>
        </w:r>
        <w:r w:rsidR="0075219A">
          <w:rPr>
            <w:webHidden/>
          </w:rPr>
          <w:instrText xml:space="preserve"> PAGEREF _Toc168502091 \h </w:instrText>
        </w:r>
        <w:r w:rsidR="0075219A">
          <w:rPr>
            <w:webHidden/>
          </w:rPr>
        </w:r>
        <w:r w:rsidR="0075219A">
          <w:rPr>
            <w:webHidden/>
          </w:rPr>
          <w:fldChar w:fldCharType="separate"/>
        </w:r>
        <w:r w:rsidR="0075219A">
          <w:rPr>
            <w:webHidden/>
          </w:rPr>
          <w:t>144</w:t>
        </w:r>
        <w:r w:rsidR="0075219A">
          <w:rPr>
            <w:webHidden/>
          </w:rPr>
          <w:fldChar w:fldCharType="end"/>
        </w:r>
      </w:hyperlink>
    </w:p>
    <w:p w14:paraId="12FD0A48" w14:textId="77777777" w:rsidR="0075219A" w:rsidRDefault="009A2DB5">
      <w:pPr>
        <w:pStyle w:val="39"/>
        <w:rPr>
          <w:rFonts w:asciiTheme="minorHAnsi" w:eastAsiaTheme="minorEastAsia" w:hAnsiTheme="minorHAnsi" w:cstheme="minorBidi"/>
          <w:sz w:val="22"/>
          <w:szCs w:val="22"/>
          <w:lang w:eastAsia="ru-RU"/>
        </w:rPr>
      </w:pPr>
      <w:hyperlink w:anchor="_Toc168502092" w:history="1">
        <w:r w:rsidR="0075219A" w:rsidRPr="00E10183">
          <w:rPr>
            <w:rStyle w:val="afff0"/>
          </w:rPr>
          <w:t>12.6 Transition to IFRS 16</w:t>
        </w:r>
        <w:r w:rsidR="0075219A">
          <w:rPr>
            <w:webHidden/>
          </w:rPr>
          <w:tab/>
        </w:r>
        <w:r w:rsidR="0075219A">
          <w:rPr>
            <w:webHidden/>
          </w:rPr>
          <w:fldChar w:fldCharType="begin"/>
        </w:r>
        <w:r w:rsidR="0075219A">
          <w:rPr>
            <w:webHidden/>
          </w:rPr>
          <w:instrText xml:space="preserve"> PAGEREF _Toc168502092 \h </w:instrText>
        </w:r>
        <w:r w:rsidR="0075219A">
          <w:rPr>
            <w:webHidden/>
          </w:rPr>
        </w:r>
        <w:r w:rsidR="0075219A">
          <w:rPr>
            <w:webHidden/>
          </w:rPr>
          <w:fldChar w:fldCharType="separate"/>
        </w:r>
        <w:r w:rsidR="0075219A">
          <w:rPr>
            <w:webHidden/>
          </w:rPr>
          <w:t>145</w:t>
        </w:r>
        <w:r w:rsidR="0075219A">
          <w:rPr>
            <w:webHidden/>
          </w:rPr>
          <w:fldChar w:fldCharType="end"/>
        </w:r>
      </w:hyperlink>
    </w:p>
    <w:p w14:paraId="108020C2" w14:textId="77777777" w:rsidR="0075219A" w:rsidRDefault="009A2DB5">
      <w:pPr>
        <w:pStyle w:val="2b"/>
        <w:rPr>
          <w:rFonts w:asciiTheme="minorHAnsi" w:eastAsiaTheme="minorEastAsia" w:hAnsiTheme="minorHAnsi" w:cstheme="minorBidi"/>
          <w:b w:val="0"/>
          <w:sz w:val="22"/>
          <w:szCs w:val="22"/>
          <w:lang w:eastAsia="ru-RU"/>
        </w:rPr>
      </w:pPr>
      <w:hyperlink w:anchor="_Toc168502093" w:history="1">
        <w:r w:rsidR="0075219A" w:rsidRPr="00E10183">
          <w:rPr>
            <w:rStyle w:val="afff0"/>
            <w:rFonts w:ascii="Times New Roman" w:hAnsi="Times New Roman"/>
          </w:rPr>
          <w:t>Section 13. Taxes (IAS 12)</w:t>
        </w:r>
        <w:r w:rsidR="0075219A">
          <w:rPr>
            <w:webHidden/>
          </w:rPr>
          <w:tab/>
        </w:r>
        <w:r w:rsidR="0075219A">
          <w:rPr>
            <w:webHidden/>
          </w:rPr>
          <w:fldChar w:fldCharType="begin"/>
        </w:r>
        <w:r w:rsidR="0075219A">
          <w:rPr>
            <w:webHidden/>
          </w:rPr>
          <w:instrText xml:space="preserve"> PAGEREF _Toc168502093 \h </w:instrText>
        </w:r>
        <w:r w:rsidR="0075219A">
          <w:rPr>
            <w:webHidden/>
          </w:rPr>
        </w:r>
        <w:r w:rsidR="0075219A">
          <w:rPr>
            <w:webHidden/>
          </w:rPr>
          <w:fldChar w:fldCharType="separate"/>
        </w:r>
        <w:r w:rsidR="0075219A">
          <w:rPr>
            <w:webHidden/>
          </w:rPr>
          <w:t>146</w:t>
        </w:r>
        <w:r w:rsidR="0075219A">
          <w:rPr>
            <w:webHidden/>
          </w:rPr>
          <w:fldChar w:fldCharType="end"/>
        </w:r>
      </w:hyperlink>
    </w:p>
    <w:p w14:paraId="1E757996" w14:textId="77777777" w:rsidR="0075219A" w:rsidRDefault="009A2DB5">
      <w:pPr>
        <w:pStyle w:val="39"/>
        <w:rPr>
          <w:rFonts w:asciiTheme="minorHAnsi" w:eastAsiaTheme="minorEastAsia" w:hAnsiTheme="minorHAnsi" w:cstheme="minorBidi"/>
          <w:sz w:val="22"/>
          <w:szCs w:val="22"/>
          <w:lang w:eastAsia="ru-RU"/>
        </w:rPr>
      </w:pPr>
      <w:hyperlink w:anchor="_Toc168502094" w:history="1">
        <w:r w:rsidR="0075219A" w:rsidRPr="00E10183">
          <w:rPr>
            <w:rStyle w:val="afff0"/>
          </w:rPr>
          <w:t>13.1 General provisions</w:t>
        </w:r>
        <w:r w:rsidR="0075219A">
          <w:rPr>
            <w:webHidden/>
          </w:rPr>
          <w:tab/>
        </w:r>
        <w:r w:rsidR="0075219A">
          <w:rPr>
            <w:webHidden/>
          </w:rPr>
          <w:fldChar w:fldCharType="begin"/>
        </w:r>
        <w:r w:rsidR="0075219A">
          <w:rPr>
            <w:webHidden/>
          </w:rPr>
          <w:instrText xml:space="preserve"> PAGEREF _Toc168502094 \h </w:instrText>
        </w:r>
        <w:r w:rsidR="0075219A">
          <w:rPr>
            <w:webHidden/>
          </w:rPr>
        </w:r>
        <w:r w:rsidR="0075219A">
          <w:rPr>
            <w:webHidden/>
          </w:rPr>
          <w:fldChar w:fldCharType="separate"/>
        </w:r>
        <w:r w:rsidR="0075219A">
          <w:rPr>
            <w:webHidden/>
          </w:rPr>
          <w:t>146</w:t>
        </w:r>
        <w:r w:rsidR="0075219A">
          <w:rPr>
            <w:webHidden/>
          </w:rPr>
          <w:fldChar w:fldCharType="end"/>
        </w:r>
      </w:hyperlink>
    </w:p>
    <w:p w14:paraId="1BC6316E" w14:textId="77777777" w:rsidR="0075219A" w:rsidRDefault="009A2DB5">
      <w:pPr>
        <w:pStyle w:val="39"/>
        <w:rPr>
          <w:rFonts w:asciiTheme="minorHAnsi" w:eastAsiaTheme="minorEastAsia" w:hAnsiTheme="minorHAnsi" w:cstheme="minorBidi"/>
          <w:sz w:val="22"/>
          <w:szCs w:val="22"/>
          <w:lang w:eastAsia="ru-RU"/>
        </w:rPr>
      </w:pPr>
      <w:hyperlink w:anchor="_Toc168502095" w:history="1">
        <w:r w:rsidR="0075219A" w:rsidRPr="00E10183">
          <w:rPr>
            <w:rStyle w:val="afff0"/>
          </w:rPr>
          <w:t>13.2 Definitions</w:t>
        </w:r>
        <w:r w:rsidR="0075219A">
          <w:rPr>
            <w:webHidden/>
          </w:rPr>
          <w:tab/>
        </w:r>
        <w:r w:rsidR="0075219A">
          <w:rPr>
            <w:webHidden/>
          </w:rPr>
          <w:fldChar w:fldCharType="begin"/>
        </w:r>
        <w:r w:rsidR="0075219A">
          <w:rPr>
            <w:webHidden/>
          </w:rPr>
          <w:instrText xml:space="preserve"> PAGEREF _Toc168502095 \h </w:instrText>
        </w:r>
        <w:r w:rsidR="0075219A">
          <w:rPr>
            <w:webHidden/>
          </w:rPr>
        </w:r>
        <w:r w:rsidR="0075219A">
          <w:rPr>
            <w:webHidden/>
          </w:rPr>
          <w:fldChar w:fldCharType="separate"/>
        </w:r>
        <w:r w:rsidR="0075219A">
          <w:rPr>
            <w:webHidden/>
          </w:rPr>
          <w:t>146</w:t>
        </w:r>
        <w:r w:rsidR="0075219A">
          <w:rPr>
            <w:webHidden/>
          </w:rPr>
          <w:fldChar w:fldCharType="end"/>
        </w:r>
      </w:hyperlink>
    </w:p>
    <w:p w14:paraId="1D631CCF" w14:textId="77777777" w:rsidR="0075219A" w:rsidRDefault="009A2DB5">
      <w:pPr>
        <w:pStyle w:val="39"/>
        <w:rPr>
          <w:rFonts w:asciiTheme="minorHAnsi" w:eastAsiaTheme="minorEastAsia" w:hAnsiTheme="minorHAnsi" w:cstheme="minorBidi"/>
          <w:sz w:val="22"/>
          <w:szCs w:val="22"/>
          <w:lang w:eastAsia="ru-RU"/>
        </w:rPr>
      </w:pPr>
      <w:hyperlink w:anchor="_Toc168502096" w:history="1">
        <w:r w:rsidR="0075219A" w:rsidRPr="00E10183">
          <w:rPr>
            <w:rStyle w:val="afff0"/>
          </w:rPr>
          <w:t>13.3 Accounting policies</w:t>
        </w:r>
        <w:r w:rsidR="0075219A">
          <w:rPr>
            <w:webHidden/>
          </w:rPr>
          <w:tab/>
        </w:r>
        <w:r w:rsidR="0075219A">
          <w:rPr>
            <w:webHidden/>
          </w:rPr>
          <w:fldChar w:fldCharType="begin"/>
        </w:r>
        <w:r w:rsidR="0075219A">
          <w:rPr>
            <w:webHidden/>
          </w:rPr>
          <w:instrText xml:space="preserve"> PAGEREF _Toc168502096 \h </w:instrText>
        </w:r>
        <w:r w:rsidR="0075219A">
          <w:rPr>
            <w:webHidden/>
          </w:rPr>
        </w:r>
        <w:r w:rsidR="0075219A">
          <w:rPr>
            <w:webHidden/>
          </w:rPr>
          <w:fldChar w:fldCharType="separate"/>
        </w:r>
        <w:r w:rsidR="0075219A">
          <w:rPr>
            <w:webHidden/>
          </w:rPr>
          <w:t>147</w:t>
        </w:r>
        <w:r w:rsidR="0075219A">
          <w:rPr>
            <w:webHidden/>
          </w:rPr>
          <w:fldChar w:fldCharType="end"/>
        </w:r>
      </w:hyperlink>
    </w:p>
    <w:p w14:paraId="7E54EE7D" w14:textId="77777777" w:rsidR="0075219A" w:rsidRDefault="009A2DB5">
      <w:pPr>
        <w:pStyle w:val="39"/>
        <w:rPr>
          <w:rFonts w:asciiTheme="minorHAnsi" w:eastAsiaTheme="minorEastAsia" w:hAnsiTheme="minorHAnsi" w:cstheme="minorBidi"/>
          <w:sz w:val="22"/>
          <w:szCs w:val="22"/>
          <w:lang w:eastAsia="ru-RU"/>
        </w:rPr>
      </w:pPr>
      <w:hyperlink w:anchor="_Toc168502097" w:history="1">
        <w:r w:rsidR="0075219A" w:rsidRPr="00E10183">
          <w:rPr>
            <w:rStyle w:val="afff0"/>
          </w:rPr>
          <w:t>13.4 Disclosure of information</w:t>
        </w:r>
        <w:r w:rsidR="0075219A">
          <w:rPr>
            <w:webHidden/>
          </w:rPr>
          <w:tab/>
        </w:r>
        <w:r w:rsidR="0075219A">
          <w:rPr>
            <w:webHidden/>
          </w:rPr>
          <w:fldChar w:fldCharType="begin"/>
        </w:r>
        <w:r w:rsidR="0075219A">
          <w:rPr>
            <w:webHidden/>
          </w:rPr>
          <w:instrText xml:space="preserve"> PAGEREF _Toc168502097 \h </w:instrText>
        </w:r>
        <w:r w:rsidR="0075219A">
          <w:rPr>
            <w:webHidden/>
          </w:rPr>
        </w:r>
        <w:r w:rsidR="0075219A">
          <w:rPr>
            <w:webHidden/>
          </w:rPr>
          <w:fldChar w:fldCharType="separate"/>
        </w:r>
        <w:r w:rsidR="0075219A">
          <w:rPr>
            <w:webHidden/>
          </w:rPr>
          <w:t>150</w:t>
        </w:r>
        <w:r w:rsidR="0075219A">
          <w:rPr>
            <w:webHidden/>
          </w:rPr>
          <w:fldChar w:fldCharType="end"/>
        </w:r>
      </w:hyperlink>
    </w:p>
    <w:p w14:paraId="1B4E2195" w14:textId="77777777" w:rsidR="0075219A" w:rsidRDefault="009A2DB5">
      <w:pPr>
        <w:pStyle w:val="2b"/>
        <w:rPr>
          <w:rFonts w:asciiTheme="minorHAnsi" w:eastAsiaTheme="minorEastAsia" w:hAnsiTheme="minorHAnsi" w:cstheme="minorBidi"/>
          <w:b w:val="0"/>
          <w:sz w:val="22"/>
          <w:szCs w:val="22"/>
          <w:lang w:eastAsia="ru-RU"/>
        </w:rPr>
      </w:pPr>
      <w:hyperlink w:anchor="_Toc168502098" w:history="1">
        <w:r w:rsidR="0075219A" w:rsidRPr="00E10183">
          <w:rPr>
            <w:rStyle w:val="afff0"/>
            <w:rFonts w:ascii="Times New Roman" w:hAnsi="Times New Roman"/>
          </w:rPr>
          <w:t>Section 14. Capital</w:t>
        </w:r>
        <w:r w:rsidR="0075219A">
          <w:rPr>
            <w:webHidden/>
          </w:rPr>
          <w:tab/>
        </w:r>
        <w:r w:rsidR="0075219A">
          <w:rPr>
            <w:webHidden/>
          </w:rPr>
          <w:fldChar w:fldCharType="begin"/>
        </w:r>
        <w:r w:rsidR="0075219A">
          <w:rPr>
            <w:webHidden/>
          </w:rPr>
          <w:instrText xml:space="preserve"> PAGEREF _Toc168502098 \h </w:instrText>
        </w:r>
        <w:r w:rsidR="0075219A">
          <w:rPr>
            <w:webHidden/>
          </w:rPr>
        </w:r>
        <w:r w:rsidR="0075219A">
          <w:rPr>
            <w:webHidden/>
          </w:rPr>
          <w:fldChar w:fldCharType="separate"/>
        </w:r>
        <w:r w:rsidR="0075219A">
          <w:rPr>
            <w:webHidden/>
          </w:rPr>
          <w:t>152</w:t>
        </w:r>
        <w:r w:rsidR="0075219A">
          <w:rPr>
            <w:webHidden/>
          </w:rPr>
          <w:fldChar w:fldCharType="end"/>
        </w:r>
      </w:hyperlink>
    </w:p>
    <w:p w14:paraId="1F6B0176" w14:textId="77777777" w:rsidR="0075219A" w:rsidRDefault="009A2DB5">
      <w:pPr>
        <w:pStyle w:val="39"/>
        <w:rPr>
          <w:rFonts w:asciiTheme="minorHAnsi" w:eastAsiaTheme="minorEastAsia" w:hAnsiTheme="minorHAnsi" w:cstheme="minorBidi"/>
          <w:sz w:val="22"/>
          <w:szCs w:val="22"/>
          <w:lang w:eastAsia="ru-RU"/>
        </w:rPr>
      </w:pPr>
      <w:hyperlink w:anchor="_Toc168502099" w:history="1">
        <w:r w:rsidR="0075219A" w:rsidRPr="00E10183">
          <w:rPr>
            <w:rStyle w:val="afff0"/>
          </w:rPr>
          <w:t>14.1 Definitions</w:t>
        </w:r>
        <w:r w:rsidR="0075219A">
          <w:rPr>
            <w:webHidden/>
          </w:rPr>
          <w:tab/>
        </w:r>
        <w:r w:rsidR="0075219A">
          <w:rPr>
            <w:webHidden/>
          </w:rPr>
          <w:fldChar w:fldCharType="begin"/>
        </w:r>
        <w:r w:rsidR="0075219A">
          <w:rPr>
            <w:webHidden/>
          </w:rPr>
          <w:instrText xml:space="preserve"> PAGEREF _Toc168502099 \h </w:instrText>
        </w:r>
        <w:r w:rsidR="0075219A">
          <w:rPr>
            <w:webHidden/>
          </w:rPr>
        </w:r>
        <w:r w:rsidR="0075219A">
          <w:rPr>
            <w:webHidden/>
          </w:rPr>
          <w:fldChar w:fldCharType="separate"/>
        </w:r>
        <w:r w:rsidR="0075219A">
          <w:rPr>
            <w:webHidden/>
          </w:rPr>
          <w:t>152</w:t>
        </w:r>
        <w:r w:rsidR="0075219A">
          <w:rPr>
            <w:webHidden/>
          </w:rPr>
          <w:fldChar w:fldCharType="end"/>
        </w:r>
      </w:hyperlink>
    </w:p>
    <w:p w14:paraId="6723C569" w14:textId="77777777" w:rsidR="0075219A" w:rsidRDefault="009A2DB5">
      <w:pPr>
        <w:pStyle w:val="39"/>
        <w:rPr>
          <w:rFonts w:asciiTheme="minorHAnsi" w:eastAsiaTheme="minorEastAsia" w:hAnsiTheme="minorHAnsi" w:cstheme="minorBidi"/>
          <w:sz w:val="22"/>
          <w:szCs w:val="22"/>
          <w:lang w:eastAsia="ru-RU"/>
        </w:rPr>
      </w:pPr>
      <w:hyperlink w:anchor="_Toc168502100" w:history="1">
        <w:r w:rsidR="0075219A" w:rsidRPr="00E10183">
          <w:rPr>
            <w:rStyle w:val="afff0"/>
          </w:rPr>
          <w:t>14.2 Classification and accounting policies</w:t>
        </w:r>
        <w:r w:rsidR="0075219A">
          <w:rPr>
            <w:webHidden/>
          </w:rPr>
          <w:tab/>
        </w:r>
        <w:r w:rsidR="0075219A">
          <w:rPr>
            <w:webHidden/>
          </w:rPr>
          <w:fldChar w:fldCharType="begin"/>
        </w:r>
        <w:r w:rsidR="0075219A">
          <w:rPr>
            <w:webHidden/>
          </w:rPr>
          <w:instrText xml:space="preserve"> PAGEREF _Toc168502100 \h </w:instrText>
        </w:r>
        <w:r w:rsidR="0075219A">
          <w:rPr>
            <w:webHidden/>
          </w:rPr>
        </w:r>
        <w:r w:rsidR="0075219A">
          <w:rPr>
            <w:webHidden/>
          </w:rPr>
          <w:fldChar w:fldCharType="separate"/>
        </w:r>
        <w:r w:rsidR="0075219A">
          <w:rPr>
            <w:webHidden/>
          </w:rPr>
          <w:t>152</w:t>
        </w:r>
        <w:r w:rsidR="0075219A">
          <w:rPr>
            <w:webHidden/>
          </w:rPr>
          <w:fldChar w:fldCharType="end"/>
        </w:r>
      </w:hyperlink>
    </w:p>
    <w:p w14:paraId="62593A2A" w14:textId="77777777" w:rsidR="0075219A" w:rsidRDefault="009A2DB5">
      <w:pPr>
        <w:pStyle w:val="39"/>
        <w:rPr>
          <w:rFonts w:asciiTheme="minorHAnsi" w:eastAsiaTheme="minorEastAsia" w:hAnsiTheme="minorHAnsi" w:cstheme="minorBidi"/>
          <w:sz w:val="22"/>
          <w:szCs w:val="22"/>
          <w:lang w:eastAsia="ru-RU"/>
        </w:rPr>
      </w:pPr>
      <w:hyperlink w:anchor="_Toc168502101" w:history="1">
        <w:r w:rsidR="0075219A" w:rsidRPr="00E10183">
          <w:rPr>
            <w:rStyle w:val="afff0"/>
          </w:rPr>
          <w:t>14.3 Disclosure of information</w:t>
        </w:r>
        <w:r w:rsidR="0075219A">
          <w:rPr>
            <w:webHidden/>
          </w:rPr>
          <w:tab/>
        </w:r>
        <w:r w:rsidR="0075219A">
          <w:rPr>
            <w:webHidden/>
          </w:rPr>
          <w:fldChar w:fldCharType="begin"/>
        </w:r>
        <w:r w:rsidR="0075219A">
          <w:rPr>
            <w:webHidden/>
          </w:rPr>
          <w:instrText xml:space="preserve"> PAGEREF _Toc168502101 \h </w:instrText>
        </w:r>
        <w:r w:rsidR="0075219A">
          <w:rPr>
            <w:webHidden/>
          </w:rPr>
        </w:r>
        <w:r w:rsidR="0075219A">
          <w:rPr>
            <w:webHidden/>
          </w:rPr>
          <w:fldChar w:fldCharType="separate"/>
        </w:r>
        <w:r w:rsidR="0075219A">
          <w:rPr>
            <w:webHidden/>
          </w:rPr>
          <w:t>154</w:t>
        </w:r>
        <w:r w:rsidR="0075219A">
          <w:rPr>
            <w:webHidden/>
          </w:rPr>
          <w:fldChar w:fldCharType="end"/>
        </w:r>
      </w:hyperlink>
    </w:p>
    <w:p w14:paraId="1419421D" w14:textId="77777777" w:rsidR="0075219A" w:rsidRDefault="009A2DB5">
      <w:pPr>
        <w:pStyle w:val="2b"/>
        <w:rPr>
          <w:rFonts w:asciiTheme="minorHAnsi" w:eastAsiaTheme="minorEastAsia" w:hAnsiTheme="minorHAnsi" w:cstheme="minorBidi"/>
          <w:b w:val="0"/>
          <w:sz w:val="22"/>
          <w:szCs w:val="22"/>
          <w:lang w:eastAsia="ru-RU"/>
        </w:rPr>
      </w:pPr>
      <w:hyperlink w:anchor="_Toc168502102" w:history="1">
        <w:r w:rsidR="0075219A" w:rsidRPr="00E10183">
          <w:rPr>
            <w:rStyle w:val="afff0"/>
            <w:rFonts w:ascii="Times New Roman" w:hAnsi="Times New Roman"/>
          </w:rPr>
          <w:t>Section 14. Government grants (IAS 20)</w:t>
        </w:r>
        <w:r w:rsidR="0075219A">
          <w:rPr>
            <w:webHidden/>
          </w:rPr>
          <w:tab/>
        </w:r>
        <w:r w:rsidR="0075219A">
          <w:rPr>
            <w:webHidden/>
          </w:rPr>
          <w:fldChar w:fldCharType="begin"/>
        </w:r>
        <w:r w:rsidR="0075219A">
          <w:rPr>
            <w:webHidden/>
          </w:rPr>
          <w:instrText xml:space="preserve"> PAGEREF _Toc168502102 \h </w:instrText>
        </w:r>
        <w:r w:rsidR="0075219A">
          <w:rPr>
            <w:webHidden/>
          </w:rPr>
        </w:r>
        <w:r w:rsidR="0075219A">
          <w:rPr>
            <w:webHidden/>
          </w:rPr>
          <w:fldChar w:fldCharType="separate"/>
        </w:r>
        <w:r w:rsidR="0075219A">
          <w:rPr>
            <w:webHidden/>
          </w:rPr>
          <w:t>156</w:t>
        </w:r>
        <w:r w:rsidR="0075219A">
          <w:rPr>
            <w:webHidden/>
          </w:rPr>
          <w:fldChar w:fldCharType="end"/>
        </w:r>
      </w:hyperlink>
    </w:p>
    <w:p w14:paraId="280A18BF" w14:textId="77777777" w:rsidR="0075219A" w:rsidRDefault="009A2DB5">
      <w:pPr>
        <w:pStyle w:val="39"/>
        <w:rPr>
          <w:rFonts w:asciiTheme="minorHAnsi" w:eastAsiaTheme="minorEastAsia" w:hAnsiTheme="minorHAnsi" w:cstheme="minorBidi"/>
          <w:sz w:val="22"/>
          <w:szCs w:val="22"/>
          <w:lang w:eastAsia="ru-RU"/>
        </w:rPr>
      </w:pPr>
      <w:hyperlink w:anchor="_Toc168502103" w:history="1">
        <w:r w:rsidR="0075219A" w:rsidRPr="00E10183">
          <w:rPr>
            <w:rStyle w:val="afff0"/>
          </w:rPr>
          <w:t>14-1.1. General provisions</w:t>
        </w:r>
        <w:r w:rsidR="0075219A">
          <w:rPr>
            <w:webHidden/>
          </w:rPr>
          <w:tab/>
        </w:r>
        <w:r w:rsidR="0075219A">
          <w:rPr>
            <w:webHidden/>
          </w:rPr>
          <w:fldChar w:fldCharType="begin"/>
        </w:r>
        <w:r w:rsidR="0075219A">
          <w:rPr>
            <w:webHidden/>
          </w:rPr>
          <w:instrText xml:space="preserve"> PAGEREF _Toc168502103 \h </w:instrText>
        </w:r>
        <w:r w:rsidR="0075219A">
          <w:rPr>
            <w:webHidden/>
          </w:rPr>
        </w:r>
        <w:r w:rsidR="0075219A">
          <w:rPr>
            <w:webHidden/>
          </w:rPr>
          <w:fldChar w:fldCharType="separate"/>
        </w:r>
        <w:r w:rsidR="0075219A">
          <w:rPr>
            <w:webHidden/>
          </w:rPr>
          <w:t>156</w:t>
        </w:r>
        <w:r w:rsidR="0075219A">
          <w:rPr>
            <w:webHidden/>
          </w:rPr>
          <w:fldChar w:fldCharType="end"/>
        </w:r>
      </w:hyperlink>
    </w:p>
    <w:p w14:paraId="2664126F" w14:textId="77777777" w:rsidR="0075219A" w:rsidRDefault="009A2DB5">
      <w:pPr>
        <w:pStyle w:val="39"/>
        <w:rPr>
          <w:rFonts w:asciiTheme="minorHAnsi" w:eastAsiaTheme="minorEastAsia" w:hAnsiTheme="minorHAnsi" w:cstheme="minorBidi"/>
          <w:sz w:val="22"/>
          <w:szCs w:val="22"/>
          <w:lang w:eastAsia="ru-RU"/>
        </w:rPr>
      </w:pPr>
      <w:hyperlink w:anchor="_Toc168502104" w:history="1">
        <w:r w:rsidR="0075219A" w:rsidRPr="00E10183">
          <w:rPr>
            <w:rStyle w:val="afff0"/>
          </w:rPr>
          <w:t>14-1.2. Definitions</w:t>
        </w:r>
        <w:r w:rsidR="0075219A">
          <w:rPr>
            <w:webHidden/>
          </w:rPr>
          <w:tab/>
        </w:r>
        <w:r w:rsidR="0075219A">
          <w:rPr>
            <w:webHidden/>
          </w:rPr>
          <w:fldChar w:fldCharType="begin"/>
        </w:r>
        <w:r w:rsidR="0075219A">
          <w:rPr>
            <w:webHidden/>
          </w:rPr>
          <w:instrText xml:space="preserve"> PAGEREF _Toc168502104 \h </w:instrText>
        </w:r>
        <w:r w:rsidR="0075219A">
          <w:rPr>
            <w:webHidden/>
          </w:rPr>
        </w:r>
        <w:r w:rsidR="0075219A">
          <w:rPr>
            <w:webHidden/>
          </w:rPr>
          <w:fldChar w:fldCharType="separate"/>
        </w:r>
        <w:r w:rsidR="0075219A">
          <w:rPr>
            <w:webHidden/>
          </w:rPr>
          <w:t>156</w:t>
        </w:r>
        <w:r w:rsidR="0075219A">
          <w:rPr>
            <w:webHidden/>
          </w:rPr>
          <w:fldChar w:fldCharType="end"/>
        </w:r>
      </w:hyperlink>
    </w:p>
    <w:p w14:paraId="6823E4E5" w14:textId="77777777" w:rsidR="0075219A" w:rsidRDefault="009A2DB5">
      <w:pPr>
        <w:pStyle w:val="39"/>
        <w:rPr>
          <w:rFonts w:asciiTheme="minorHAnsi" w:eastAsiaTheme="minorEastAsia" w:hAnsiTheme="minorHAnsi" w:cstheme="minorBidi"/>
          <w:sz w:val="22"/>
          <w:szCs w:val="22"/>
          <w:lang w:eastAsia="ru-RU"/>
        </w:rPr>
      </w:pPr>
      <w:hyperlink w:anchor="_Toc168502105" w:history="1">
        <w:r w:rsidR="0075219A" w:rsidRPr="00E10183">
          <w:rPr>
            <w:rStyle w:val="afff0"/>
          </w:rPr>
          <w:t>14-1.3 Classification</w:t>
        </w:r>
        <w:r w:rsidR="0075219A">
          <w:rPr>
            <w:webHidden/>
          </w:rPr>
          <w:tab/>
        </w:r>
        <w:r w:rsidR="0075219A">
          <w:rPr>
            <w:webHidden/>
          </w:rPr>
          <w:fldChar w:fldCharType="begin"/>
        </w:r>
        <w:r w:rsidR="0075219A">
          <w:rPr>
            <w:webHidden/>
          </w:rPr>
          <w:instrText xml:space="preserve"> PAGEREF _Toc168502105 \h </w:instrText>
        </w:r>
        <w:r w:rsidR="0075219A">
          <w:rPr>
            <w:webHidden/>
          </w:rPr>
        </w:r>
        <w:r w:rsidR="0075219A">
          <w:rPr>
            <w:webHidden/>
          </w:rPr>
          <w:fldChar w:fldCharType="separate"/>
        </w:r>
        <w:r w:rsidR="0075219A">
          <w:rPr>
            <w:webHidden/>
          </w:rPr>
          <w:t>156</w:t>
        </w:r>
        <w:r w:rsidR="0075219A">
          <w:rPr>
            <w:webHidden/>
          </w:rPr>
          <w:fldChar w:fldCharType="end"/>
        </w:r>
      </w:hyperlink>
    </w:p>
    <w:p w14:paraId="4411045A" w14:textId="77777777" w:rsidR="0075219A" w:rsidRDefault="009A2DB5">
      <w:pPr>
        <w:pStyle w:val="39"/>
        <w:rPr>
          <w:rFonts w:asciiTheme="minorHAnsi" w:eastAsiaTheme="minorEastAsia" w:hAnsiTheme="minorHAnsi" w:cstheme="minorBidi"/>
          <w:sz w:val="22"/>
          <w:szCs w:val="22"/>
          <w:lang w:eastAsia="ru-RU"/>
        </w:rPr>
      </w:pPr>
      <w:hyperlink w:anchor="_Toc168502106" w:history="1">
        <w:r w:rsidR="0075219A" w:rsidRPr="00E10183">
          <w:rPr>
            <w:rStyle w:val="afff0"/>
          </w:rPr>
          <w:t>14-1.4 Disclosure of information</w:t>
        </w:r>
        <w:r w:rsidR="0075219A">
          <w:rPr>
            <w:webHidden/>
          </w:rPr>
          <w:tab/>
        </w:r>
        <w:r w:rsidR="0075219A">
          <w:rPr>
            <w:webHidden/>
          </w:rPr>
          <w:fldChar w:fldCharType="begin"/>
        </w:r>
        <w:r w:rsidR="0075219A">
          <w:rPr>
            <w:webHidden/>
          </w:rPr>
          <w:instrText xml:space="preserve"> PAGEREF _Toc168502106 \h </w:instrText>
        </w:r>
        <w:r w:rsidR="0075219A">
          <w:rPr>
            <w:webHidden/>
          </w:rPr>
        </w:r>
        <w:r w:rsidR="0075219A">
          <w:rPr>
            <w:webHidden/>
          </w:rPr>
          <w:fldChar w:fldCharType="separate"/>
        </w:r>
        <w:r w:rsidR="0075219A">
          <w:rPr>
            <w:webHidden/>
          </w:rPr>
          <w:t>158</w:t>
        </w:r>
        <w:r w:rsidR="0075219A">
          <w:rPr>
            <w:webHidden/>
          </w:rPr>
          <w:fldChar w:fldCharType="end"/>
        </w:r>
      </w:hyperlink>
    </w:p>
    <w:p w14:paraId="5BE0BE65" w14:textId="77777777" w:rsidR="0075219A" w:rsidRDefault="009A2DB5">
      <w:pPr>
        <w:pStyle w:val="19"/>
        <w:rPr>
          <w:rFonts w:asciiTheme="minorHAnsi" w:eastAsiaTheme="minorEastAsia" w:hAnsiTheme="minorHAnsi" w:cstheme="minorBidi"/>
          <w:b w:val="0"/>
          <w:bCs w:val="0"/>
          <w:caps w:val="0"/>
          <w:sz w:val="22"/>
          <w:szCs w:val="22"/>
          <w:lang w:eastAsia="ru-RU"/>
        </w:rPr>
      </w:pPr>
      <w:hyperlink w:anchor="_Toc168502107" w:history="1">
        <w:r w:rsidR="0075219A" w:rsidRPr="00E10183">
          <w:rPr>
            <w:rStyle w:val="afff0"/>
            <w:rFonts w:ascii="Times New Roman" w:hAnsi="Times New Roman"/>
          </w:rPr>
          <w:t>CHAPTER 3. OTHER AREAS OF ACCOUNTING</w:t>
        </w:r>
        <w:r w:rsidR="0075219A">
          <w:rPr>
            <w:webHidden/>
          </w:rPr>
          <w:tab/>
        </w:r>
        <w:r w:rsidR="0075219A">
          <w:rPr>
            <w:webHidden/>
          </w:rPr>
          <w:fldChar w:fldCharType="begin"/>
        </w:r>
        <w:r w:rsidR="0075219A">
          <w:rPr>
            <w:webHidden/>
          </w:rPr>
          <w:instrText xml:space="preserve"> PAGEREF _Toc168502107 \h </w:instrText>
        </w:r>
        <w:r w:rsidR="0075219A">
          <w:rPr>
            <w:webHidden/>
          </w:rPr>
        </w:r>
        <w:r w:rsidR="0075219A">
          <w:rPr>
            <w:webHidden/>
          </w:rPr>
          <w:fldChar w:fldCharType="separate"/>
        </w:r>
        <w:r w:rsidR="0075219A">
          <w:rPr>
            <w:webHidden/>
          </w:rPr>
          <w:t>159</w:t>
        </w:r>
        <w:r w:rsidR="0075219A">
          <w:rPr>
            <w:webHidden/>
          </w:rPr>
          <w:fldChar w:fldCharType="end"/>
        </w:r>
      </w:hyperlink>
    </w:p>
    <w:p w14:paraId="57F51064" w14:textId="77777777" w:rsidR="0075219A" w:rsidRDefault="009A2DB5">
      <w:pPr>
        <w:pStyle w:val="2b"/>
        <w:rPr>
          <w:rFonts w:asciiTheme="minorHAnsi" w:eastAsiaTheme="minorEastAsia" w:hAnsiTheme="minorHAnsi" w:cstheme="minorBidi"/>
          <w:b w:val="0"/>
          <w:sz w:val="22"/>
          <w:szCs w:val="22"/>
          <w:lang w:eastAsia="ru-RU"/>
        </w:rPr>
      </w:pPr>
      <w:hyperlink w:anchor="_Toc168502108" w:history="1">
        <w:r w:rsidR="0075219A" w:rsidRPr="00E10183">
          <w:rPr>
            <w:rStyle w:val="afff0"/>
            <w:rFonts w:ascii="Times New Roman" w:hAnsi="Times New Roman"/>
          </w:rPr>
          <w:t>Section 1: Effects of Changes in Foreign Exchange Rates (IAS 21)</w:t>
        </w:r>
        <w:r w:rsidR="0075219A">
          <w:rPr>
            <w:webHidden/>
          </w:rPr>
          <w:tab/>
        </w:r>
        <w:r w:rsidR="0075219A">
          <w:rPr>
            <w:webHidden/>
          </w:rPr>
          <w:fldChar w:fldCharType="begin"/>
        </w:r>
        <w:r w:rsidR="0075219A">
          <w:rPr>
            <w:webHidden/>
          </w:rPr>
          <w:instrText xml:space="preserve"> PAGEREF _Toc168502108 \h </w:instrText>
        </w:r>
        <w:r w:rsidR="0075219A">
          <w:rPr>
            <w:webHidden/>
          </w:rPr>
        </w:r>
        <w:r w:rsidR="0075219A">
          <w:rPr>
            <w:webHidden/>
          </w:rPr>
          <w:fldChar w:fldCharType="separate"/>
        </w:r>
        <w:r w:rsidR="0075219A">
          <w:rPr>
            <w:webHidden/>
          </w:rPr>
          <w:t>159</w:t>
        </w:r>
        <w:r w:rsidR="0075219A">
          <w:rPr>
            <w:webHidden/>
          </w:rPr>
          <w:fldChar w:fldCharType="end"/>
        </w:r>
      </w:hyperlink>
    </w:p>
    <w:p w14:paraId="6F82B526" w14:textId="77777777" w:rsidR="0075219A" w:rsidRDefault="009A2DB5">
      <w:pPr>
        <w:pStyle w:val="39"/>
        <w:rPr>
          <w:rFonts w:asciiTheme="minorHAnsi" w:eastAsiaTheme="minorEastAsia" w:hAnsiTheme="minorHAnsi" w:cstheme="minorBidi"/>
          <w:sz w:val="22"/>
          <w:szCs w:val="22"/>
          <w:lang w:eastAsia="ru-RU"/>
        </w:rPr>
      </w:pPr>
      <w:hyperlink w:anchor="_Toc168502109" w:history="1">
        <w:r w:rsidR="0075219A" w:rsidRPr="00E10183">
          <w:rPr>
            <w:rStyle w:val="afff0"/>
          </w:rPr>
          <w:t>1.1 General provisions</w:t>
        </w:r>
        <w:r w:rsidR="0075219A">
          <w:rPr>
            <w:webHidden/>
          </w:rPr>
          <w:tab/>
        </w:r>
        <w:r w:rsidR="0075219A">
          <w:rPr>
            <w:webHidden/>
          </w:rPr>
          <w:fldChar w:fldCharType="begin"/>
        </w:r>
        <w:r w:rsidR="0075219A">
          <w:rPr>
            <w:webHidden/>
          </w:rPr>
          <w:instrText xml:space="preserve"> PAGEREF _Toc168502109 \h </w:instrText>
        </w:r>
        <w:r w:rsidR="0075219A">
          <w:rPr>
            <w:webHidden/>
          </w:rPr>
        </w:r>
        <w:r w:rsidR="0075219A">
          <w:rPr>
            <w:webHidden/>
          </w:rPr>
          <w:fldChar w:fldCharType="separate"/>
        </w:r>
        <w:r w:rsidR="0075219A">
          <w:rPr>
            <w:webHidden/>
          </w:rPr>
          <w:t>159</w:t>
        </w:r>
        <w:r w:rsidR="0075219A">
          <w:rPr>
            <w:webHidden/>
          </w:rPr>
          <w:fldChar w:fldCharType="end"/>
        </w:r>
      </w:hyperlink>
    </w:p>
    <w:p w14:paraId="046C776F" w14:textId="77777777" w:rsidR="0075219A" w:rsidRDefault="009A2DB5">
      <w:pPr>
        <w:pStyle w:val="39"/>
        <w:rPr>
          <w:rFonts w:asciiTheme="minorHAnsi" w:eastAsiaTheme="minorEastAsia" w:hAnsiTheme="minorHAnsi" w:cstheme="minorBidi"/>
          <w:sz w:val="22"/>
          <w:szCs w:val="22"/>
          <w:lang w:eastAsia="ru-RU"/>
        </w:rPr>
      </w:pPr>
      <w:hyperlink w:anchor="_Toc168502110" w:history="1">
        <w:r w:rsidR="0075219A" w:rsidRPr="00E10183">
          <w:rPr>
            <w:rStyle w:val="afff0"/>
          </w:rPr>
          <w:t>1.2 Definitions</w:t>
        </w:r>
        <w:r w:rsidR="0075219A">
          <w:rPr>
            <w:webHidden/>
          </w:rPr>
          <w:tab/>
        </w:r>
        <w:r w:rsidR="0075219A">
          <w:rPr>
            <w:webHidden/>
          </w:rPr>
          <w:fldChar w:fldCharType="begin"/>
        </w:r>
        <w:r w:rsidR="0075219A">
          <w:rPr>
            <w:webHidden/>
          </w:rPr>
          <w:instrText xml:space="preserve"> PAGEREF _Toc168502110 \h </w:instrText>
        </w:r>
        <w:r w:rsidR="0075219A">
          <w:rPr>
            <w:webHidden/>
          </w:rPr>
        </w:r>
        <w:r w:rsidR="0075219A">
          <w:rPr>
            <w:webHidden/>
          </w:rPr>
          <w:fldChar w:fldCharType="separate"/>
        </w:r>
        <w:r w:rsidR="0075219A">
          <w:rPr>
            <w:webHidden/>
          </w:rPr>
          <w:t>159</w:t>
        </w:r>
        <w:r w:rsidR="0075219A">
          <w:rPr>
            <w:webHidden/>
          </w:rPr>
          <w:fldChar w:fldCharType="end"/>
        </w:r>
      </w:hyperlink>
    </w:p>
    <w:p w14:paraId="502E7DEB" w14:textId="77777777" w:rsidR="0075219A" w:rsidRDefault="009A2DB5">
      <w:pPr>
        <w:pStyle w:val="39"/>
        <w:rPr>
          <w:rFonts w:asciiTheme="minorHAnsi" w:eastAsiaTheme="minorEastAsia" w:hAnsiTheme="minorHAnsi" w:cstheme="minorBidi"/>
          <w:sz w:val="22"/>
          <w:szCs w:val="22"/>
          <w:lang w:eastAsia="ru-RU"/>
        </w:rPr>
      </w:pPr>
      <w:hyperlink w:anchor="_Toc168502111" w:history="1">
        <w:r w:rsidR="0075219A" w:rsidRPr="00E10183">
          <w:rPr>
            <w:rStyle w:val="afff0"/>
          </w:rPr>
          <w:t>1.3 Accounting policies</w:t>
        </w:r>
        <w:r w:rsidR="0075219A">
          <w:rPr>
            <w:webHidden/>
          </w:rPr>
          <w:tab/>
        </w:r>
        <w:r w:rsidR="0075219A">
          <w:rPr>
            <w:webHidden/>
          </w:rPr>
          <w:fldChar w:fldCharType="begin"/>
        </w:r>
        <w:r w:rsidR="0075219A">
          <w:rPr>
            <w:webHidden/>
          </w:rPr>
          <w:instrText xml:space="preserve"> PAGEREF _Toc168502111 \h </w:instrText>
        </w:r>
        <w:r w:rsidR="0075219A">
          <w:rPr>
            <w:webHidden/>
          </w:rPr>
        </w:r>
        <w:r w:rsidR="0075219A">
          <w:rPr>
            <w:webHidden/>
          </w:rPr>
          <w:fldChar w:fldCharType="separate"/>
        </w:r>
        <w:r w:rsidR="0075219A">
          <w:rPr>
            <w:webHidden/>
          </w:rPr>
          <w:t>160</w:t>
        </w:r>
        <w:r w:rsidR="0075219A">
          <w:rPr>
            <w:webHidden/>
          </w:rPr>
          <w:fldChar w:fldCharType="end"/>
        </w:r>
      </w:hyperlink>
    </w:p>
    <w:p w14:paraId="22A17ABD" w14:textId="77777777" w:rsidR="0075219A" w:rsidRDefault="009A2DB5">
      <w:pPr>
        <w:pStyle w:val="39"/>
        <w:rPr>
          <w:rFonts w:asciiTheme="minorHAnsi" w:eastAsiaTheme="minorEastAsia" w:hAnsiTheme="minorHAnsi" w:cstheme="minorBidi"/>
          <w:sz w:val="22"/>
          <w:szCs w:val="22"/>
          <w:lang w:eastAsia="ru-RU"/>
        </w:rPr>
      </w:pPr>
      <w:hyperlink w:anchor="_Toc168502112" w:history="1">
        <w:r w:rsidR="0075219A" w:rsidRPr="00E10183">
          <w:rPr>
            <w:rStyle w:val="afff0"/>
          </w:rPr>
          <w:t>1.4 Disclosure of information</w:t>
        </w:r>
        <w:r w:rsidR="0075219A">
          <w:rPr>
            <w:webHidden/>
          </w:rPr>
          <w:tab/>
        </w:r>
        <w:r w:rsidR="0075219A">
          <w:rPr>
            <w:webHidden/>
          </w:rPr>
          <w:fldChar w:fldCharType="begin"/>
        </w:r>
        <w:r w:rsidR="0075219A">
          <w:rPr>
            <w:webHidden/>
          </w:rPr>
          <w:instrText xml:space="preserve"> PAGEREF _Toc168502112 \h </w:instrText>
        </w:r>
        <w:r w:rsidR="0075219A">
          <w:rPr>
            <w:webHidden/>
          </w:rPr>
        </w:r>
        <w:r w:rsidR="0075219A">
          <w:rPr>
            <w:webHidden/>
          </w:rPr>
          <w:fldChar w:fldCharType="separate"/>
        </w:r>
        <w:r w:rsidR="0075219A">
          <w:rPr>
            <w:webHidden/>
          </w:rPr>
          <w:t>160</w:t>
        </w:r>
        <w:r w:rsidR="0075219A">
          <w:rPr>
            <w:webHidden/>
          </w:rPr>
          <w:fldChar w:fldCharType="end"/>
        </w:r>
      </w:hyperlink>
    </w:p>
    <w:p w14:paraId="27EE5A63" w14:textId="77777777" w:rsidR="0075219A" w:rsidRDefault="009A2DB5">
      <w:pPr>
        <w:pStyle w:val="2b"/>
        <w:rPr>
          <w:rFonts w:asciiTheme="minorHAnsi" w:eastAsiaTheme="minorEastAsia" w:hAnsiTheme="minorHAnsi" w:cstheme="minorBidi"/>
          <w:b w:val="0"/>
          <w:sz w:val="22"/>
          <w:szCs w:val="22"/>
          <w:lang w:eastAsia="ru-RU"/>
        </w:rPr>
      </w:pPr>
      <w:hyperlink w:anchor="_Toc168502113" w:history="1">
        <w:r w:rsidR="0075219A" w:rsidRPr="00E10183">
          <w:rPr>
            <w:rStyle w:val="afff0"/>
            <w:rFonts w:ascii="Times New Roman" w:hAnsi="Times New Roman"/>
            <w:lang w:eastAsia="ru-RU"/>
          </w:rPr>
          <w:t>Section 2: Related parties (IAS 24)</w:t>
        </w:r>
        <w:r w:rsidR="0075219A">
          <w:rPr>
            <w:webHidden/>
          </w:rPr>
          <w:tab/>
        </w:r>
        <w:r w:rsidR="0075219A">
          <w:rPr>
            <w:webHidden/>
          </w:rPr>
          <w:fldChar w:fldCharType="begin"/>
        </w:r>
        <w:r w:rsidR="0075219A">
          <w:rPr>
            <w:webHidden/>
          </w:rPr>
          <w:instrText xml:space="preserve"> PAGEREF _Toc168502113 \h </w:instrText>
        </w:r>
        <w:r w:rsidR="0075219A">
          <w:rPr>
            <w:webHidden/>
          </w:rPr>
        </w:r>
        <w:r w:rsidR="0075219A">
          <w:rPr>
            <w:webHidden/>
          </w:rPr>
          <w:fldChar w:fldCharType="separate"/>
        </w:r>
        <w:r w:rsidR="0075219A">
          <w:rPr>
            <w:webHidden/>
          </w:rPr>
          <w:t>161</w:t>
        </w:r>
        <w:r w:rsidR="0075219A">
          <w:rPr>
            <w:webHidden/>
          </w:rPr>
          <w:fldChar w:fldCharType="end"/>
        </w:r>
      </w:hyperlink>
    </w:p>
    <w:p w14:paraId="7E0E4481" w14:textId="77777777" w:rsidR="0075219A" w:rsidRDefault="009A2DB5">
      <w:pPr>
        <w:pStyle w:val="39"/>
        <w:rPr>
          <w:rFonts w:asciiTheme="minorHAnsi" w:eastAsiaTheme="minorEastAsia" w:hAnsiTheme="minorHAnsi" w:cstheme="minorBidi"/>
          <w:sz w:val="22"/>
          <w:szCs w:val="22"/>
          <w:lang w:eastAsia="ru-RU"/>
        </w:rPr>
      </w:pPr>
      <w:hyperlink w:anchor="_Toc168502114" w:history="1">
        <w:r w:rsidR="0075219A" w:rsidRPr="00E10183">
          <w:rPr>
            <w:rStyle w:val="afff0"/>
          </w:rPr>
          <w:t>2.1 General provisions</w:t>
        </w:r>
        <w:r w:rsidR="0075219A">
          <w:rPr>
            <w:webHidden/>
          </w:rPr>
          <w:tab/>
        </w:r>
        <w:r w:rsidR="0075219A">
          <w:rPr>
            <w:webHidden/>
          </w:rPr>
          <w:fldChar w:fldCharType="begin"/>
        </w:r>
        <w:r w:rsidR="0075219A">
          <w:rPr>
            <w:webHidden/>
          </w:rPr>
          <w:instrText xml:space="preserve"> PAGEREF _Toc168502114 \h </w:instrText>
        </w:r>
        <w:r w:rsidR="0075219A">
          <w:rPr>
            <w:webHidden/>
          </w:rPr>
        </w:r>
        <w:r w:rsidR="0075219A">
          <w:rPr>
            <w:webHidden/>
          </w:rPr>
          <w:fldChar w:fldCharType="separate"/>
        </w:r>
        <w:r w:rsidR="0075219A">
          <w:rPr>
            <w:webHidden/>
          </w:rPr>
          <w:t>161</w:t>
        </w:r>
        <w:r w:rsidR="0075219A">
          <w:rPr>
            <w:webHidden/>
          </w:rPr>
          <w:fldChar w:fldCharType="end"/>
        </w:r>
      </w:hyperlink>
    </w:p>
    <w:p w14:paraId="04670014" w14:textId="77777777" w:rsidR="0075219A" w:rsidRDefault="009A2DB5">
      <w:pPr>
        <w:pStyle w:val="39"/>
        <w:rPr>
          <w:rFonts w:asciiTheme="minorHAnsi" w:eastAsiaTheme="minorEastAsia" w:hAnsiTheme="minorHAnsi" w:cstheme="minorBidi"/>
          <w:sz w:val="22"/>
          <w:szCs w:val="22"/>
          <w:lang w:eastAsia="ru-RU"/>
        </w:rPr>
      </w:pPr>
      <w:hyperlink w:anchor="_Toc168502115" w:history="1">
        <w:r w:rsidR="0075219A" w:rsidRPr="00E10183">
          <w:rPr>
            <w:rStyle w:val="afff0"/>
          </w:rPr>
          <w:t>2.2 Definitions</w:t>
        </w:r>
        <w:r w:rsidR="0075219A">
          <w:rPr>
            <w:webHidden/>
          </w:rPr>
          <w:tab/>
        </w:r>
        <w:r w:rsidR="0075219A">
          <w:rPr>
            <w:webHidden/>
          </w:rPr>
          <w:fldChar w:fldCharType="begin"/>
        </w:r>
        <w:r w:rsidR="0075219A">
          <w:rPr>
            <w:webHidden/>
          </w:rPr>
          <w:instrText xml:space="preserve"> PAGEREF _Toc168502115 \h </w:instrText>
        </w:r>
        <w:r w:rsidR="0075219A">
          <w:rPr>
            <w:webHidden/>
          </w:rPr>
        </w:r>
        <w:r w:rsidR="0075219A">
          <w:rPr>
            <w:webHidden/>
          </w:rPr>
          <w:fldChar w:fldCharType="separate"/>
        </w:r>
        <w:r w:rsidR="0075219A">
          <w:rPr>
            <w:webHidden/>
          </w:rPr>
          <w:t>161</w:t>
        </w:r>
        <w:r w:rsidR="0075219A">
          <w:rPr>
            <w:webHidden/>
          </w:rPr>
          <w:fldChar w:fldCharType="end"/>
        </w:r>
      </w:hyperlink>
    </w:p>
    <w:p w14:paraId="7E7AB270" w14:textId="77777777" w:rsidR="0075219A" w:rsidRDefault="009A2DB5">
      <w:pPr>
        <w:pStyle w:val="39"/>
        <w:rPr>
          <w:rFonts w:asciiTheme="minorHAnsi" w:eastAsiaTheme="minorEastAsia" w:hAnsiTheme="minorHAnsi" w:cstheme="minorBidi"/>
          <w:sz w:val="22"/>
          <w:szCs w:val="22"/>
          <w:lang w:eastAsia="ru-RU"/>
        </w:rPr>
      </w:pPr>
      <w:hyperlink w:anchor="_Toc168502116" w:history="1">
        <w:r w:rsidR="0075219A" w:rsidRPr="00E10183">
          <w:rPr>
            <w:rStyle w:val="afff0"/>
          </w:rPr>
          <w:t>2.3 Disclosure of information</w:t>
        </w:r>
        <w:r w:rsidR="0075219A">
          <w:rPr>
            <w:webHidden/>
          </w:rPr>
          <w:tab/>
        </w:r>
        <w:r w:rsidR="0075219A">
          <w:rPr>
            <w:webHidden/>
          </w:rPr>
          <w:fldChar w:fldCharType="begin"/>
        </w:r>
        <w:r w:rsidR="0075219A">
          <w:rPr>
            <w:webHidden/>
          </w:rPr>
          <w:instrText xml:space="preserve"> PAGEREF _Toc168502116 \h </w:instrText>
        </w:r>
        <w:r w:rsidR="0075219A">
          <w:rPr>
            <w:webHidden/>
          </w:rPr>
        </w:r>
        <w:r w:rsidR="0075219A">
          <w:rPr>
            <w:webHidden/>
          </w:rPr>
          <w:fldChar w:fldCharType="separate"/>
        </w:r>
        <w:r w:rsidR="0075219A">
          <w:rPr>
            <w:webHidden/>
          </w:rPr>
          <w:t>162</w:t>
        </w:r>
        <w:r w:rsidR="0075219A">
          <w:rPr>
            <w:webHidden/>
          </w:rPr>
          <w:fldChar w:fldCharType="end"/>
        </w:r>
      </w:hyperlink>
    </w:p>
    <w:p w14:paraId="441C7536" w14:textId="77777777" w:rsidR="0075219A" w:rsidRDefault="009A2DB5">
      <w:pPr>
        <w:pStyle w:val="2b"/>
        <w:rPr>
          <w:rFonts w:asciiTheme="minorHAnsi" w:eastAsiaTheme="minorEastAsia" w:hAnsiTheme="minorHAnsi" w:cstheme="minorBidi"/>
          <w:b w:val="0"/>
          <w:sz w:val="22"/>
          <w:szCs w:val="22"/>
          <w:lang w:eastAsia="ru-RU"/>
        </w:rPr>
      </w:pPr>
      <w:hyperlink w:anchor="_Toc168502117" w:history="1">
        <w:r w:rsidR="0075219A" w:rsidRPr="00E10183">
          <w:rPr>
            <w:rStyle w:val="afff0"/>
            <w:rFonts w:ascii="Times New Roman" w:hAnsi="Times New Roman"/>
          </w:rPr>
          <w:t>Section 2-1. Operating segments (IFRS 8)</w:t>
        </w:r>
        <w:r w:rsidR="0075219A">
          <w:rPr>
            <w:webHidden/>
          </w:rPr>
          <w:tab/>
        </w:r>
        <w:r w:rsidR="0075219A">
          <w:rPr>
            <w:webHidden/>
          </w:rPr>
          <w:fldChar w:fldCharType="begin"/>
        </w:r>
        <w:r w:rsidR="0075219A">
          <w:rPr>
            <w:webHidden/>
          </w:rPr>
          <w:instrText xml:space="preserve"> PAGEREF _Toc168502117 \h </w:instrText>
        </w:r>
        <w:r w:rsidR="0075219A">
          <w:rPr>
            <w:webHidden/>
          </w:rPr>
        </w:r>
        <w:r w:rsidR="0075219A">
          <w:rPr>
            <w:webHidden/>
          </w:rPr>
          <w:fldChar w:fldCharType="separate"/>
        </w:r>
        <w:r w:rsidR="0075219A">
          <w:rPr>
            <w:webHidden/>
          </w:rPr>
          <w:t>165</w:t>
        </w:r>
        <w:r w:rsidR="0075219A">
          <w:rPr>
            <w:webHidden/>
          </w:rPr>
          <w:fldChar w:fldCharType="end"/>
        </w:r>
      </w:hyperlink>
    </w:p>
    <w:p w14:paraId="12C982A5" w14:textId="77777777" w:rsidR="0075219A" w:rsidRDefault="009A2DB5">
      <w:pPr>
        <w:pStyle w:val="39"/>
        <w:rPr>
          <w:rFonts w:asciiTheme="minorHAnsi" w:eastAsiaTheme="minorEastAsia" w:hAnsiTheme="minorHAnsi" w:cstheme="minorBidi"/>
          <w:sz w:val="22"/>
          <w:szCs w:val="22"/>
          <w:lang w:eastAsia="ru-RU"/>
        </w:rPr>
      </w:pPr>
      <w:hyperlink w:anchor="_Toc168502118" w:history="1">
        <w:r w:rsidR="0075219A" w:rsidRPr="00E10183">
          <w:rPr>
            <w:rStyle w:val="afff0"/>
          </w:rPr>
          <w:t>3.1 General provisions</w:t>
        </w:r>
        <w:r w:rsidR="0075219A">
          <w:rPr>
            <w:webHidden/>
          </w:rPr>
          <w:tab/>
        </w:r>
        <w:r w:rsidR="0075219A">
          <w:rPr>
            <w:webHidden/>
          </w:rPr>
          <w:fldChar w:fldCharType="begin"/>
        </w:r>
        <w:r w:rsidR="0075219A">
          <w:rPr>
            <w:webHidden/>
          </w:rPr>
          <w:instrText xml:space="preserve"> PAGEREF _Toc168502118 \h </w:instrText>
        </w:r>
        <w:r w:rsidR="0075219A">
          <w:rPr>
            <w:webHidden/>
          </w:rPr>
        </w:r>
        <w:r w:rsidR="0075219A">
          <w:rPr>
            <w:webHidden/>
          </w:rPr>
          <w:fldChar w:fldCharType="separate"/>
        </w:r>
        <w:r w:rsidR="0075219A">
          <w:rPr>
            <w:webHidden/>
          </w:rPr>
          <w:t>165</w:t>
        </w:r>
        <w:r w:rsidR="0075219A">
          <w:rPr>
            <w:webHidden/>
          </w:rPr>
          <w:fldChar w:fldCharType="end"/>
        </w:r>
      </w:hyperlink>
    </w:p>
    <w:p w14:paraId="57A5A83E" w14:textId="77777777" w:rsidR="0075219A" w:rsidRDefault="009A2DB5">
      <w:pPr>
        <w:pStyle w:val="39"/>
        <w:rPr>
          <w:rFonts w:asciiTheme="minorHAnsi" w:eastAsiaTheme="minorEastAsia" w:hAnsiTheme="minorHAnsi" w:cstheme="minorBidi"/>
          <w:sz w:val="22"/>
          <w:szCs w:val="22"/>
          <w:lang w:eastAsia="ru-RU"/>
        </w:rPr>
      </w:pPr>
      <w:hyperlink w:anchor="_Toc168502119" w:history="1">
        <w:r w:rsidR="0075219A" w:rsidRPr="00E10183">
          <w:rPr>
            <w:rStyle w:val="afff0"/>
          </w:rPr>
          <w:t>3.2 Definitions</w:t>
        </w:r>
        <w:r w:rsidR="0075219A">
          <w:rPr>
            <w:webHidden/>
          </w:rPr>
          <w:tab/>
        </w:r>
        <w:r w:rsidR="0075219A">
          <w:rPr>
            <w:webHidden/>
          </w:rPr>
          <w:fldChar w:fldCharType="begin"/>
        </w:r>
        <w:r w:rsidR="0075219A">
          <w:rPr>
            <w:webHidden/>
          </w:rPr>
          <w:instrText xml:space="preserve"> PAGEREF _Toc168502119 \h </w:instrText>
        </w:r>
        <w:r w:rsidR="0075219A">
          <w:rPr>
            <w:webHidden/>
          </w:rPr>
        </w:r>
        <w:r w:rsidR="0075219A">
          <w:rPr>
            <w:webHidden/>
          </w:rPr>
          <w:fldChar w:fldCharType="separate"/>
        </w:r>
        <w:r w:rsidR="0075219A">
          <w:rPr>
            <w:webHidden/>
          </w:rPr>
          <w:t>166</w:t>
        </w:r>
        <w:r w:rsidR="0075219A">
          <w:rPr>
            <w:webHidden/>
          </w:rPr>
          <w:fldChar w:fldCharType="end"/>
        </w:r>
      </w:hyperlink>
    </w:p>
    <w:p w14:paraId="09342420" w14:textId="77777777" w:rsidR="0075219A" w:rsidRDefault="009A2DB5">
      <w:pPr>
        <w:pStyle w:val="39"/>
        <w:rPr>
          <w:rFonts w:asciiTheme="minorHAnsi" w:eastAsiaTheme="minorEastAsia" w:hAnsiTheme="minorHAnsi" w:cstheme="minorBidi"/>
          <w:sz w:val="22"/>
          <w:szCs w:val="22"/>
          <w:lang w:eastAsia="ru-RU"/>
        </w:rPr>
      </w:pPr>
      <w:hyperlink w:anchor="_Toc168502120" w:history="1">
        <w:r w:rsidR="0075219A" w:rsidRPr="00E10183">
          <w:rPr>
            <w:rStyle w:val="afff0"/>
          </w:rPr>
          <w:t>3.3 Definition of segments</w:t>
        </w:r>
        <w:r w:rsidR="0075219A">
          <w:rPr>
            <w:webHidden/>
          </w:rPr>
          <w:tab/>
        </w:r>
        <w:r w:rsidR="0075219A">
          <w:rPr>
            <w:webHidden/>
          </w:rPr>
          <w:fldChar w:fldCharType="begin"/>
        </w:r>
        <w:r w:rsidR="0075219A">
          <w:rPr>
            <w:webHidden/>
          </w:rPr>
          <w:instrText xml:space="preserve"> PAGEREF _Toc168502120 \h </w:instrText>
        </w:r>
        <w:r w:rsidR="0075219A">
          <w:rPr>
            <w:webHidden/>
          </w:rPr>
        </w:r>
        <w:r w:rsidR="0075219A">
          <w:rPr>
            <w:webHidden/>
          </w:rPr>
          <w:fldChar w:fldCharType="separate"/>
        </w:r>
        <w:r w:rsidR="0075219A">
          <w:rPr>
            <w:webHidden/>
          </w:rPr>
          <w:t>166</w:t>
        </w:r>
        <w:r w:rsidR="0075219A">
          <w:rPr>
            <w:webHidden/>
          </w:rPr>
          <w:fldChar w:fldCharType="end"/>
        </w:r>
      </w:hyperlink>
    </w:p>
    <w:p w14:paraId="305A8BAF" w14:textId="77777777" w:rsidR="0075219A" w:rsidRDefault="009A2DB5">
      <w:pPr>
        <w:pStyle w:val="39"/>
        <w:rPr>
          <w:rFonts w:asciiTheme="minorHAnsi" w:eastAsiaTheme="minorEastAsia" w:hAnsiTheme="minorHAnsi" w:cstheme="minorBidi"/>
          <w:sz w:val="22"/>
          <w:szCs w:val="22"/>
          <w:lang w:eastAsia="ru-RU"/>
        </w:rPr>
      </w:pPr>
      <w:hyperlink w:anchor="_Toc168502121" w:history="1">
        <w:r w:rsidR="0075219A" w:rsidRPr="00E10183">
          <w:rPr>
            <w:rStyle w:val="afff0"/>
          </w:rPr>
          <w:t>3.4 Disclosure of information</w:t>
        </w:r>
        <w:r w:rsidR="0075219A">
          <w:rPr>
            <w:webHidden/>
          </w:rPr>
          <w:tab/>
        </w:r>
        <w:r w:rsidR="0075219A">
          <w:rPr>
            <w:webHidden/>
          </w:rPr>
          <w:fldChar w:fldCharType="begin"/>
        </w:r>
        <w:r w:rsidR="0075219A">
          <w:rPr>
            <w:webHidden/>
          </w:rPr>
          <w:instrText xml:space="preserve"> PAGEREF _Toc168502121 \h </w:instrText>
        </w:r>
        <w:r w:rsidR="0075219A">
          <w:rPr>
            <w:webHidden/>
          </w:rPr>
        </w:r>
        <w:r w:rsidR="0075219A">
          <w:rPr>
            <w:webHidden/>
          </w:rPr>
          <w:fldChar w:fldCharType="separate"/>
        </w:r>
        <w:r w:rsidR="0075219A">
          <w:rPr>
            <w:webHidden/>
          </w:rPr>
          <w:t>167</w:t>
        </w:r>
        <w:r w:rsidR="0075219A">
          <w:rPr>
            <w:webHidden/>
          </w:rPr>
          <w:fldChar w:fldCharType="end"/>
        </w:r>
      </w:hyperlink>
    </w:p>
    <w:p w14:paraId="1CAD8AEC" w14:textId="77777777" w:rsidR="0075219A" w:rsidRDefault="009A2DB5">
      <w:pPr>
        <w:pStyle w:val="2b"/>
        <w:rPr>
          <w:rFonts w:asciiTheme="minorHAnsi" w:eastAsiaTheme="minorEastAsia" w:hAnsiTheme="minorHAnsi" w:cstheme="minorBidi"/>
          <w:b w:val="0"/>
          <w:sz w:val="22"/>
          <w:szCs w:val="22"/>
          <w:lang w:eastAsia="ru-RU"/>
        </w:rPr>
      </w:pPr>
      <w:hyperlink w:anchor="_Toc168502122" w:history="1">
        <w:r w:rsidR="0075219A" w:rsidRPr="00E10183">
          <w:rPr>
            <w:rStyle w:val="afff0"/>
            <w:rFonts w:ascii="Times New Roman" w:hAnsi="Times New Roman"/>
          </w:rPr>
          <w:t>Section 3: Events after the reporting date (IAS 10)</w:t>
        </w:r>
        <w:r w:rsidR="0075219A">
          <w:rPr>
            <w:webHidden/>
          </w:rPr>
          <w:tab/>
        </w:r>
        <w:r w:rsidR="0075219A">
          <w:rPr>
            <w:webHidden/>
          </w:rPr>
          <w:fldChar w:fldCharType="begin"/>
        </w:r>
        <w:r w:rsidR="0075219A">
          <w:rPr>
            <w:webHidden/>
          </w:rPr>
          <w:instrText xml:space="preserve"> PAGEREF _Toc168502122 \h </w:instrText>
        </w:r>
        <w:r w:rsidR="0075219A">
          <w:rPr>
            <w:webHidden/>
          </w:rPr>
        </w:r>
        <w:r w:rsidR="0075219A">
          <w:rPr>
            <w:webHidden/>
          </w:rPr>
          <w:fldChar w:fldCharType="separate"/>
        </w:r>
        <w:r w:rsidR="0075219A">
          <w:rPr>
            <w:webHidden/>
          </w:rPr>
          <w:t>172</w:t>
        </w:r>
        <w:r w:rsidR="0075219A">
          <w:rPr>
            <w:webHidden/>
          </w:rPr>
          <w:fldChar w:fldCharType="end"/>
        </w:r>
      </w:hyperlink>
    </w:p>
    <w:p w14:paraId="48B74B1D" w14:textId="77777777" w:rsidR="0075219A" w:rsidRDefault="009A2DB5">
      <w:pPr>
        <w:pStyle w:val="39"/>
        <w:rPr>
          <w:rFonts w:asciiTheme="minorHAnsi" w:eastAsiaTheme="minorEastAsia" w:hAnsiTheme="minorHAnsi" w:cstheme="minorBidi"/>
          <w:sz w:val="22"/>
          <w:szCs w:val="22"/>
          <w:lang w:eastAsia="ru-RU"/>
        </w:rPr>
      </w:pPr>
      <w:hyperlink w:anchor="_Toc168502123" w:history="1">
        <w:r w:rsidR="0075219A" w:rsidRPr="00E10183">
          <w:rPr>
            <w:rStyle w:val="afff0"/>
          </w:rPr>
          <w:t>3.1 General provisions</w:t>
        </w:r>
        <w:r w:rsidR="0075219A">
          <w:rPr>
            <w:webHidden/>
          </w:rPr>
          <w:tab/>
        </w:r>
        <w:r w:rsidR="0075219A">
          <w:rPr>
            <w:webHidden/>
          </w:rPr>
          <w:fldChar w:fldCharType="begin"/>
        </w:r>
        <w:r w:rsidR="0075219A">
          <w:rPr>
            <w:webHidden/>
          </w:rPr>
          <w:instrText xml:space="preserve"> PAGEREF _Toc168502123 \h </w:instrText>
        </w:r>
        <w:r w:rsidR="0075219A">
          <w:rPr>
            <w:webHidden/>
          </w:rPr>
        </w:r>
        <w:r w:rsidR="0075219A">
          <w:rPr>
            <w:webHidden/>
          </w:rPr>
          <w:fldChar w:fldCharType="separate"/>
        </w:r>
        <w:r w:rsidR="0075219A">
          <w:rPr>
            <w:webHidden/>
          </w:rPr>
          <w:t>172</w:t>
        </w:r>
        <w:r w:rsidR="0075219A">
          <w:rPr>
            <w:webHidden/>
          </w:rPr>
          <w:fldChar w:fldCharType="end"/>
        </w:r>
      </w:hyperlink>
    </w:p>
    <w:p w14:paraId="3AC96709" w14:textId="77777777" w:rsidR="0075219A" w:rsidRDefault="009A2DB5">
      <w:pPr>
        <w:pStyle w:val="39"/>
        <w:rPr>
          <w:rFonts w:asciiTheme="minorHAnsi" w:eastAsiaTheme="minorEastAsia" w:hAnsiTheme="minorHAnsi" w:cstheme="minorBidi"/>
          <w:sz w:val="22"/>
          <w:szCs w:val="22"/>
          <w:lang w:eastAsia="ru-RU"/>
        </w:rPr>
      </w:pPr>
      <w:hyperlink w:anchor="_Toc168502124" w:history="1">
        <w:r w:rsidR="0075219A" w:rsidRPr="00E10183">
          <w:rPr>
            <w:rStyle w:val="afff0"/>
          </w:rPr>
          <w:t>3.2 Definitions</w:t>
        </w:r>
        <w:r w:rsidR="0075219A">
          <w:rPr>
            <w:webHidden/>
          </w:rPr>
          <w:tab/>
        </w:r>
        <w:r w:rsidR="0075219A">
          <w:rPr>
            <w:webHidden/>
          </w:rPr>
          <w:fldChar w:fldCharType="begin"/>
        </w:r>
        <w:r w:rsidR="0075219A">
          <w:rPr>
            <w:webHidden/>
          </w:rPr>
          <w:instrText xml:space="preserve"> PAGEREF _Toc168502124 \h </w:instrText>
        </w:r>
        <w:r w:rsidR="0075219A">
          <w:rPr>
            <w:webHidden/>
          </w:rPr>
        </w:r>
        <w:r w:rsidR="0075219A">
          <w:rPr>
            <w:webHidden/>
          </w:rPr>
          <w:fldChar w:fldCharType="separate"/>
        </w:r>
        <w:r w:rsidR="0075219A">
          <w:rPr>
            <w:webHidden/>
          </w:rPr>
          <w:t>172</w:t>
        </w:r>
        <w:r w:rsidR="0075219A">
          <w:rPr>
            <w:webHidden/>
          </w:rPr>
          <w:fldChar w:fldCharType="end"/>
        </w:r>
      </w:hyperlink>
    </w:p>
    <w:p w14:paraId="5B829364" w14:textId="77777777" w:rsidR="0075219A" w:rsidRDefault="009A2DB5">
      <w:pPr>
        <w:pStyle w:val="39"/>
        <w:rPr>
          <w:rFonts w:asciiTheme="minorHAnsi" w:eastAsiaTheme="minorEastAsia" w:hAnsiTheme="minorHAnsi" w:cstheme="minorBidi"/>
          <w:sz w:val="22"/>
          <w:szCs w:val="22"/>
          <w:lang w:eastAsia="ru-RU"/>
        </w:rPr>
      </w:pPr>
      <w:hyperlink w:anchor="_Toc168502125" w:history="1">
        <w:r w:rsidR="0075219A" w:rsidRPr="00E10183">
          <w:rPr>
            <w:rStyle w:val="afff0"/>
          </w:rPr>
          <w:t>3.3 Accounting policies</w:t>
        </w:r>
        <w:r w:rsidR="0075219A">
          <w:rPr>
            <w:webHidden/>
          </w:rPr>
          <w:tab/>
        </w:r>
        <w:r w:rsidR="0075219A">
          <w:rPr>
            <w:webHidden/>
          </w:rPr>
          <w:fldChar w:fldCharType="begin"/>
        </w:r>
        <w:r w:rsidR="0075219A">
          <w:rPr>
            <w:webHidden/>
          </w:rPr>
          <w:instrText xml:space="preserve"> PAGEREF _Toc168502125 \h </w:instrText>
        </w:r>
        <w:r w:rsidR="0075219A">
          <w:rPr>
            <w:webHidden/>
          </w:rPr>
        </w:r>
        <w:r w:rsidR="0075219A">
          <w:rPr>
            <w:webHidden/>
          </w:rPr>
          <w:fldChar w:fldCharType="separate"/>
        </w:r>
        <w:r w:rsidR="0075219A">
          <w:rPr>
            <w:webHidden/>
          </w:rPr>
          <w:t>172</w:t>
        </w:r>
        <w:r w:rsidR="0075219A">
          <w:rPr>
            <w:webHidden/>
          </w:rPr>
          <w:fldChar w:fldCharType="end"/>
        </w:r>
      </w:hyperlink>
    </w:p>
    <w:p w14:paraId="3B5D5C57" w14:textId="77777777" w:rsidR="0075219A" w:rsidRDefault="009A2DB5">
      <w:pPr>
        <w:pStyle w:val="39"/>
        <w:rPr>
          <w:rFonts w:asciiTheme="minorHAnsi" w:eastAsiaTheme="minorEastAsia" w:hAnsiTheme="minorHAnsi" w:cstheme="minorBidi"/>
          <w:sz w:val="22"/>
          <w:szCs w:val="22"/>
          <w:lang w:eastAsia="ru-RU"/>
        </w:rPr>
      </w:pPr>
      <w:hyperlink w:anchor="_Toc168502126" w:history="1">
        <w:r w:rsidR="0075219A" w:rsidRPr="00E10183">
          <w:rPr>
            <w:rStyle w:val="afff0"/>
          </w:rPr>
          <w:t>3.4 Disclosure of information</w:t>
        </w:r>
        <w:r w:rsidR="0075219A">
          <w:rPr>
            <w:webHidden/>
          </w:rPr>
          <w:tab/>
        </w:r>
        <w:r w:rsidR="0075219A">
          <w:rPr>
            <w:webHidden/>
          </w:rPr>
          <w:fldChar w:fldCharType="begin"/>
        </w:r>
        <w:r w:rsidR="0075219A">
          <w:rPr>
            <w:webHidden/>
          </w:rPr>
          <w:instrText xml:space="preserve"> PAGEREF _Toc168502126 \h </w:instrText>
        </w:r>
        <w:r w:rsidR="0075219A">
          <w:rPr>
            <w:webHidden/>
          </w:rPr>
        </w:r>
        <w:r w:rsidR="0075219A">
          <w:rPr>
            <w:webHidden/>
          </w:rPr>
          <w:fldChar w:fldCharType="separate"/>
        </w:r>
        <w:r w:rsidR="0075219A">
          <w:rPr>
            <w:webHidden/>
          </w:rPr>
          <w:t>174</w:t>
        </w:r>
        <w:r w:rsidR="0075219A">
          <w:rPr>
            <w:webHidden/>
          </w:rPr>
          <w:fldChar w:fldCharType="end"/>
        </w:r>
      </w:hyperlink>
    </w:p>
    <w:p w14:paraId="07AC367F" w14:textId="77777777" w:rsidR="0075219A" w:rsidRDefault="009A2DB5">
      <w:pPr>
        <w:pStyle w:val="2b"/>
        <w:rPr>
          <w:rFonts w:asciiTheme="minorHAnsi" w:eastAsiaTheme="minorEastAsia" w:hAnsiTheme="minorHAnsi" w:cstheme="minorBidi"/>
          <w:b w:val="0"/>
          <w:sz w:val="22"/>
          <w:szCs w:val="22"/>
          <w:lang w:eastAsia="ru-RU"/>
        </w:rPr>
      </w:pPr>
      <w:hyperlink w:anchor="_Toc168502127" w:history="1">
        <w:r w:rsidR="0075219A" w:rsidRPr="00E10183">
          <w:rPr>
            <w:rStyle w:val="afff0"/>
            <w:rFonts w:ascii="Times New Roman" w:hAnsi="Times New Roman"/>
          </w:rPr>
          <w:t>Section 4: Accounting for pledged property</w:t>
        </w:r>
        <w:r w:rsidR="0075219A">
          <w:rPr>
            <w:webHidden/>
          </w:rPr>
          <w:tab/>
        </w:r>
        <w:r w:rsidR="0075219A">
          <w:rPr>
            <w:webHidden/>
          </w:rPr>
          <w:fldChar w:fldCharType="begin"/>
        </w:r>
        <w:r w:rsidR="0075219A">
          <w:rPr>
            <w:webHidden/>
          </w:rPr>
          <w:instrText xml:space="preserve"> PAGEREF _Toc168502127 \h </w:instrText>
        </w:r>
        <w:r w:rsidR="0075219A">
          <w:rPr>
            <w:webHidden/>
          </w:rPr>
        </w:r>
        <w:r w:rsidR="0075219A">
          <w:rPr>
            <w:webHidden/>
          </w:rPr>
          <w:fldChar w:fldCharType="separate"/>
        </w:r>
        <w:r w:rsidR="0075219A">
          <w:rPr>
            <w:webHidden/>
          </w:rPr>
          <w:t>176</w:t>
        </w:r>
        <w:r w:rsidR="0075219A">
          <w:rPr>
            <w:webHidden/>
          </w:rPr>
          <w:fldChar w:fldCharType="end"/>
        </w:r>
      </w:hyperlink>
    </w:p>
    <w:p w14:paraId="74B36526" w14:textId="77777777" w:rsidR="0075219A" w:rsidRDefault="009A2DB5">
      <w:pPr>
        <w:pStyle w:val="39"/>
        <w:rPr>
          <w:rFonts w:asciiTheme="minorHAnsi" w:eastAsiaTheme="minorEastAsia" w:hAnsiTheme="minorHAnsi" w:cstheme="minorBidi"/>
          <w:sz w:val="22"/>
          <w:szCs w:val="22"/>
          <w:lang w:eastAsia="ru-RU"/>
        </w:rPr>
      </w:pPr>
      <w:hyperlink w:anchor="_Toc168502128" w:history="1">
        <w:r w:rsidR="0075219A" w:rsidRPr="00E10183">
          <w:rPr>
            <w:rStyle w:val="afff0"/>
          </w:rPr>
          <w:t>4.1 Scope of application</w:t>
        </w:r>
        <w:r w:rsidR="0075219A">
          <w:rPr>
            <w:webHidden/>
          </w:rPr>
          <w:tab/>
        </w:r>
        <w:r w:rsidR="0075219A">
          <w:rPr>
            <w:webHidden/>
          </w:rPr>
          <w:fldChar w:fldCharType="begin"/>
        </w:r>
        <w:r w:rsidR="0075219A">
          <w:rPr>
            <w:webHidden/>
          </w:rPr>
          <w:instrText xml:space="preserve"> PAGEREF _Toc168502128 \h </w:instrText>
        </w:r>
        <w:r w:rsidR="0075219A">
          <w:rPr>
            <w:webHidden/>
          </w:rPr>
        </w:r>
        <w:r w:rsidR="0075219A">
          <w:rPr>
            <w:webHidden/>
          </w:rPr>
          <w:fldChar w:fldCharType="separate"/>
        </w:r>
        <w:r w:rsidR="0075219A">
          <w:rPr>
            <w:webHidden/>
          </w:rPr>
          <w:t>176</w:t>
        </w:r>
        <w:r w:rsidR="0075219A">
          <w:rPr>
            <w:webHidden/>
          </w:rPr>
          <w:fldChar w:fldCharType="end"/>
        </w:r>
      </w:hyperlink>
    </w:p>
    <w:p w14:paraId="213C59CB" w14:textId="77777777" w:rsidR="0075219A" w:rsidRDefault="009A2DB5">
      <w:pPr>
        <w:pStyle w:val="39"/>
        <w:rPr>
          <w:rFonts w:asciiTheme="minorHAnsi" w:eastAsiaTheme="minorEastAsia" w:hAnsiTheme="minorHAnsi" w:cstheme="minorBidi"/>
          <w:sz w:val="22"/>
          <w:szCs w:val="22"/>
          <w:lang w:eastAsia="ru-RU"/>
        </w:rPr>
      </w:pPr>
      <w:hyperlink w:anchor="_Toc168502129" w:history="1">
        <w:r w:rsidR="0075219A" w:rsidRPr="00E10183">
          <w:rPr>
            <w:rStyle w:val="afff0"/>
          </w:rPr>
          <w:t>4.2 Classification</w:t>
        </w:r>
        <w:r w:rsidR="0075219A">
          <w:rPr>
            <w:webHidden/>
          </w:rPr>
          <w:tab/>
        </w:r>
        <w:r w:rsidR="0075219A">
          <w:rPr>
            <w:webHidden/>
          </w:rPr>
          <w:fldChar w:fldCharType="begin"/>
        </w:r>
        <w:r w:rsidR="0075219A">
          <w:rPr>
            <w:webHidden/>
          </w:rPr>
          <w:instrText xml:space="preserve"> PAGEREF _Toc168502129 \h </w:instrText>
        </w:r>
        <w:r w:rsidR="0075219A">
          <w:rPr>
            <w:webHidden/>
          </w:rPr>
        </w:r>
        <w:r w:rsidR="0075219A">
          <w:rPr>
            <w:webHidden/>
          </w:rPr>
          <w:fldChar w:fldCharType="separate"/>
        </w:r>
        <w:r w:rsidR="0075219A">
          <w:rPr>
            <w:webHidden/>
          </w:rPr>
          <w:t>176</w:t>
        </w:r>
        <w:r w:rsidR="0075219A">
          <w:rPr>
            <w:webHidden/>
          </w:rPr>
          <w:fldChar w:fldCharType="end"/>
        </w:r>
      </w:hyperlink>
    </w:p>
    <w:p w14:paraId="234D854F" w14:textId="77777777" w:rsidR="0075219A" w:rsidRDefault="009A2DB5">
      <w:pPr>
        <w:pStyle w:val="2b"/>
        <w:rPr>
          <w:rFonts w:asciiTheme="minorHAnsi" w:eastAsiaTheme="minorEastAsia" w:hAnsiTheme="minorHAnsi" w:cstheme="minorBidi"/>
          <w:b w:val="0"/>
          <w:sz w:val="22"/>
          <w:szCs w:val="22"/>
          <w:lang w:eastAsia="ru-RU"/>
        </w:rPr>
      </w:pPr>
      <w:hyperlink w:anchor="_Toc168502130" w:history="1">
        <w:r w:rsidR="0075219A" w:rsidRPr="00E10183">
          <w:rPr>
            <w:rStyle w:val="afff0"/>
            <w:rFonts w:ascii="Times New Roman" w:hAnsi="Times New Roman"/>
          </w:rPr>
          <w:t>Section 5: Fair Value Measurement (IFRS 13)</w:t>
        </w:r>
        <w:r w:rsidR="0075219A">
          <w:rPr>
            <w:webHidden/>
          </w:rPr>
          <w:tab/>
        </w:r>
        <w:r w:rsidR="0075219A">
          <w:rPr>
            <w:webHidden/>
          </w:rPr>
          <w:fldChar w:fldCharType="begin"/>
        </w:r>
        <w:r w:rsidR="0075219A">
          <w:rPr>
            <w:webHidden/>
          </w:rPr>
          <w:instrText xml:space="preserve"> PAGEREF _Toc168502130 \h </w:instrText>
        </w:r>
        <w:r w:rsidR="0075219A">
          <w:rPr>
            <w:webHidden/>
          </w:rPr>
        </w:r>
        <w:r w:rsidR="0075219A">
          <w:rPr>
            <w:webHidden/>
          </w:rPr>
          <w:fldChar w:fldCharType="separate"/>
        </w:r>
        <w:r w:rsidR="0075219A">
          <w:rPr>
            <w:webHidden/>
          </w:rPr>
          <w:t>177</w:t>
        </w:r>
        <w:r w:rsidR="0075219A">
          <w:rPr>
            <w:webHidden/>
          </w:rPr>
          <w:fldChar w:fldCharType="end"/>
        </w:r>
      </w:hyperlink>
    </w:p>
    <w:p w14:paraId="6FFFE2E4" w14:textId="77777777" w:rsidR="0075219A" w:rsidRDefault="009A2DB5">
      <w:pPr>
        <w:pStyle w:val="39"/>
        <w:rPr>
          <w:rFonts w:asciiTheme="minorHAnsi" w:eastAsiaTheme="minorEastAsia" w:hAnsiTheme="minorHAnsi" w:cstheme="minorBidi"/>
          <w:sz w:val="22"/>
          <w:szCs w:val="22"/>
          <w:lang w:eastAsia="ru-RU"/>
        </w:rPr>
      </w:pPr>
      <w:hyperlink w:anchor="_Toc168502131" w:history="1">
        <w:r w:rsidR="0075219A" w:rsidRPr="00E10183">
          <w:rPr>
            <w:rStyle w:val="afff0"/>
          </w:rPr>
          <w:t>5.1 General provisions</w:t>
        </w:r>
        <w:r w:rsidR="0075219A">
          <w:rPr>
            <w:webHidden/>
          </w:rPr>
          <w:tab/>
        </w:r>
        <w:r w:rsidR="0075219A">
          <w:rPr>
            <w:webHidden/>
          </w:rPr>
          <w:fldChar w:fldCharType="begin"/>
        </w:r>
        <w:r w:rsidR="0075219A">
          <w:rPr>
            <w:webHidden/>
          </w:rPr>
          <w:instrText xml:space="preserve"> PAGEREF _Toc168502131 \h </w:instrText>
        </w:r>
        <w:r w:rsidR="0075219A">
          <w:rPr>
            <w:webHidden/>
          </w:rPr>
        </w:r>
        <w:r w:rsidR="0075219A">
          <w:rPr>
            <w:webHidden/>
          </w:rPr>
          <w:fldChar w:fldCharType="separate"/>
        </w:r>
        <w:r w:rsidR="0075219A">
          <w:rPr>
            <w:webHidden/>
          </w:rPr>
          <w:t>177</w:t>
        </w:r>
        <w:r w:rsidR="0075219A">
          <w:rPr>
            <w:webHidden/>
          </w:rPr>
          <w:fldChar w:fldCharType="end"/>
        </w:r>
      </w:hyperlink>
    </w:p>
    <w:p w14:paraId="46B031B3" w14:textId="77777777" w:rsidR="0075219A" w:rsidRDefault="009A2DB5">
      <w:pPr>
        <w:pStyle w:val="39"/>
        <w:rPr>
          <w:rFonts w:asciiTheme="minorHAnsi" w:eastAsiaTheme="minorEastAsia" w:hAnsiTheme="minorHAnsi" w:cstheme="minorBidi"/>
          <w:sz w:val="22"/>
          <w:szCs w:val="22"/>
          <w:lang w:eastAsia="ru-RU"/>
        </w:rPr>
      </w:pPr>
      <w:hyperlink w:anchor="_Toc168502132" w:history="1">
        <w:r w:rsidR="0075219A" w:rsidRPr="00E10183">
          <w:rPr>
            <w:rStyle w:val="afff0"/>
          </w:rPr>
          <w:t>5.2 Definitions</w:t>
        </w:r>
        <w:r w:rsidR="0075219A">
          <w:rPr>
            <w:webHidden/>
          </w:rPr>
          <w:tab/>
        </w:r>
        <w:r w:rsidR="0075219A">
          <w:rPr>
            <w:webHidden/>
          </w:rPr>
          <w:fldChar w:fldCharType="begin"/>
        </w:r>
        <w:r w:rsidR="0075219A">
          <w:rPr>
            <w:webHidden/>
          </w:rPr>
          <w:instrText xml:space="preserve"> PAGEREF _Toc168502132 \h </w:instrText>
        </w:r>
        <w:r w:rsidR="0075219A">
          <w:rPr>
            <w:webHidden/>
          </w:rPr>
        </w:r>
        <w:r w:rsidR="0075219A">
          <w:rPr>
            <w:webHidden/>
          </w:rPr>
          <w:fldChar w:fldCharType="separate"/>
        </w:r>
        <w:r w:rsidR="0075219A">
          <w:rPr>
            <w:webHidden/>
          </w:rPr>
          <w:t>177</w:t>
        </w:r>
        <w:r w:rsidR="0075219A">
          <w:rPr>
            <w:webHidden/>
          </w:rPr>
          <w:fldChar w:fldCharType="end"/>
        </w:r>
      </w:hyperlink>
    </w:p>
    <w:p w14:paraId="706F7704" w14:textId="77777777" w:rsidR="0075219A" w:rsidRDefault="009A2DB5">
      <w:pPr>
        <w:pStyle w:val="39"/>
        <w:rPr>
          <w:rFonts w:asciiTheme="minorHAnsi" w:eastAsiaTheme="minorEastAsia" w:hAnsiTheme="minorHAnsi" w:cstheme="minorBidi"/>
          <w:sz w:val="22"/>
          <w:szCs w:val="22"/>
          <w:lang w:eastAsia="ru-RU"/>
        </w:rPr>
      </w:pPr>
      <w:hyperlink w:anchor="_Toc168502133" w:history="1">
        <w:r w:rsidR="0075219A" w:rsidRPr="00E10183">
          <w:rPr>
            <w:rStyle w:val="afff0"/>
          </w:rPr>
          <w:t>5.3 Determination of fair value</w:t>
        </w:r>
        <w:r w:rsidR="0075219A">
          <w:rPr>
            <w:webHidden/>
          </w:rPr>
          <w:tab/>
        </w:r>
        <w:r w:rsidR="0075219A">
          <w:rPr>
            <w:webHidden/>
          </w:rPr>
          <w:fldChar w:fldCharType="begin"/>
        </w:r>
        <w:r w:rsidR="0075219A">
          <w:rPr>
            <w:webHidden/>
          </w:rPr>
          <w:instrText xml:space="preserve"> PAGEREF _Toc168502133 \h </w:instrText>
        </w:r>
        <w:r w:rsidR="0075219A">
          <w:rPr>
            <w:webHidden/>
          </w:rPr>
        </w:r>
        <w:r w:rsidR="0075219A">
          <w:rPr>
            <w:webHidden/>
          </w:rPr>
          <w:fldChar w:fldCharType="separate"/>
        </w:r>
        <w:r w:rsidR="0075219A">
          <w:rPr>
            <w:webHidden/>
          </w:rPr>
          <w:t>179</w:t>
        </w:r>
        <w:r w:rsidR="0075219A">
          <w:rPr>
            <w:webHidden/>
          </w:rPr>
          <w:fldChar w:fldCharType="end"/>
        </w:r>
      </w:hyperlink>
    </w:p>
    <w:p w14:paraId="7F35D03B" w14:textId="77777777" w:rsidR="0075219A" w:rsidRDefault="009A2DB5">
      <w:pPr>
        <w:pStyle w:val="39"/>
        <w:rPr>
          <w:rFonts w:asciiTheme="minorHAnsi" w:eastAsiaTheme="minorEastAsia" w:hAnsiTheme="minorHAnsi" w:cstheme="minorBidi"/>
          <w:sz w:val="22"/>
          <w:szCs w:val="22"/>
          <w:lang w:eastAsia="ru-RU"/>
        </w:rPr>
      </w:pPr>
      <w:hyperlink w:anchor="_Toc168502134" w:history="1">
        <w:r w:rsidR="0075219A" w:rsidRPr="00E10183">
          <w:rPr>
            <w:rStyle w:val="afff0"/>
          </w:rPr>
          <w:t>5.4 Application to non-financial assets</w:t>
        </w:r>
        <w:r w:rsidR="0075219A">
          <w:rPr>
            <w:webHidden/>
          </w:rPr>
          <w:tab/>
        </w:r>
        <w:r w:rsidR="0075219A">
          <w:rPr>
            <w:webHidden/>
          </w:rPr>
          <w:fldChar w:fldCharType="begin"/>
        </w:r>
        <w:r w:rsidR="0075219A">
          <w:rPr>
            <w:webHidden/>
          </w:rPr>
          <w:instrText xml:space="preserve"> PAGEREF _Toc168502134 \h </w:instrText>
        </w:r>
        <w:r w:rsidR="0075219A">
          <w:rPr>
            <w:webHidden/>
          </w:rPr>
        </w:r>
        <w:r w:rsidR="0075219A">
          <w:rPr>
            <w:webHidden/>
          </w:rPr>
          <w:fldChar w:fldCharType="separate"/>
        </w:r>
        <w:r w:rsidR="0075219A">
          <w:rPr>
            <w:webHidden/>
          </w:rPr>
          <w:t>181</w:t>
        </w:r>
        <w:r w:rsidR="0075219A">
          <w:rPr>
            <w:webHidden/>
          </w:rPr>
          <w:fldChar w:fldCharType="end"/>
        </w:r>
      </w:hyperlink>
    </w:p>
    <w:p w14:paraId="4E826A55" w14:textId="77777777" w:rsidR="0075219A" w:rsidRDefault="009A2DB5">
      <w:pPr>
        <w:pStyle w:val="39"/>
        <w:rPr>
          <w:rFonts w:asciiTheme="minorHAnsi" w:eastAsiaTheme="minorEastAsia" w:hAnsiTheme="minorHAnsi" w:cstheme="minorBidi"/>
          <w:sz w:val="22"/>
          <w:szCs w:val="22"/>
          <w:lang w:eastAsia="ru-RU"/>
        </w:rPr>
      </w:pPr>
      <w:hyperlink w:anchor="_Toc168502135" w:history="1">
        <w:r w:rsidR="0075219A" w:rsidRPr="00E10183">
          <w:rPr>
            <w:rStyle w:val="afff0"/>
          </w:rPr>
          <w:t>5.5 Application to the Bank's liabilities and own equity instruments</w:t>
        </w:r>
        <w:r w:rsidR="0075219A">
          <w:rPr>
            <w:webHidden/>
          </w:rPr>
          <w:tab/>
        </w:r>
        <w:r w:rsidR="0075219A">
          <w:rPr>
            <w:webHidden/>
          </w:rPr>
          <w:fldChar w:fldCharType="begin"/>
        </w:r>
        <w:r w:rsidR="0075219A">
          <w:rPr>
            <w:webHidden/>
          </w:rPr>
          <w:instrText xml:space="preserve"> PAGEREF _Toc168502135 \h </w:instrText>
        </w:r>
        <w:r w:rsidR="0075219A">
          <w:rPr>
            <w:webHidden/>
          </w:rPr>
        </w:r>
        <w:r w:rsidR="0075219A">
          <w:rPr>
            <w:webHidden/>
          </w:rPr>
          <w:fldChar w:fldCharType="separate"/>
        </w:r>
        <w:r w:rsidR="0075219A">
          <w:rPr>
            <w:webHidden/>
          </w:rPr>
          <w:t>182</w:t>
        </w:r>
        <w:r w:rsidR="0075219A">
          <w:rPr>
            <w:webHidden/>
          </w:rPr>
          <w:fldChar w:fldCharType="end"/>
        </w:r>
      </w:hyperlink>
    </w:p>
    <w:p w14:paraId="7C36254D" w14:textId="77777777" w:rsidR="0075219A" w:rsidRDefault="009A2DB5">
      <w:pPr>
        <w:pStyle w:val="39"/>
        <w:rPr>
          <w:rFonts w:asciiTheme="minorHAnsi" w:eastAsiaTheme="minorEastAsia" w:hAnsiTheme="minorHAnsi" w:cstheme="minorBidi"/>
          <w:sz w:val="22"/>
          <w:szCs w:val="22"/>
          <w:lang w:eastAsia="ru-RU"/>
        </w:rPr>
      </w:pPr>
      <w:hyperlink w:anchor="_Toc168502136" w:history="1">
        <w:r w:rsidR="0075219A" w:rsidRPr="00E10183">
          <w:rPr>
            <w:rStyle w:val="afff0"/>
          </w:rPr>
          <w:t>5.6 Applying to financial assets and financial liabilities with offsetting positions for market risks or counterparty credit risk</w:t>
        </w:r>
        <w:r w:rsidR="0075219A">
          <w:rPr>
            <w:webHidden/>
          </w:rPr>
          <w:tab/>
        </w:r>
        <w:r w:rsidR="0075219A">
          <w:rPr>
            <w:webHidden/>
          </w:rPr>
          <w:fldChar w:fldCharType="begin"/>
        </w:r>
        <w:r w:rsidR="0075219A">
          <w:rPr>
            <w:webHidden/>
          </w:rPr>
          <w:instrText xml:space="preserve"> PAGEREF _Toc168502136 \h </w:instrText>
        </w:r>
        <w:r w:rsidR="0075219A">
          <w:rPr>
            <w:webHidden/>
          </w:rPr>
        </w:r>
        <w:r w:rsidR="0075219A">
          <w:rPr>
            <w:webHidden/>
          </w:rPr>
          <w:fldChar w:fldCharType="separate"/>
        </w:r>
        <w:r w:rsidR="0075219A">
          <w:rPr>
            <w:webHidden/>
          </w:rPr>
          <w:t>184</w:t>
        </w:r>
        <w:r w:rsidR="0075219A">
          <w:rPr>
            <w:webHidden/>
          </w:rPr>
          <w:fldChar w:fldCharType="end"/>
        </w:r>
      </w:hyperlink>
    </w:p>
    <w:p w14:paraId="444206CA" w14:textId="77777777" w:rsidR="0075219A" w:rsidRDefault="009A2DB5">
      <w:pPr>
        <w:pStyle w:val="39"/>
        <w:rPr>
          <w:rFonts w:asciiTheme="minorHAnsi" w:eastAsiaTheme="minorEastAsia" w:hAnsiTheme="minorHAnsi" w:cstheme="minorBidi"/>
          <w:sz w:val="22"/>
          <w:szCs w:val="22"/>
          <w:lang w:eastAsia="ru-RU"/>
        </w:rPr>
      </w:pPr>
      <w:hyperlink w:anchor="_Toc168502137" w:history="1">
        <w:r w:rsidR="0075219A" w:rsidRPr="00E10183">
          <w:rPr>
            <w:rStyle w:val="afff0"/>
          </w:rPr>
          <w:t>5.7 Fair value at initial recognition</w:t>
        </w:r>
        <w:r w:rsidR="0075219A">
          <w:rPr>
            <w:webHidden/>
          </w:rPr>
          <w:tab/>
        </w:r>
        <w:r w:rsidR="0075219A">
          <w:rPr>
            <w:webHidden/>
          </w:rPr>
          <w:fldChar w:fldCharType="begin"/>
        </w:r>
        <w:r w:rsidR="0075219A">
          <w:rPr>
            <w:webHidden/>
          </w:rPr>
          <w:instrText xml:space="preserve"> PAGEREF _Toc168502137 \h </w:instrText>
        </w:r>
        <w:r w:rsidR="0075219A">
          <w:rPr>
            <w:webHidden/>
          </w:rPr>
        </w:r>
        <w:r w:rsidR="0075219A">
          <w:rPr>
            <w:webHidden/>
          </w:rPr>
          <w:fldChar w:fldCharType="separate"/>
        </w:r>
        <w:r w:rsidR="0075219A">
          <w:rPr>
            <w:webHidden/>
          </w:rPr>
          <w:t>185</w:t>
        </w:r>
        <w:r w:rsidR="0075219A">
          <w:rPr>
            <w:webHidden/>
          </w:rPr>
          <w:fldChar w:fldCharType="end"/>
        </w:r>
      </w:hyperlink>
    </w:p>
    <w:p w14:paraId="340B4B20" w14:textId="77777777" w:rsidR="0075219A" w:rsidRDefault="009A2DB5">
      <w:pPr>
        <w:pStyle w:val="39"/>
        <w:rPr>
          <w:rFonts w:asciiTheme="minorHAnsi" w:eastAsiaTheme="minorEastAsia" w:hAnsiTheme="minorHAnsi" w:cstheme="minorBidi"/>
          <w:sz w:val="22"/>
          <w:szCs w:val="22"/>
          <w:lang w:eastAsia="ru-RU"/>
        </w:rPr>
      </w:pPr>
      <w:hyperlink w:anchor="_Toc168502138" w:history="1">
        <w:r w:rsidR="0075219A" w:rsidRPr="00E10183">
          <w:rPr>
            <w:rStyle w:val="afff0"/>
          </w:rPr>
          <w:t>5.8 Evaluation methods</w:t>
        </w:r>
        <w:r w:rsidR="0075219A">
          <w:rPr>
            <w:webHidden/>
          </w:rPr>
          <w:tab/>
        </w:r>
        <w:r w:rsidR="0075219A">
          <w:rPr>
            <w:webHidden/>
          </w:rPr>
          <w:fldChar w:fldCharType="begin"/>
        </w:r>
        <w:r w:rsidR="0075219A">
          <w:rPr>
            <w:webHidden/>
          </w:rPr>
          <w:instrText xml:space="preserve"> PAGEREF _Toc168502138 \h </w:instrText>
        </w:r>
        <w:r w:rsidR="0075219A">
          <w:rPr>
            <w:webHidden/>
          </w:rPr>
        </w:r>
        <w:r w:rsidR="0075219A">
          <w:rPr>
            <w:webHidden/>
          </w:rPr>
          <w:fldChar w:fldCharType="separate"/>
        </w:r>
        <w:r w:rsidR="0075219A">
          <w:rPr>
            <w:webHidden/>
          </w:rPr>
          <w:t>186</w:t>
        </w:r>
        <w:r w:rsidR="0075219A">
          <w:rPr>
            <w:webHidden/>
          </w:rPr>
          <w:fldChar w:fldCharType="end"/>
        </w:r>
      </w:hyperlink>
    </w:p>
    <w:p w14:paraId="304DD900" w14:textId="77777777" w:rsidR="0075219A" w:rsidRDefault="009A2DB5">
      <w:pPr>
        <w:pStyle w:val="39"/>
        <w:rPr>
          <w:rFonts w:asciiTheme="minorHAnsi" w:eastAsiaTheme="minorEastAsia" w:hAnsiTheme="minorHAnsi" w:cstheme="minorBidi"/>
          <w:sz w:val="22"/>
          <w:szCs w:val="22"/>
          <w:lang w:eastAsia="ru-RU"/>
        </w:rPr>
      </w:pPr>
      <w:hyperlink w:anchor="_Toc168502139" w:history="1">
        <w:r w:rsidR="0075219A" w:rsidRPr="00E10183">
          <w:rPr>
            <w:rStyle w:val="afff0"/>
          </w:rPr>
          <w:t>5.9 Disclosure of information</w:t>
        </w:r>
        <w:r w:rsidR="0075219A">
          <w:rPr>
            <w:webHidden/>
          </w:rPr>
          <w:tab/>
        </w:r>
        <w:r w:rsidR="0075219A">
          <w:rPr>
            <w:webHidden/>
          </w:rPr>
          <w:fldChar w:fldCharType="begin"/>
        </w:r>
        <w:r w:rsidR="0075219A">
          <w:rPr>
            <w:webHidden/>
          </w:rPr>
          <w:instrText xml:space="preserve"> PAGEREF _Toc168502139 \h </w:instrText>
        </w:r>
        <w:r w:rsidR="0075219A">
          <w:rPr>
            <w:webHidden/>
          </w:rPr>
        </w:r>
        <w:r w:rsidR="0075219A">
          <w:rPr>
            <w:webHidden/>
          </w:rPr>
          <w:fldChar w:fldCharType="separate"/>
        </w:r>
        <w:r w:rsidR="0075219A">
          <w:rPr>
            <w:webHidden/>
          </w:rPr>
          <w:t>190</w:t>
        </w:r>
        <w:r w:rsidR="0075219A">
          <w:rPr>
            <w:webHidden/>
          </w:rPr>
          <w:fldChar w:fldCharType="end"/>
        </w:r>
      </w:hyperlink>
    </w:p>
    <w:p w14:paraId="358AAEB1" w14:textId="77777777" w:rsidR="0075219A" w:rsidRDefault="009A2DB5">
      <w:pPr>
        <w:pStyle w:val="2b"/>
        <w:rPr>
          <w:rFonts w:asciiTheme="minorHAnsi" w:eastAsiaTheme="minorEastAsia" w:hAnsiTheme="minorHAnsi" w:cstheme="minorBidi"/>
          <w:b w:val="0"/>
          <w:sz w:val="22"/>
          <w:szCs w:val="22"/>
          <w:lang w:eastAsia="ru-RU"/>
        </w:rPr>
      </w:pPr>
      <w:hyperlink w:anchor="_Toc168502140" w:history="1">
        <w:r w:rsidR="0075219A" w:rsidRPr="00E10183">
          <w:rPr>
            <w:rStyle w:val="afff0"/>
            <w:rFonts w:ascii="Times New Roman" w:hAnsi="Times New Roman"/>
          </w:rPr>
          <w:t>Section 6. General ledger of the Bank</w:t>
        </w:r>
        <w:r w:rsidR="0075219A">
          <w:rPr>
            <w:webHidden/>
          </w:rPr>
          <w:tab/>
        </w:r>
        <w:r w:rsidR="0075219A">
          <w:rPr>
            <w:webHidden/>
          </w:rPr>
          <w:fldChar w:fldCharType="begin"/>
        </w:r>
        <w:r w:rsidR="0075219A">
          <w:rPr>
            <w:webHidden/>
          </w:rPr>
          <w:instrText xml:space="preserve"> PAGEREF _Toc168502140 \h </w:instrText>
        </w:r>
        <w:r w:rsidR="0075219A">
          <w:rPr>
            <w:webHidden/>
          </w:rPr>
        </w:r>
        <w:r w:rsidR="0075219A">
          <w:rPr>
            <w:webHidden/>
          </w:rPr>
          <w:fldChar w:fldCharType="separate"/>
        </w:r>
        <w:r w:rsidR="0075219A">
          <w:rPr>
            <w:webHidden/>
          </w:rPr>
          <w:t>199</w:t>
        </w:r>
        <w:r w:rsidR="0075219A">
          <w:rPr>
            <w:webHidden/>
          </w:rPr>
          <w:fldChar w:fldCharType="end"/>
        </w:r>
      </w:hyperlink>
    </w:p>
    <w:p w14:paraId="245C800A" w14:textId="77777777" w:rsidR="0075219A" w:rsidRDefault="009A2DB5">
      <w:pPr>
        <w:pStyle w:val="39"/>
        <w:rPr>
          <w:rFonts w:asciiTheme="minorHAnsi" w:eastAsiaTheme="minorEastAsia" w:hAnsiTheme="minorHAnsi" w:cstheme="minorBidi"/>
          <w:sz w:val="22"/>
          <w:szCs w:val="22"/>
          <w:lang w:eastAsia="ru-RU"/>
        </w:rPr>
      </w:pPr>
      <w:hyperlink w:anchor="_Toc168502141" w:history="1">
        <w:r w:rsidR="0075219A" w:rsidRPr="00E10183">
          <w:rPr>
            <w:rStyle w:val="afff0"/>
          </w:rPr>
          <w:t>6.1 General provisions</w:t>
        </w:r>
        <w:r w:rsidR="0075219A">
          <w:rPr>
            <w:webHidden/>
          </w:rPr>
          <w:tab/>
        </w:r>
        <w:r w:rsidR="0075219A">
          <w:rPr>
            <w:webHidden/>
          </w:rPr>
          <w:fldChar w:fldCharType="begin"/>
        </w:r>
        <w:r w:rsidR="0075219A">
          <w:rPr>
            <w:webHidden/>
          </w:rPr>
          <w:instrText xml:space="preserve"> PAGEREF _Toc168502141 \h </w:instrText>
        </w:r>
        <w:r w:rsidR="0075219A">
          <w:rPr>
            <w:webHidden/>
          </w:rPr>
        </w:r>
        <w:r w:rsidR="0075219A">
          <w:rPr>
            <w:webHidden/>
          </w:rPr>
          <w:fldChar w:fldCharType="separate"/>
        </w:r>
        <w:r w:rsidR="0075219A">
          <w:rPr>
            <w:webHidden/>
          </w:rPr>
          <w:t>199</w:t>
        </w:r>
        <w:r w:rsidR="0075219A">
          <w:rPr>
            <w:webHidden/>
          </w:rPr>
          <w:fldChar w:fldCharType="end"/>
        </w:r>
      </w:hyperlink>
    </w:p>
    <w:p w14:paraId="0BA8BAE8" w14:textId="77777777" w:rsidR="0075219A" w:rsidRDefault="009A2DB5">
      <w:pPr>
        <w:pStyle w:val="39"/>
        <w:rPr>
          <w:rFonts w:asciiTheme="minorHAnsi" w:eastAsiaTheme="minorEastAsia" w:hAnsiTheme="minorHAnsi" w:cstheme="minorBidi"/>
          <w:sz w:val="22"/>
          <w:szCs w:val="22"/>
          <w:lang w:eastAsia="ru-RU"/>
        </w:rPr>
      </w:pPr>
      <w:hyperlink w:anchor="_Toc168502142" w:history="1">
        <w:r w:rsidR="0075219A" w:rsidRPr="00E10183">
          <w:rPr>
            <w:rStyle w:val="afff0"/>
          </w:rPr>
          <w:t>6.2 Definitions</w:t>
        </w:r>
        <w:r w:rsidR="0075219A">
          <w:rPr>
            <w:webHidden/>
          </w:rPr>
          <w:tab/>
        </w:r>
        <w:r w:rsidR="0075219A">
          <w:rPr>
            <w:webHidden/>
          </w:rPr>
          <w:fldChar w:fldCharType="begin"/>
        </w:r>
        <w:r w:rsidR="0075219A">
          <w:rPr>
            <w:webHidden/>
          </w:rPr>
          <w:instrText xml:space="preserve"> PAGEREF _Toc168502142 \h </w:instrText>
        </w:r>
        <w:r w:rsidR="0075219A">
          <w:rPr>
            <w:webHidden/>
          </w:rPr>
        </w:r>
        <w:r w:rsidR="0075219A">
          <w:rPr>
            <w:webHidden/>
          </w:rPr>
          <w:fldChar w:fldCharType="separate"/>
        </w:r>
        <w:r w:rsidR="0075219A">
          <w:rPr>
            <w:webHidden/>
          </w:rPr>
          <w:t>199</w:t>
        </w:r>
        <w:r w:rsidR="0075219A">
          <w:rPr>
            <w:webHidden/>
          </w:rPr>
          <w:fldChar w:fldCharType="end"/>
        </w:r>
      </w:hyperlink>
    </w:p>
    <w:p w14:paraId="6316FD64" w14:textId="77777777" w:rsidR="0075219A" w:rsidRDefault="009A2DB5">
      <w:pPr>
        <w:pStyle w:val="39"/>
        <w:rPr>
          <w:rFonts w:asciiTheme="minorHAnsi" w:eastAsiaTheme="minorEastAsia" w:hAnsiTheme="minorHAnsi" w:cstheme="minorBidi"/>
          <w:sz w:val="22"/>
          <w:szCs w:val="22"/>
          <w:lang w:eastAsia="ru-RU"/>
        </w:rPr>
      </w:pPr>
      <w:hyperlink w:anchor="_Toc168502143" w:history="1">
        <w:r w:rsidR="0075219A" w:rsidRPr="00E10183">
          <w:rPr>
            <w:rStyle w:val="afff0"/>
          </w:rPr>
          <w:t>6.3 Accounting policies</w:t>
        </w:r>
        <w:r w:rsidR="0075219A">
          <w:rPr>
            <w:webHidden/>
          </w:rPr>
          <w:tab/>
        </w:r>
        <w:r w:rsidR="0075219A">
          <w:rPr>
            <w:webHidden/>
          </w:rPr>
          <w:fldChar w:fldCharType="begin"/>
        </w:r>
        <w:r w:rsidR="0075219A">
          <w:rPr>
            <w:webHidden/>
          </w:rPr>
          <w:instrText xml:space="preserve"> PAGEREF _Toc168502143 \h </w:instrText>
        </w:r>
        <w:r w:rsidR="0075219A">
          <w:rPr>
            <w:webHidden/>
          </w:rPr>
        </w:r>
        <w:r w:rsidR="0075219A">
          <w:rPr>
            <w:webHidden/>
          </w:rPr>
          <w:fldChar w:fldCharType="separate"/>
        </w:r>
        <w:r w:rsidR="0075219A">
          <w:rPr>
            <w:webHidden/>
          </w:rPr>
          <w:t>199</w:t>
        </w:r>
        <w:r w:rsidR="0075219A">
          <w:rPr>
            <w:webHidden/>
          </w:rPr>
          <w:fldChar w:fldCharType="end"/>
        </w:r>
      </w:hyperlink>
    </w:p>
    <w:p w14:paraId="42DD9C32" w14:textId="66FCF95F" w:rsidR="009E2B77" w:rsidRPr="002D4EA3" w:rsidRDefault="004D7116" w:rsidP="007825E6">
      <w:pPr>
        <w:pStyle w:val="39"/>
        <w:sectPr w:rsidR="009E2B77" w:rsidRPr="002D4EA3" w:rsidSect="00CA00A0">
          <w:headerReference w:type="even" r:id="rId11"/>
          <w:headerReference w:type="default" r:id="rId12"/>
          <w:headerReference w:type="first" r:id="rId13"/>
          <w:pgSz w:w="11907" w:h="16840" w:code="9"/>
          <w:pgMar w:top="1000" w:right="680" w:bottom="567" w:left="1134" w:header="576" w:footer="288" w:gutter="0"/>
          <w:cols w:space="720"/>
          <w:titlePg/>
          <w:docGrid w:linePitch="272"/>
        </w:sectPr>
      </w:pPr>
      <w:r>
        <w:fldChar w:fldCharType="end"/>
      </w:r>
    </w:p>
    <w:p w14:paraId="4ABDF5EB" w14:textId="60BEC619" w:rsidR="009E2B77" w:rsidRPr="007D770B" w:rsidRDefault="009E2B77" w:rsidP="006F7D41">
      <w:pPr>
        <w:pStyle w:val="10"/>
        <w:pageBreakBefore/>
        <w:spacing w:before="240" w:after="240" w:line="240" w:lineRule="auto"/>
        <w:rPr>
          <w:rFonts w:ascii="Times New Roman" w:hAnsi="Times New Roman"/>
          <w:sz w:val="20"/>
          <w:szCs w:val="20"/>
          <w:lang w:val="en-US"/>
        </w:rPr>
      </w:pPr>
      <w:bookmarkStart w:id="4" w:name="_Toc278120847"/>
      <w:bookmarkStart w:id="5" w:name="_Toc168502001"/>
      <w:r w:rsidRPr="007D770B">
        <w:rPr>
          <w:rFonts w:ascii="Times New Roman" w:hAnsi="Times New Roman"/>
          <w:sz w:val="20"/>
          <w:szCs w:val="20"/>
          <w:lang w:val="en-US"/>
        </w:rPr>
        <w:lastRenderedPageBreak/>
        <w:t>CHAPTER 1. GENERAL PROVISIONS</w:t>
      </w:r>
      <w:bookmarkEnd w:id="4"/>
      <w:bookmarkEnd w:id="5"/>
    </w:p>
    <w:p w14:paraId="74900458" w14:textId="4DAF0019" w:rsidR="009E2B77" w:rsidRPr="007D770B" w:rsidRDefault="009E2B77" w:rsidP="00F96B17">
      <w:pPr>
        <w:pStyle w:val="2"/>
        <w:spacing w:before="240"/>
        <w:jc w:val="both"/>
        <w:rPr>
          <w:rFonts w:ascii="Times New Roman" w:hAnsi="Times New Roman"/>
          <w:szCs w:val="20"/>
          <w:lang w:val="en-US"/>
        </w:rPr>
      </w:pPr>
      <w:bookmarkStart w:id="6" w:name="_Toc278120848"/>
      <w:bookmarkStart w:id="7" w:name="_Toc168502002"/>
      <w:r w:rsidRPr="007D770B">
        <w:rPr>
          <w:rFonts w:ascii="Times New Roman" w:hAnsi="Times New Roman"/>
          <w:sz w:val="20"/>
          <w:szCs w:val="20"/>
          <w:lang w:val="en-US"/>
        </w:rPr>
        <w:t>Section 1: Presentation of Financial Statements (IAS 1</w:t>
      </w:r>
      <w:r w:rsidRPr="007D770B">
        <w:rPr>
          <w:rFonts w:ascii="Times New Roman" w:hAnsi="Times New Roman"/>
          <w:szCs w:val="20"/>
          <w:lang w:val="en-US"/>
        </w:rPr>
        <w:t>)</w:t>
      </w:r>
      <w:bookmarkEnd w:id="6"/>
      <w:bookmarkEnd w:id="7"/>
    </w:p>
    <w:p w14:paraId="5403AB37" w14:textId="51C2841F" w:rsidR="00140419" w:rsidRPr="007D770B" w:rsidRDefault="00140419" w:rsidP="000662D1">
      <w:pPr>
        <w:ind w:left="0"/>
        <w:rPr>
          <w:rFonts w:ascii="Times New Roman" w:hAnsi="Times New Roman"/>
          <w:snapToGrid w:val="0"/>
          <w:lang w:val="en-US" w:eastAsia="ru-RU"/>
        </w:rPr>
      </w:pPr>
      <w:r w:rsidRPr="007D770B">
        <w:rPr>
          <w:rFonts w:ascii="Times New Roman" w:hAnsi="Times New Roman"/>
          <w:lang w:val="en-US"/>
        </w:rPr>
        <w:t>These accounting policies set out the presentation of the Bank</w:t>
      </w:r>
      <w:r w:rsidR="00802136" w:rsidRPr="007D770B">
        <w:rPr>
          <w:rFonts w:ascii="Times New Roman" w:hAnsi="Times New Roman"/>
          <w:lang w:val="en-US"/>
        </w:rPr>
        <w:t>'</w:t>
      </w:r>
      <w:r w:rsidRPr="007D770B">
        <w:rPr>
          <w:rFonts w:ascii="Times New Roman" w:hAnsi="Times New Roman"/>
          <w:lang w:val="en-US"/>
        </w:rPr>
        <w:t>s financial statements in accordance with IAS 1 Presentation of Financial Statements and the Conceptual Framework for the Preparation of Financial Statements</w:t>
      </w:r>
      <w:r w:rsidRPr="007D770B">
        <w:rPr>
          <w:rFonts w:ascii="Times New Roman" w:hAnsi="Times New Roman"/>
          <w:snapToGrid w:val="0"/>
          <w:lang w:val="en-US" w:eastAsia="ru-RU"/>
        </w:rPr>
        <w:t>.</w:t>
      </w:r>
    </w:p>
    <w:p w14:paraId="2BCC3193" w14:textId="0DB7063E" w:rsidR="000662D1" w:rsidRPr="007D770B" w:rsidRDefault="005530B7" w:rsidP="005530B7">
      <w:pPr>
        <w:ind w:left="0"/>
        <w:rPr>
          <w:rFonts w:ascii="Times New Roman" w:hAnsi="Times New Roman"/>
          <w:lang w:val="en-US"/>
        </w:rPr>
      </w:pPr>
      <w:r w:rsidRPr="007D770B">
        <w:rPr>
          <w:rFonts w:ascii="Times New Roman" w:hAnsi="Times New Roman"/>
          <w:snapToGrid w:val="0"/>
          <w:lang w:val="en-US" w:eastAsia="ru-RU"/>
        </w:rPr>
        <w:t xml:space="preserve">1. </w:t>
      </w:r>
      <w:r w:rsidRPr="007D770B">
        <w:rPr>
          <w:rFonts w:ascii="Times New Roman" w:hAnsi="Times New Roman"/>
          <w:lang w:val="en-US"/>
        </w:rPr>
        <w:t xml:space="preserve">This </w:t>
      </w:r>
      <w:r w:rsidR="000662D1" w:rsidRPr="007D770B">
        <w:rPr>
          <w:rFonts w:ascii="Times New Roman" w:hAnsi="Times New Roman"/>
          <w:lang w:val="en-US"/>
        </w:rPr>
        <w:t>Accounting Policy determines the principles, bases, provisions, rules and practices accepted for application in JSC "</w:t>
      </w:r>
      <w:r w:rsidR="00B90019" w:rsidRPr="007D770B">
        <w:rPr>
          <w:rFonts w:ascii="Times New Roman" w:hAnsi="Times New Roman"/>
          <w:lang w:val="en-US"/>
        </w:rPr>
        <w:t>Otbasy Bank</w:t>
      </w:r>
      <w:r w:rsidR="000662D1" w:rsidRPr="007D770B">
        <w:rPr>
          <w:rFonts w:ascii="Times New Roman" w:hAnsi="Times New Roman"/>
          <w:lang w:val="en-US"/>
        </w:rPr>
        <w:t>" (hereinafter - the Bank) for accounting and preparation of financial statements, including preparation of comparative information for previous reporting periods and is developed in accordance with:</w:t>
      </w:r>
    </w:p>
    <w:p w14:paraId="0A00F324" w14:textId="2556FE02" w:rsidR="00E57CF6" w:rsidRPr="007D770B" w:rsidRDefault="009E5D87" w:rsidP="00AE698A">
      <w:pPr>
        <w:numPr>
          <w:ilvl w:val="0"/>
          <w:numId w:val="312"/>
        </w:numPr>
        <w:spacing w:before="120"/>
        <w:rPr>
          <w:rFonts w:ascii="Times New Roman" w:hAnsi="Times New Roman"/>
          <w:lang w:val="en-US"/>
        </w:rPr>
      </w:pPr>
      <w:r w:rsidRPr="007D770B">
        <w:rPr>
          <w:rFonts w:ascii="Times New Roman" w:hAnsi="Times New Roman"/>
          <w:lang w:val="en-US"/>
        </w:rPr>
        <w:t xml:space="preserve">Legislation </w:t>
      </w:r>
      <w:r w:rsidR="000662D1" w:rsidRPr="007D770B">
        <w:rPr>
          <w:rFonts w:ascii="Times New Roman" w:hAnsi="Times New Roman"/>
          <w:lang w:val="en-US"/>
        </w:rPr>
        <w:t xml:space="preserve">of the Republic of Kazakhstan </w:t>
      </w:r>
      <w:r w:rsidR="00802136" w:rsidRPr="007D770B">
        <w:rPr>
          <w:rFonts w:ascii="Times New Roman" w:hAnsi="Times New Roman"/>
          <w:lang w:val="en-US"/>
        </w:rPr>
        <w:t>"</w:t>
      </w:r>
      <w:r w:rsidR="000662D1" w:rsidRPr="007D770B">
        <w:rPr>
          <w:rFonts w:ascii="Times New Roman" w:hAnsi="Times New Roman"/>
          <w:lang w:val="en-US"/>
        </w:rPr>
        <w:t>On Accounting and Financial Reporting</w:t>
      </w:r>
      <w:r w:rsidR="00802136" w:rsidRPr="007D770B">
        <w:rPr>
          <w:rFonts w:ascii="Times New Roman" w:hAnsi="Times New Roman"/>
          <w:lang w:val="en-US"/>
        </w:rPr>
        <w:t>"</w:t>
      </w:r>
      <w:r w:rsidR="005530B7" w:rsidRPr="007D770B">
        <w:rPr>
          <w:rFonts w:ascii="Times New Roman" w:hAnsi="Times New Roman"/>
          <w:lang w:val="en-US"/>
        </w:rPr>
        <w:t>;</w:t>
      </w:r>
    </w:p>
    <w:p w14:paraId="357E6419" w14:textId="6BD1A858" w:rsidR="00E57CF6" w:rsidRPr="007D770B" w:rsidRDefault="000662D1" w:rsidP="00AE698A">
      <w:pPr>
        <w:numPr>
          <w:ilvl w:val="0"/>
          <w:numId w:val="312"/>
        </w:numPr>
        <w:spacing w:before="120"/>
        <w:rPr>
          <w:rFonts w:ascii="Times New Roman" w:hAnsi="Times New Roman"/>
          <w:lang w:val="en-US"/>
        </w:rPr>
      </w:pPr>
      <w:r w:rsidRPr="007D770B">
        <w:rPr>
          <w:rFonts w:ascii="Times New Roman" w:hAnsi="Times New Roman"/>
          <w:lang w:val="en-US"/>
        </w:rPr>
        <w:t xml:space="preserve">Corporate accounting policy of Baiterek National Management </w:t>
      </w:r>
      <w:r w:rsidR="005530B7" w:rsidRPr="007D770B">
        <w:rPr>
          <w:rFonts w:ascii="Times New Roman" w:hAnsi="Times New Roman"/>
          <w:lang w:val="en-US"/>
        </w:rPr>
        <w:t xml:space="preserve">Holding </w:t>
      </w:r>
      <w:r w:rsidR="00802136" w:rsidRPr="007D770B">
        <w:rPr>
          <w:rFonts w:ascii="Times New Roman" w:hAnsi="Times New Roman"/>
          <w:lang w:val="en-US"/>
        </w:rPr>
        <w:t xml:space="preserve">Company </w:t>
      </w:r>
      <w:r w:rsidRPr="007D770B">
        <w:rPr>
          <w:rFonts w:ascii="Times New Roman" w:hAnsi="Times New Roman"/>
          <w:lang w:val="en-US"/>
        </w:rPr>
        <w:t>(hereinafter - the PMC)</w:t>
      </w:r>
      <w:r w:rsidR="005530B7" w:rsidRPr="007D770B">
        <w:rPr>
          <w:rFonts w:ascii="Times New Roman" w:hAnsi="Times New Roman"/>
          <w:lang w:val="en-US"/>
        </w:rPr>
        <w:t>;</w:t>
      </w:r>
    </w:p>
    <w:p w14:paraId="543C5B5E" w14:textId="1CCFCA13" w:rsidR="00E57CF6" w:rsidRPr="007D770B" w:rsidRDefault="009E5D87" w:rsidP="00AE698A">
      <w:pPr>
        <w:numPr>
          <w:ilvl w:val="0"/>
          <w:numId w:val="312"/>
        </w:numPr>
        <w:spacing w:before="120"/>
        <w:rPr>
          <w:rFonts w:ascii="Times New Roman" w:hAnsi="Times New Roman"/>
          <w:lang w:val="en-US"/>
        </w:rPr>
      </w:pPr>
      <w:r w:rsidRPr="007D770B">
        <w:rPr>
          <w:rFonts w:ascii="Times New Roman" w:hAnsi="Times New Roman"/>
          <w:lang w:val="en-US"/>
        </w:rPr>
        <w:t xml:space="preserve">Standard </w:t>
      </w:r>
      <w:r w:rsidR="000662D1" w:rsidRPr="007D770B">
        <w:rPr>
          <w:rFonts w:ascii="Times New Roman" w:hAnsi="Times New Roman"/>
          <w:lang w:val="en-US"/>
        </w:rPr>
        <w:t xml:space="preserve">Chart </w:t>
      </w:r>
      <w:r w:rsidRPr="007D770B">
        <w:rPr>
          <w:rFonts w:ascii="Times New Roman" w:hAnsi="Times New Roman"/>
          <w:lang w:val="en-US"/>
        </w:rPr>
        <w:t xml:space="preserve">of Accounts of </w:t>
      </w:r>
      <w:r w:rsidR="000662D1" w:rsidRPr="007D770B">
        <w:rPr>
          <w:rFonts w:ascii="Times New Roman" w:hAnsi="Times New Roman"/>
          <w:lang w:val="en-US"/>
        </w:rPr>
        <w:t xml:space="preserve">accounting in second-tier banks, mortgage organizations and joint-stock </w:t>
      </w:r>
      <w:r w:rsidRPr="007D770B">
        <w:rPr>
          <w:rFonts w:ascii="Times New Roman" w:hAnsi="Times New Roman"/>
          <w:lang w:val="en-US"/>
        </w:rPr>
        <w:t xml:space="preserve">company </w:t>
      </w:r>
      <w:r w:rsidR="00802136" w:rsidRPr="007D770B">
        <w:rPr>
          <w:rFonts w:ascii="Times New Roman" w:hAnsi="Times New Roman"/>
          <w:lang w:val="en-US"/>
        </w:rPr>
        <w:t>"</w:t>
      </w:r>
      <w:r w:rsidRPr="007D770B">
        <w:rPr>
          <w:rFonts w:ascii="Times New Roman" w:hAnsi="Times New Roman"/>
          <w:lang w:val="en-US"/>
        </w:rPr>
        <w:t>Development Bank of Kazakhstan</w:t>
      </w:r>
      <w:r w:rsidR="00802136" w:rsidRPr="007D770B">
        <w:rPr>
          <w:rFonts w:ascii="Times New Roman" w:hAnsi="Times New Roman"/>
          <w:lang w:val="en-US"/>
        </w:rPr>
        <w:t>"</w:t>
      </w:r>
      <w:r w:rsidR="005530B7" w:rsidRPr="007D770B">
        <w:rPr>
          <w:rFonts w:ascii="Times New Roman" w:hAnsi="Times New Roman"/>
          <w:lang w:val="en-US"/>
        </w:rPr>
        <w:t>;</w:t>
      </w:r>
    </w:p>
    <w:p w14:paraId="2F60AA51" w14:textId="77777777" w:rsidR="000662D1" w:rsidRPr="00E57CF6" w:rsidRDefault="000662D1" w:rsidP="00AE698A">
      <w:pPr>
        <w:numPr>
          <w:ilvl w:val="0"/>
          <w:numId w:val="312"/>
        </w:numPr>
        <w:spacing w:before="120"/>
        <w:rPr>
          <w:rFonts w:ascii="Times New Roman" w:hAnsi="Times New Roman"/>
        </w:rPr>
      </w:pPr>
      <w:r w:rsidRPr="00E57CF6">
        <w:rPr>
          <w:rFonts w:ascii="Times New Roman" w:hAnsi="Times New Roman"/>
        </w:rPr>
        <w:t xml:space="preserve">International Financial Reporting Standards. </w:t>
      </w:r>
    </w:p>
    <w:p w14:paraId="6E6F50ED" w14:textId="60852EA8" w:rsidR="00E57CF6" w:rsidRPr="007D770B" w:rsidRDefault="005530B7" w:rsidP="00E57CF6">
      <w:pPr>
        <w:spacing w:before="240" w:line="240" w:lineRule="auto"/>
        <w:ind w:left="0"/>
        <w:rPr>
          <w:lang w:val="en-US"/>
        </w:rPr>
      </w:pPr>
      <w:r w:rsidRPr="007D770B">
        <w:rPr>
          <w:rFonts w:ascii="Times New Roman" w:hAnsi="Times New Roman"/>
          <w:lang w:val="en-US"/>
        </w:rPr>
        <w:t xml:space="preserve">2. </w:t>
      </w:r>
      <w:r w:rsidR="000662D1" w:rsidRPr="007D770B">
        <w:rPr>
          <w:rFonts w:ascii="Times New Roman" w:hAnsi="Times New Roman"/>
          <w:lang w:val="en-US"/>
        </w:rPr>
        <w:t>The financial statements are prepared on the basis of transactions performed by the Bank and its branches in the subsidiary accounting records of the general ledger.</w:t>
      </w:r>
    </w:p>
    <w:p w14:paraId="10D6DF9B" w14:textId="008AFA78" w:rsidR="00E57CF6" w:rsidRPr="007D770B" w:rsidRDefault="005530B7" w:rsidP="00E57CF6">
      <w:pPr>
        <w:spacing w:before="240" w:line="240" w:lineRule="auto"/>
        <w:ind w:left="0"/>
        <w:rPr>
          <w:lang w:val="en-US"/>
        </w:rPr>
      </w:pPr>
      <w:r w:rsidRPr="007D770B">
        <w:rPr>
          <w:rFonts w:ascii="Times New Roman" w:hAnsi="Times New Roman"/>
          <w:lang w:val="en-US"/>
        </w:rPr>
        <w:t>3</w:t>
      </w:r>
      <w:r w:rsidR="000662D1" w:rsidRPr="007D770B">
        <w:rPr>
          <w:rFonts w:ascii="Times New Roman" w:hAnsi="Times New Roman"/>
          <w:lang w:val="en-US"/>
        </w:rPr>
        <w:t>. Detailed accounting of operations performed by the Bank shall be regulated by internal documents of the Bank approved by the authorized body of the Bank.</w:t>
      </w:r>
    </w:p>
    <w:p w14:paraId="7B523203" w14:textId="77777777" w:rsidR="000662D1" w:rsidRPr="007D770B" w:rsidRDefault="005530B7" w:rsidP="00E57CF6">
      <w:pPr>
        <w:spacing w:before="240" w:line="240" w:lineRule="auto"/>
        <w:ind w:left="0"/>
        <w:rPr>
          <w:rFonts w:ascii="Times New Roman" w:hAnsi="Times New Roman"/>
          <w:lang w:val="en-US"/>
        </w:rPr>
      </w:pPr>
      <w:r w:rsidRPr="007D770B">
        <w:rPr>
          <w:rFonts w:ascii="Times New Roman" w:hAnsi="Times New Roman"/>
          <w:lang w:val="en-US"/>
        </w:rPr>
        <w:t>4</w:t>
      </w:r>
      <w:r w:rsidR="000662D1" w:rsidRPr="007D770B">
        <w:rPr>
          <w:rFonts w:ascii="Times New Roman" w:hAnsi="Times New Roman"/>
          <w:lang w:val="en-US"/>
        </w:rPr>
        <w:t xml:space="preserve">. The Accounting Policy of the Bank shall be adopted for an unlimited period of time. The Accounting Policy shall be revised by making amendments and additions thereto approved by the Board of Directors of the Bank. </w:t>
      </w:r>
    </w:p>
    <w:p w14:paraId="1B5598A6" w14:textId="77777777" w:rsidR="000662D1" w:rsidRPr="007D770B" w:rsidRDefault="005530B7" w:rsidP="000662D1">
      <w:pPr>
        <w:pStyle w:val="affff3"/>
        <w:tabs>
          <w:tab w:val="left" w:pos="0"/>
        </w:tabs>
        <w:ind w:right="6"/>
        <w:jc w:val="both"/>
        <w:rPr>
          <w:rFonts w:eastAsia="Calibri"/>
          <w:sz w:val="20"/>
          <w:szCs w:val="20"/>
          <w:lang w:val="en-US" w:eastAsia="en-US"/>
        </w:rPr>
      </w:pPr>
      <w:r w:rsidRPr="007D770B">
        <w:rPr>
          <w:rFonts w:eastAsia="Calibri"/>
          <w:sz w:val="20"/>
          <w:szCs w:val="20"/>
          <w:lang w:val="en-US" w:eastAsia="en-US"/>
        </w:rPr>
        <w:t>5</w:t>
      </w:r>
      <w:r w:rsidR="000662D1" w:rsidRPr="007D770B">
        <w:rPr>
          <w:rFonts w:eastAsia="Calibri"/>
          <w:sz w:val="20"/>
          <w:szCs w:val="20"/>
          <w:lang w:val="en-US" w:eastAsia="en-US"/>
        </w:rPr>
        <w:t xml:space="preserve">. In case of changes in the current legislative base of the Republic of Kazakhstan in the part concerning accounting issues or recommendations of the National Bank on new accounting procedure for certain banking operations, the Bank shall be guided by the current legislation or recommendations of the National Bank of the Republic of Kazakhstan. </w:t>
      </w:r>
    </w:p>
    <w:p w14:paraId="1E17A66A" w14:textId="7A35D29A" w:rsidR="00286356" w:rsidRPr="007D770B" w:rsidRDefault="00286356" w:rsidP="00E61D21">
      <w:pPr>
        <w:pStyle w:val="3"/>
        <w:rPr>
          <w:lang w:val="en-US"/>
        </w:rPr>
      </w:pPr>
      <w:bookmarkStart w:id="8" w:name="_Toc270435398"/>
      <w:bookmarkStart w:id="9" w:name="_Toc273020245"/>
      <w:bookmarkStart w:id="10" w:name="_Toc278120849"/>
      <w:bookmarkStart w:id="11" w:name="_Toc168502003"/>
      <w:r w:rsidRPr="007D770B">
        <w:rPr>
          <w:lang w:val="en-US"/>
        </w:rPr>
        <w:t>1.1 Basic Principles</w:t>
      </w:r>
      <w:bookmarkEnd w:id="8"/>
      <w:bookmarkEnd w:id="9"/>
      <w:bookmarkEnd w:id="10"/>
      <w:bookmarkEnd w:id="11"/>
    </w:p>
    <w:p w14:paraId="0C57E363" w14:textId="7C24177D" w:rsidR="00286356" w:rsidRPr="007D770B" w:rsidRDefault="00286356" w:rsidP="000662D1">
      <w:pPr>
        <w:spacing w:before="240"/>
        <w:ind w:left="0"/>
        <w:rPr>
          <w:rFonts w:ascii="Times New Roman" w:hAnsi="Times New Roman"/>
          <w:lang w:val="en-US"/>
        </w:rPr>
      </w:pPr>
      <w:r w:rsidRPr="007D770B">
        <w:rPr>
          <w:rFonts w:ascii="Times New Roman" w:hAnsi="Times New Roman"/>
          <w:lang w:val="en-US"/>
        </w:rPr>
        <w:t xml:space="preserve">The conceptual framework for the preparation and presentation of financial statements is based on the only principle underlying financial statements - the going concern basis. The conceptual framework assumes that the financial statements are prepared on the basis that the entity </w:t>
      </w:r>
      <w:r w:rsidR="00D013C4" w:rsidRPr="007D770B">
        <w:rPr>
          <w:rFonts w:ascii="Times New Roman" w:hAnsi="Times New Roman"/>
          <w:lang w:val="en-US"/>
        </w:rPr>
        <w:t xml:space="preserve">is a going concern and </w:t>
      </w:r>
      <w:r w:rsidRPr="007D770B">
        <w:rPr>
          <w:rFonts w:ascii="Times New Roman" w:hAnsi="Times New Roman"/>
          <w:lang w:val="en-US"/>
        </w:rPr>
        <w:t>will continue in operation for the foreseeable future. Consequently, it is assumed that the Bank does not intend to and does not need to liquidate or significantly curtail its operations. The financial statements of the Bank will be prepared on a different basis if such an intention or need exists and the basis applied will be disclosed. On a going concern basis, management considers all available information for the foreseeable future covering twelve months from the reporting date, but is not limited to that period.</w:t>
      </w:r>
    </w:p>
    <w:p w14:paraId="22BB0D41" w14:textId="77777777" w:rsidR="00286356" w:rsidRPr="007D770B" w:rsidRDefault="00286356" w:rsidP="000662D1">
      <w:pPr>
        <w:spacing w:before="240"/>
        <w:ind w:left="0"/>
        <w:rPr>
          <w:rFonts w:ascii="Times New Roman" w:hAnsi="Times New Roman"/>
          <w:i/>
          <w:lang w:val="en-US"/>
        </w:rPr>
      </w:pPr>
      <w:r w:rsidRPr="007D770B">
        <w:rPr>
          <w:rFonts w:ascii="Times New Roman" w:hAnsi="Times New Roman"/>
          <w:i/>
          <w:lang w:val="en-US"/>
        </w:rPr>
        <w:t>Accrual-based accounting</w:t>
      </w:r>
    </w:p>
    <w:p w14:paraId="7CF84A9B" w14:textId="77777777" w:rsidR="00286356" w:rsidRPr="007D770B" w:rsidRDefault="00286356" w:rsidP="000662D1">
      <w:pPr>
        <w:spacing w:before="240"/>
        <w:ind w:left="0"/>
        <w:rPr>
          <w:rFonts w:ascii="Times New Roman" w:hAnsi="Times New Roman"/>
          <w:b/>
          <w:lang w:val="en-US"/>
        </w:rPr>
      </w:pPr>
      <w:r w:rsidRPr="007D770B">
        <w:rPr>
          <w:rFonts w:ascii="Times New Roman" w:hAnsi="Times New Roman"/>
          <w:lang w:val="en-US"/>
        </w:rPr>
        <w:t>The Bank's financial statements are maintained on the accrual basis of accounting, except for the statement of cash flows. Under this principle, the results of transactions and other events are recognized as they occur, rather than when cash or cash equivalents are received or paid. They are recognized in the accounting records and presented in the financial statements of the periods to which they relate.</w:t>
      </w:r>
    </w:p>
    <w:p w14:paraId="5C530DE6" w14:textId="77777777" w:rsidR="00286356" w:rsidRPr="007D770B" w:rsidRDefault="00286356" w:rsidP="00E61D21">
      <w:pPr>
        <w:pStyle w:val="3"/>
        <w:rPr>
          <w:lang w:val="en-US"/>
        </w:rPr>
      </w:pPr>
      <w:bookmarkStart w:id="12" w:name="_Toc278120850"/>
      <w:bookmarkStart w:id="13" w:name="_Toc168502004"/>
      <w:bookmarkStart w:id="14" w:name="_Toc270435399"/>
      <w:bookmarkStart w:id="15" w:name="_Toc273020246"/>
      <w:r w:rsidRPr="007D770B">
        <w:rPr>
          <w:lang w:val="en-US"/>
        </w:rPr>
        <w:t>1.2 Definitions</w:t>
      </w:r>
      <w:bookmarkEnd w:id="12"/>
      <w:bookmarkEnd w:id="13"/>
    </w:p>
    <w:p w14:paraId="7949187A" w14:textId="77777777" w:rsidR="00EA606D" w:rsidRPr="007D770B" w:rsidRDefault="00EA606D" w:rsidP="00EA606D">
      <w:pPr>
        <w:pStyle w:val="aff5"/>
        <w:spacing w:before="240" w:line="240" w:lineRule="auto"/>
        <w:ind w:left="0"/>
        <w:rPr>
          <w:rFonts w:ascii="Times New Roman" w:hAnsi="Times New Roman"/>
          <w:bCs/>
          <w:lang w:val="en-US"/>
        </w:rPr>
      </w:pPr>
      <w:r w:rsidRPr="007D770B">
        <w:rPr>
          <w:rFonts w:ascii="Times New Roman" w:hAnsi="Times New Roman"/>
          <w:b/>
          <w:bCs/>
          <w:lang w:val="en-US"/>
        </w:rPr>
        <w:t xml:space="preserve">Reporting </w:t>
      </w:r>
      <w:r w:rsidRPr="007D770B">
        <w:rPr>
          <w:rFonts w:ascii="Times New Roman" w:hAnsi="Times New Roman"/>
          <w:bCs/>
          <w:lang w:val="en-US"/>
        </w:rPr>
        <w:t>currency is the currency used in presenting the financial statements.</w:t>
      </w:r>
    </w:p>
    <w:p w14:paraId="043CFE0E" w14:textId="77777777" w:rsidR="00EA606D" w:rsidRPr="007D770B" w:rsidRDefault="00EA606D" w:rsidP="00EA606D">
      <w:pPr>
        <w:pStyle w:val="aff5"/>
        <w:spacing w:before="240" w:line="240" w:lineRule="auto"/>
        <w:ind w:left="0"/>
        <w:rPr>
          <w:rFonts w:ascii="Times New Roman" w:hAnsi="Times New Roman"/>
          <w:bCs/>
          <w:lang w:val="en-US"/>
        </w:rPr>
      </w:pPr>
      <w:r w:rsidRPr="007D770B">
        <w:rPr>
          <w:rFonts w:ascii="Times New Roman" w:hAnsi="Times New Roman"/>
          <w:b/>
          <w:bCs/>
          <w:lang w:val="en-US"/>
        </w:rPr>
        <w:t xml:space="preserve">Functional currency </w:t>
      </w:r>
      <w:r w:rsidRPr="007D770B">
        <w:rPr>
          <w:rFonts w:ascii="Times New Roman" w:hAnsi="Times New Roman"/>
          <w:bCs/>
          <w:lang w:val="en-US"/>
        </w:rPr>
        <w:t xml:space="preserve">is the currency of the economic environment in which the Bank primarily operates. </w:t>
      </w:r>
    </w:p>
    <w:p w14:paraId="32EB0AC5" w14:textId="77777777" w:rsidR="00EA606D" w:rsidRPr="007D770B" w:rsidRDefault="00EA606D" w:rsidP="00EA606D">
      <w:pPr>
        <w:spacing w:before="240" w:line="240" w:lineRule="auto"/>
        <w:ind w:left="0"/>
        <w:rPr>
          <w:rFonts w:ascii="Times New Roman" w:hAnsi="Times New Roman"/>
          <w:lang w:val="en-US"/>
        </w:rPr>
      </w:pPr>
      <w:r w:rsidRPr="007D770B">
        <w:rPr>
          <w:rFonts w:ascii="Times New Roman" w:hAnsi="Times New Roman"/>
          <w:lang w:val="en-US"/>
        </w:rPr>
        <w:t>Cash - Cash includes cash on hand, current accounts and demand deposits with banks.</w:t>
      </w:r>
    </w:p>
    <w:p w14:paraId="7E08FD6E" w14:textId="77777777" w:rsidR="00EA606D" w:rsidRPr="007D770B" w:rsidRDefault="00EA606D" w:rsidP="00EA606D">
      <w:pPr>
        <w:spacing w:before="240" w:line="240" w:lineRule="auto"/>
        <w:ind w:left="0"/>
        <w:rPr>
          <w:rFonts w:ascii="Times New Roman" w:hAnsi="Times New Roman"/>
          <w:lang w:val="en-US"/>
        </w:rPr>
      </w:pPr>
      <w:r w:rsidRPr="007D770B">
        <w:rPr>
          <w:rFonts w:ascii="Times New Roman" w:hAnsi="Times New Roman"/>
          <w:b/>
          <w:lang w:val="en-US"/>
        </w:rPr>
        <w:lastRenderedPageBreak/>
        <w:t xml:space="preserve">Cash equivalent </w:t>
      </w:r>
      <w:r w:rsidRPr="007D770B">
        <w:rPr>
          <w:rFonts w:ascii="Times New Roman" w:hAnsi="Times New Roman"/>
          <w:lang w:val="en-US"/>
        </w:rPr>
        <w:t>- short-term, highly liquid investments that are readily convertible to known amounts of cash and which are subject to an insignificant risk of changes in value, with original maturities of less than three months.</w:t>
      </w:r>
    </w:p>
    <w:p w14:paraId="39EF6B4F" w14:textId="77777777" w:rsidR="00EA606D" w:rsidRPr="007D770B" w:rsidRDefault="00EA606D" w:rsidP="00EA606D">
      <w:pPr>
        <w:spacing w:before="240" w:line="240" w:lineRule="auto"/>
        <w:ind w:left="0"/>
        <w:rPr>
          <w:rFonts w:ascii="Times New Roman" w:hAnsi="Times New Roman"/>
          <w:lang w:val="en-US"/>
        </w:rPr>
      </w:pPr>
      <w:r w:rsidRPr="007D770B">
        <w:rPr>
          <w:rFonts w:ascii="Times New Roman" w:hAnsi="Times New Roman"/>
          <w:b/>
          <w:lang w:val="en-US"/>
        </w:rPr>
        <w:t xml:space="preserve">Cash flows </w:t>
      </w:r>
      <w:r w:rsidRPr="007D770B">
        <w:rPr>
          <w:rFonts w:ascii="Times New Roman" w:hAnsi="Times New Roman"/>
          <w:lang w:val="en-US"/>
        </w:rPr>
        <w:t>- receipts and payments of cash and cash equivalents.</w:t>
      </w:r>
    </w:p>
    <w:p w14:paraId="30F48367" w14:textId="77777777" w:rsidR="00EA606D" w:rsidRPr="007D770B" w:rsidRDefault="00EA606D" w:rsidP="00EA606D">
      <w:pPr>
        <w:spacing w:before="240" w:line="240" w:lineRule="auto"/>
        <w:ind w:left="0"/>
        <w:rPr>
          <w:rFonts w:ascii="Times New Roman" w:hAnsi="Times New Roman"/>
          <w:lang w:val="en-US"/>
        </w:rPr>
      </w:pPr>
      <w:r w:rsidRPr="007D770B">
        <w:rPr>
          <w:rFonts w:ascii="Times New Roman" w:hAnsi="Times New Roman"/>
          <w:b/>
          <w:lang w:val="en-US"/>
        </w:rPr>
        <w:t xml:space="preserve">Operating activities </w:t>
      </w:r>
      <w:r w:rsidRPr="007D770B">
        <w:rPr>
          <w:rFonts w:ascii="Times New Roman" w:hAnsi="Times New Roman"/>
          <w:lang w:val="en-US"/>
        </w:rPr>
        <w:t xml:space="preserve">are the </w:t>
      </w:r>
      <w:r w:rsidR="00E65384" w:rsidRPr="007D770B">
        <w:rPr>
          <w:rFonts w:ascii="Times New Roman" w:hAnsi="Times New Roman"/>
          <w:lang w:val="en-US"/>
        </w:rPr>
        <w:t xml:space="preserve">Bank's </w:t>
      </w:r>
      <w:r w:rsidRPr="007D770B">
        <w:rPr>
          <w:rFonts w:ascii="Times New Roman" w:hAnsi="Times New Roman"/>
          <w:lang w:val="en-US"/>
        </w:rPr>
        <w:t>principal revenue-generating activities and other activities that are distinct from financing activities.</w:t>
      </w:r>
    </w:p>
    <w:p w14:paraId="2F61C7C2" w14:textId="77777777" w:rsidR="00EA606D" w:rsidRPr="007D770B" w:rsidRDefault="00EA606D" w:rsidP="00EA606D">
      <w:pPr>
        <w:spacing w:before="240" w:line="240" w:lineRule="auto"/>
        <w:ind w:left="0"/>
        <w:rPr>
          <w:rFonts w:ascii="Times New Roman" w:hAnsi="Times New Roman"/>
          <w:lang w:val="en-US"/>
        </w:rPr>
      </w:pPr>
      <w:r w:rsidRPr="007D770B">
        <w:rPr>
          <w:rFonts w:ascii="Times New Roman" w:hAnsi="Times New Roman"/>
          <w:b/>
          <w:lang w:val="en-US"/>
        </w:rPr>
        <w:t xml:space="preserve">Financing </w:t>
      </w:r>
      <w:r w:rsidRPr="007D770B">
        <w:rPr>
          <w:rFonts w:ascii="Times New Roman" w:hAnsi="Times New Roman"/>
          <w:lang w:val="en-US"/>
        </w:rPr>
        <w:t xml:space="preserve">activities are activities that result in changes in the amount and composition of the </w:t>
      </w:r>
      <w:r w:rsidR="00E65384" w:rsidRPr="007D770B">
        <w:rPr>
          <w:rFonts w:ascii="Times New Roman" w:hAnsi="Times New Roman"/>
          <w:lang w:val="en-US"/>
        </w:rPr>
        <w:t xml:space="preserve">Bank's </w:t>
      </w:r>
      <w:r w:rsidRPr="007D770B">
        <w:rPr>
          <w:rFonts w:ascii="Times New Roman" w:hAnsi="Times New Roman"/>
          <w:lang w:val="en-US"/>
        </w:rPr>
        <w:t>capital and borrowings.</w:t>
      </w:r>
    </w:p>
    <w:p w14:paraId="55391FF0" w14:textId="6FD6FB24" w:rsidR="00286356" w:rsidRPr="007D770B" w:rsidRDefault="00286356" w:rsidP="00E61D21">
      <w:pPr>
        <w:pStyle w:val="3"/>
        <w:rPr>
          <w:lang w:val="en-US"/>
        </w:rPr>
      </w:pPr>
      <w:bookmarkStart w:id="16" w:name="_Toc278120851"/>
      <w:bookmarkStart w:id="17" w:name="_Toc168502005"/>
      <w:r w:rsidRPr="007D770B">
        <w:rPr>
          <w:lang w:val="en-US"/>
        </w:rPr>
        <w:t>1.3 Qualitative characteristics of financial statements</w:t>
      </w:r>
      <w:bookmarkEnd w:id="14"/>
      <w:bookmarkEnd w:id="15"/>
      <w:bookmarkEnd w:id="16"/>
      <w:bookmarkEnd w:id="17"/>
    </w:p>
    <w:p w14:paraId="0B8B1873" w14:textId="77777777" w:rsidR="00286356" w:rsidRPr="007D770B" w:rsidRDefault="00286356" w:rsidP="007D1BEB">
      <w:pPr>
        <w:spacing w:before="240"/>
        <w:ind w:left="0"/>
        <w:rPr>
          <w:rFonts w:ascii="Times New Roman" w:hAnsi="Times New Roman"/>
          <w:b/>
          <w:lang w:val="en-US"/>
        </w:rPr>
      </w:pPr>
      <w:r w:rsidRPr="007D770B">
        <w:rPr>
          <w:rFonts w:ascii="Times New Roman" w:hAnsi="Times New Roman"/>
          <w:b/>
          <w:lang w:val="en-US"/>
        </w:rPr>
        <w:t>Key qualitative characteristics of financial statements</w:t>
      </w:r>
    </w:p>
    <w:p w14:paraId="7235BA95" w14:textId="77777777" w:rsidR="00286356" w:rsidRPr="007D770B" w:rsidRDefault="00286356" w:rsidP="007D1BEB">
      <w:pPr>
        <w:spacing w:before="240"/>
        <w:ind w:left="0"/>
        <w:rPr>
          <w:rFonts w:ascii="Times New Roman" w:hAnsi="Times New Roman"/>
          <w:lang w:val="en-US"/>
        </w:rPr>
      </w:pPr>
      <w:r w:rsidRPr="007D770B">
        <w:rPr>
          <w:rFonts w:ascii="Times New Roman" w:hAnsi="Times New Roman"/>
          <w:lang w:val="en-US"/>
        </w:rPr>
        <w:t>Qualitative characteristics of financial statements are attributes that make the information presented in the financial statements useful to users. The main qualitative characteristics are relevance and fair presentation.</w:t>
      </w:r>
    </w:p>
    <w:p w14:paraId="1243D8EC" w14:textId="77777777" w:rsidR="00286356" w:rsidRPr="007D770B" w:rsidRDefault="00286356" w:rsidP="007D1BEB">
      <w:pPr>
        <w:spacing w:before="240"/>
        <w:ind w:left="0"/>
        <w:rPr>
          <w:rFonts w:ascii="Times New Roman" w:hAnsi="Times New Roman"/>
          <w:lang w:val="en-US"/>
        </w:rPr>
      </w:pPr>
      <w:r w:rsidRPr="007D770B">
        <w:rPr>
          <w:rFonts w:ascii="Times New Roman" w:hAnsi="Times New Roman"/>
          <w:lang w:val="en-US"/>
        </w:rPr>
        <w:t>The most productive and efficient process for applying fundamental quality characteristics is usually as follows (subject to the influence of quality improvement characteristics and cost constraints:</w:t>
      </w:r>
    </w:p>
    <w:p w14:paraId="4FE593B3" w14:textId="77777777" w:rsidR="00286356" w:rsidRPr="007D770B" w:rsidRDefault="00286356" w:rsidP="00AE698A">
      <w:pPr>
        <w:numPr>
          <w:ilvl w:val="0"/>
          <w:numId w:val="148"/>
        </w:numPr>
        <w:spacing w:before="240" w:line="240" w:lineRule="auto"/>
        <w:ind w:left="720"/>
        <w:rPr>
          <w:rFonts w:ascii="Times New Roman" w:hAnsi="Times New Roman"/>
          <w:lang w:val="en-US"/>
        </w:rPr>
      </w:pPr>
      <w:r w:rsidRPr="007D770B">
        <w:rPr>
          <w:rFonts w:ascii="Times New Roman" w:hAnsi="Times New Roman"/>
          <w:lang w:val="en-US"/>
        </w:rPr>
        <w:t>first, an economic phenomenon that is potentially useful to users of the Bank's financial information as a reporting entity should be identified;</w:t>
      </w:r>
    </w:p>
    <w:p w14:paraId="35601C2F" w14:textId="77777777" w:rsidR="00286356" w:rsidRPr="007D770B" w:rsidRDefault="00286356" w:rsidP="00AE698A">
      <w:pPr>
        <w:numPr>
          <w:ilvl w:val="0"/>
          <w:numId w:val="148"/>
        </w:numPr>
        <w:spacing w:before="240" w:line="240" w:lineRule="auto"/>
        <w:ind w:left="720"/>
        <w:rPr>
          <w:rFonts w:ascii="Times New Roman" w:hAnsi="Times New Roman"/>
          <w:lang w:val="en-US"/>
        </w:rPr>
      </w:pPr>
      <w:r w:rsidRPr="007D770B">
        <w:rPr>
          <w:rFonts w:ascii="Times New Roman" w:hAnsi="Times New Roman"/>
          <w:lang w:val="en-US"/>
        </w:rPr>
        <w:t>Second, the type of information on the phenomenon that will be most relevant, if it is available and can be reliably provided, should be identified;</w:t>
      </w:r>
    </w:p>
    <w:p w14:paraId="43260EF7" w14:textId="77777777" w:rsidR="00286356" w:rsidRPr="007D770B" w:rsidRDefault="00286356" w:rsidP="00AE698A">
      <w:pPr>
        <w:numPr>
          <w:ilvl w:val="0"/>
          <w:numId w:val="148"/>
        </w:numPr>
        <w:spacing w:before="240" w:line="240" w:lineRule="auto"/>
        <w:ind w:left="720"/>
        <w:rPr>
          <w:rFonts w:ascii="Times New Roman" w:hAnsi="Times New Roman"/>
          <w:lang w:val="en-US"/>
        </w:rPr>
      </w:pPr>
      <w:r w:rsidRPr="007D770B">
        <w:rPr>
          <w:rFonts w:ascii="Times New Roman" w:hAnsi="Times New Roman"/>
          <w:lang w:val="en-US"/>
        </w:rPr>
        <w:t>Third, it should be determined whether such information is available and can be reliably provided. If it is, the process of meeting the fundamental quality characteristics ends at this stage.  If not, the process is repeated by considering the next most relevant type of information.</w:t>
      </w:r>
    </w:p>
    <w:p w14:paraId="2618F60B" w14:textId="77777777" w:rsidR="00286356" w:rsidRPr="007D770B" w:rsidRDefault="00286356" w:rsidP="007D1BEB">
      <w:pPr>
        <w:spacing w:before="240"/>
        <w:ind w:left="0"/>
        <w:rPr>
          <w:rFonts w:ascii="Times New Roman" w:hAnsi="Times New Roman"/>
          <w:lang w:val="en-US"/>
        </w:rPr>
      </w:pPr>
      <w:r w:rsidRPr="007D770B">
        <w:rPr>
          <w:rFonts w:ascii="Times New Roman" w:hAnsi="Times New Roman"/>
          <w:lang w:val="en-US"/>
        </w:rPr>
        <w:t>Separately, the concepts of capital and capital maintenance are highlighted below.</w:t>
      </w:r>
    </w:p>
    <w:p w14:paraId="26A3D572" w14:textId="77777777" w:rsidR="00286356" w:rsidRPr="007D770B" w:rsidRDefault="00286356" w:rsidP="007D1BEB">
      <w:pPr>
        <w:spacing w:before="240"/>
        <w:ind w:left="0"/>
        <w:rPr>
          <w:rFonts w:ascii="Times New Roman" w:hAnsi="Times New Roman"/>
          <w:lang w:val="en-US"/>
        </w:rPr>
      </w:pPr>
      <w:r w:rsidRPr="007D770B">
        <w:rPr>
          <w:rFonts w:ascii="Times New Roman" w:hAnsi="Times New Roman"/>
          <w:lang w:val="en-US"/>
        </w:rPr>
        <w:t>The fundamental characteristics of financial information are - relevance and fair presentation.</w:t>
      </w:r>
    </w:p>
    <w:p w14:paraId="76403AE5" w14:textId="77777777" w:rsidR="00286356" w:rsidRPr="007D770B" w:rsidRDefault="00286356" w:rsidP="007D1BEB">
      <w:pPr>
        <w:spacing w:before="240"/>
        <w:ind w:left="0"/>
        <w:rPr>
          <w:rFonts w:ascii="Times New Roman" w:hAnsi="Times New Roman"/>
          <w:lang w:val="en-US"/>
        </w:rPr>
      </w:pPr>
      <w:r w:rsidRPr="007D770B">
        <w:rPr>
          <w:rFonts w:ascii="Times New Roman" w:hAnsi="Times New Roman"/>
          <w:b/>
          <w:lang w:val="en-US"/>
        </w:rPr>
        <w:t>Relevance</w:t>
      </w:r>
      <w:r w:rsidRPr="007D770B">
        <w:rPr>
          <w:rFonts w:ascii="Times New Roman" w:hAnsi="Times New Roman"/>
          <w:lang w:val="en-US"/>
        </w:rPr>
        <w:t>. To be useful, information must be relevant to users making decisions. Information is relevant when it influences users' economic decisions by helping them to evaluate past, present and future events and to confirm or correct their past estimates.</w:t>
      </w:r>
    </w:p>
    <w:p w14:paraId="19206425" w14:textId="77777777" w:rsidR="00286356" w:rsidRPr="007D770B" w:rsidRDefault="00286356" w:rsidP="007D1BEB">
      <w:pPr>
        <w:spacing w:before="240"/>
        <w:ind w:left="0"/>
        <w:rPr>
          <w:rFonts w:ascii="Times New Roman" w:hAnsi="Times New Roman"/>
          <w:lang w:val="en-US"/>
        </w:rPr>
      </w:pPr>
      <w:r w:rsidRPr="007D770B">
        <w:rPr>
          <w:rFonts w:ascii="Times New Roman" w:hAnsi="Times New Roman"/>
          <w:lang w:val="en-US"/>
        </w:rPr>
        <w:t>Relevant financial information can influence decisions made by users.  Information can influence decision-making even if some users choose not to use it or are already aware of it from other sources.</w:t>
      </w:r>
    </w:p>
    <w:p w14:paraId="0AAEAA26" w14:textId="77777777" w:rsidR="00286356" w:rsidRPr="007D770B" w:rsidRDefault="00286356" w:rsidP="007D1BEB">
      <w:pPr>
        <w:spacing w:before="240"/>
        <w:ind w:left="0"/>
        <w:rPr>
          <w:rFonts w:ascii="Times New Roman" w:hAnsi="Times New Roman"/>
          <w:lang w:val="en-US"/>
        </w:rPr>
      </w:pPr>
      <w:r w:rsidRPr="007D770B">
        <w:rPr>
          <w:rFonts w:ascii="Times New Roman" w:hAnsi="Times New Roman"/>
          <w:lang w:val="en-US"/>
        </w:rPr>
        <w:t>The appropriateness of information is influenced by its:</w:t>
      </w:r>
    </w:p>
    <w:p w14:paraId="69C22AF3" w14:textId="77777777" w:rsidR="00286356" w:rsidRPr="007D770B" w:rsidRDefault="00286356" w:rsidP="00AE698A">
      <w:pPr>
        <w:numPr>
          <w:ilvl w:val="0"/>
          <w:numId w:val="149"/>
        </w:numPr>
        <w:spacing w:before="240" w:line="240" w:lineRule="auto"/>
        <w:ind w:left="720"/>
        <w:rPr>
          <w:rFonts w:ascii="Times New Roman" w:hAnsi="Times New Roman"/>
          <w:lang w:val="en-US"/>
        </w:rPr>
      </w:pPr>
      <w:r w:rsidRPr="007D770B">
        <w:rPr>
          <w:rFonts w:ascii="Times New Roman" w:hAnsi="Times New Roman"/>
          <w:lang w:val="en-US"/>
        </w:rPr>
        <w:t>character, sometimes the character itself predetermines its significance;</w:t>
      </w:r>
    </w:p>
    <w:p w14:paraId="58F6A07D" w14:textId="77777777" w:rsidR="00286356" w:rsidRPr="007D1BEB" w:rsidRDefault="00286356" w:rsidP="00AE698A">
      <w:pPr>
        <w:numPr>
          <w:ilvl w:val="0"/>
          <w:numId w:val="149"/>
        </w:numPr>
        <w:spacing w:before="240" w:line="240" w:lineRule="auto"/>
        <w:ind w:left="720"/>
        <w:rPr>
          <w:rFonts w:ascii="Times New Roman" w:hAnsi="Times New Roman"/>
        </w:rPr>
      </w:pPr>
      <w:r w:rsidRPr="007D1BEB">
        <w:rPr>
          <w:rFonts w:ascii="Times New Roman" w:hAnsi="Times New Roman"/>
        </w:rPr>
        <w:t>materiality.</w:t>
      </w:r>
    </w:p>
    <w:p w14:paraId="0877D10D" w14:textId="45592CDA" w:rsidR="00286356" w:rsidRPr="007D770B" w:rsidRDefault="00286356" w:rsidP="007D1BEB">
      <w:pPr>
        <w:spacing w:before="240"/>
        <w:ind w:left="0"/>
        <w:rPr>
          <w:rFonts w:ascii="Times New Roman" w:hAnsi="Times New Roman"/>
          <w:lang w:val="en-US"/>
        </w:rPr>
      </w:pPr>
      <w:r w:rsidRPr="007D770B">
        <w:rPr>
          <w:rFonts w:ascii="Times New Roman" w:hAnsi="Times New Roman"/>
          <w:lang w:val="en-US"/>
        </w:rPr>
        <w:t xml:space="preserve">Information is considered material if its omission or misstatement could affect the decisions users make on the basis of the financial statements in relation to a particular reporting entity. In other words, materiality is an aspect of significance specific to the Bank and each individual subsidiary based on the nature or </w:t>
      </w:r>
      <w:r w:rsidR="00EB4C4A" w:rsidRPr="007D770B">
        <w:rPr>
          <w:rFonts w:ascii="Times New Roman" w:hAnsi="Times New Roman"/>
          <w:lang w:val="en-US"/>
        </w:rPr>
        <w:t xml:space="preserve">size, </w:t>
      </w:r>
      <w:r w:rsidRPr="007D770B">
        <w:rPr>
          <w:rFonts w:ascii="Times New Roman" w:hAnsi="Times New Roman"/>
          <w:lang w:val="en-US"/>
        </w:rPr>
        <w:t>or both, of the items to which the information relates in the context of the Bank's financial statements.</w:t>
      </w:r>
    </w:p>
    <w:p w14:paraId="779B99F0" w14:textId="77777777" w:rsidR="00286356" w:rsidRPr="007D770B" w:rsidRDefault="00286356" w:rsidP="007D1BEB">
      <w:pPr>
        <w:spacing w:before="240"/>
        <w:ind w:left="0"/>
        <w:rPr>
          <w:rFonts w:ascii="Times New Roman" w:hAnsi="Times New Roman"/>
          <w:lang w:val="en-US"/>
        </w:rPr>
      </w:pPr>
      <w:bookmarkStart w:id="18" w:name="OLE_LINK25"/>
      <w:bookmarkStart w:id="19" w:name="OLE_LINK26"/>
      <w:r w:rsidRPr="007D770B">
        <w:rPr>
          <w:rFonts w:ascii="Times New Roman" w:hAnsi="Times New Roman"/>
          <w:b/>
          <w:lang w:val="en-US"/>
        </w:rPr>
        <w:t>Reliable representation</w:t>
      </w:r>
      <w:bookmarkEnd w:id="18"/>
      <w:bookmarkEnd w:id="19"/>
      <w:r w:rsidRPr="007D770B">
        <w:rPr>
          <w:rFonts w:ascii="Times New Roman" w:hAnsi="Times New Roman"/>
          <w:lang w:val="en-US"/>
        </w:rPr>
        <w:t xml:space="preserve"> . To be reliable, the information must fairly present the transactions and other events that have occurred or are expected to occur in the future. Thus, for example, a statement of financial position must present fairly the transactions and other events that resulted in assets, liabilities and equity at the reporting date that meet the recognition criteria.</w:t>
      </w:r>
    </w:p>
    <w:p w14:paraId="276D9190" w14:textId="77777777" w:rsidR="00286356" w:rsidRPr="007D770B" w:rsidRDefault="00286356" w:rsidP="007D1BEB">
      <w:pPr>
        <w:spacing w:before="240"/>
        <w:ind w:left="0"/>
        <w:rPr>
          <w:rFonts w:ascii="Times New Roman" w:hAnsi="Times New Roman"/>
          <w:lang w:val="en-US"/>
        </w:rPr>
      </w:pPr>
      <w:r w:rsidRPr="007D770B">
        <w:rPr>
          <w:rFonts w:ascii="Times New Roman" w:hAnsi="Times New Roman"/>
          <w:lang w:val="en-US"/>
        </w:rPr>
        <w:t xml:space="preserve">There may be a risk of misreporting. This does not mean deliberate misreporting, but rather the result of difficulties encountered either in identifying transactions and other events to measure or in developing and applying methods of measurement and presentation. </w:t>
      </w:r>
    </w:p>
    <w:p w14:paraId="31760114" w14:textId="77777777" w:rsidR="007D1BEB" w:rsidRPr="007D770B" w:rsidRDefault="00286356" w:rsidP="007D1BEB">
      <w:pPr>
        <w:spacing w:before="240"/>
        <w:ind w:left="0"/>
        <w:rPr>
          <w:rFonts w:ascii="Times New Roman" w:hAnsi="Times New Roman"/>
          <w:lang w:val="en-US"/>
        </w:rPr>
      </w:pPr>
      <w:r w:rsidRPr="007D770B">
        <w:rPr>
          <w:rFonts w:ascii="Times New Roman" w:hAnsi="Times New Roman"/>
          <w:lang w:val="en-US"/>
        </w:rPr>
        <w:lastRenderedPageBreak/>
        <w:t xml:space="preserve">In certain cases, the measurement of the financial impact of transactions and other events may be so uncertain that the Bank as a whole does not recognize them in its financial statements. </w:t>
      </w:r>
    </w:p>
    <w:p w14:paraId="171425D9" w14:textId="77777777" w:rsidR="00286356" w:rsidRPr="007D770B" w:rsidRDefault="00286356" w:rsidP="007D1BEB">
      <w:pPr>
        <w:spacing w:before="240"/>
        <w:ind w:left="0"/>
        <w:rPr>
          <w:rFonts w:ascii="Times New Roman" w:hAnsi="Times New Roman"/>
          <w:lang w:val="en-US"/>
        </w:rPr>
      </w:pPr>
      <w:r w:rsidRPr="007D770B">
        <w:rPr>
          <w:rFonts w:ascii="Times New Roman" w:hAnsi="Times New Roman"/>
          <w:lang w:val="en-US"/>
        </w:rPr>
        <w:t>For a perfectly valid representation, a description must have three characteristics.  It must be error-free, neutral and complete.</w:t>
      </w:r>
    </w:p>
    <w:p w14:paraId="7AFCB78A" w14:textId="091A7460" w:rsidR="007D1BEB" w:rsidRPr="007D770B" w:rsidRDefault="007D1BEB" w:rsidP="007D1BEB">
      <w:pPr>
        <w:spacing w:before="240" w:line="240" w:lineRule="auto"/>
        <w:ind w:left="0"/>
        <w:rPr>
          <w:rFonts w:ascii="Times New Roman" w:hAnsi="Times New Roman"/>
          <w:lang w:val="en-US"/>
        </w:rPr>
      </w:pPr>
      <w:r w:rsidRPr="007D770B">
        <w:rPr>
          <w:rFonts w:ascii="Times New Roman" w:hAnsi="Times New Roman"/>
          <w:lang w:val="en-US"/>
        </w:rPr>
        <w:t xml:space="preserve">There may be a risk of misreporting. This does not mean intentional misstatement, but rather the result of difficulties encountered either in identifying transactions and other events for measurement or in developing and applying measurement and presentation techniques. In certain cases, the measurement of the financial impact of transactions and other events may be so uncertain that the </w:t>
      </w:r>
      <w:r w:rsidR="00C04E96" w:rsidRPr="007D770B">
        <w:rPr>
          <w:rFonts w:ascii="Times New Roman" w:hAnsi="Times New Roman"/>
          <w:lang w:val="en-US"/>
        </w:rPr>
        <w:t xml:space="preserve">Bank as </w:t>
      </w:r>
      <w:r w:rsidRPr="007D770B">
        <w:rPr>
          <w:rFonts w:ascii="Times New Roman" w:hAnsi="Times New Roman"/>
          <w:lang w:val="en-US"/>
        </w:rPr>
        <w:t>a whole does not recognize them in its financial statements.</w:t>
      </w:r>
    </w:p>
    <w:p w14:paraId="4C1A34CC" w14:textId="77777777" w:rsidR="007D1BEB" w:rsidRPr="007D770B" w:rsidRDefault="007D1BEB" w:rsidP="007D1BEB">
      <w:pPr>
        <w:spacing w:before="240" w:line="240" w:lineRule="auto"/>
        <w:ind w:left="0"/>
        <w:rPr>
          <w:rFonts w:ascii="Times New Roman" w:hAnsi="Times New Roman"/>
          <w:b/>
          <w:lang w:val="en-US"/>
        </w:rPr>
      </w:pPr>
      <w:r w:rsidRPr="007D770B">
        <w:rPr>
          <w:rFonts w:ascii="Times New Roman" w:hAnsi="Times New Roman"/>
          <w:lang w:val="en-US"/>
        </w:rPr>
        <w:t xml:space="preserve">For a perfectly valid representation, a description must have three characteristics.  It must be </w:t>
      </w:r>
      <w:r w:rsidRPr="007D770B">
        <w:rPr>
          <w:rFonts w:ascii="Times New Roman" w:hAnsi="Times New Roman"/>
          <w:i/>
          <w:lang w:val="en-US"/>
        </w:rPr>
        <w:t>error-free, neutral and complete.</w:t>
      </w:r>
    </w:p>
    <w:p w14:paraId="24686621" w14:textId="69342C8C" w:rsidR="00286356" w:rsidRPr="007D770B" w:rsidRDefault="00286356" w:rsidP="007D1BEB">
      <w:pPr>
        <w:spacing w:before="240"/>
        <w:ind w:left="0"/>
        <w:rPr>
          <w:rFonts w:ascii="Times New Roman" w:hAnsi="Times New Roman"/>
          <w:lang w:val="en-US"/>
        </w:rPr>
      </w:pPr>
      <w:r w:rsidRPr="007D770B">
        <w:rPr>
          <w:rFonts w:ascii="Times New Roman" w:hAnsi="Times New Roman"/>
          <w:b/>
          <w:lang w:val="en-US"/>
        </w:rPr>
        <w:t>Infallibility.</w:t>
      </w:r>
      <w:r w:rsidRPr="007D770B">
        <w:rPr>
          <w:rFonts w:ascii="Times New Roman" w:hAnsi="Times New Roman"/>
          <w:lang w:val="en-US"/>
        </w:rPr>
        <w:t xml:space="preserve"> A reliable representation does not mean accurate in all respects.  Accuracy means that there are no errors or omissions in the description of phenomena, and that the process used to produce the reported information is selected and applied without error.  In this context, </w:t>
      </w:r>
      <w:r w:rsidR="00802136" w:rsidRPr="007D770B">
        <w:rPr>
          <w:rFonts w:ascii="Times New Roman" w:hAnsi="Times New Roman"/>
          <w:lang w:val="en-US"/>
        </w:rPr>
        <w:t>"</w:t>
      </w:r>
      <w:r w:rsidRPr="007D770B">
        <w:rPr>
          <w:rFonts w:ascii="Times New Roman" w:hAnsi="Times New Roman"/>
          <w:lang w:val="en-US"/>
        </w:rPr>
        <w:t>error-free</w:t>
      </w:r>
      <w:r w:rsidR="00802136" w:rsidRPr="007D770B">
        <w:rPr>
          <w:rFonts w:ascii="Times New Roman" w:hAnsi="Times New Roman"/>
          <w:lang w:val="en-US"/>
        </w:rPr>
        <w:t xml:space="preserve">" </w:t>
      </w:r>
      <w:r w:rsidRPr="007D770B">
        <w:rPr>
          <w:rFonts w:ascii="Times New Roman" w:hAnsi="Times New Roman"/>
          <w:lang w:val="en-US"/>
        </w:rPr>
        <w:t>does not mean perfectly accurate in all respects.  For example, an estimate of an unobservable price or value in the market cannot be determined to be accurate or imprecise.  However, the presentation of such an estimate will be reliable if the amount is clearly and accurately stated as an estimate, the nature and limitations of the estimation process are explained, and no errors are made in the selection and application of the appropriate estimation development process.</w:t>
      </w:r>
    </w:p>
    <w:p w14:paraId="5422C8AB" w14:textId="2F156224" w:rsidR="00286356" w:rsidRPr="007D770B" w:rsidRDefault="00286356" w:rsidP="007D1BEB">
      <w:pPr>
        <w:spacing w:before="240"/>
        <w:ind w:left="0"/>
        <w:rPr>
          <w:rFonts w:ascii="Times New Roman" w:hAnsi="Times New Roman"/>
          <w:lang w:val="en-US"/>
        </w:rPr>
      </w:pPr>
      <w:r w:rsidRPr="007D770B">
        <w:rPr>
          <w:rFonts w:ascii="Times New Roman" w:hAnsi="Times New Roman"/>
          <w:b/>
          <w:lang w:val="en-US"/>
        </w:rPr>
        <w:t>Neutrality.</w:t>
      </w:r>
      <w:r w:rsidRPr="007D770B">
        <w:rPr>
          <w:rFonts w:ascii="Times New Roman" w:hAnsi="Times New Roman"/>
          <w:lang w:val="en-US"/>
        </w:rPr>
        <w:t xml:space="preserve"> A neutral description is objective in selecting or presenting financial information.  A neutral description is not one-sided and narrow</w:t>
      </w:r>
      <w:r w:rsidR="00EB4C4A" w:rsidRPr="007D770B">
        <w:rPr>
          <w:rFonts w:ascii="Times New Roman" w:hAnsi="Times New Roman"/>
          <w:lang w:val="en-US"/>
        </w:rPr>
        <w:t>,</w:t>
      </w:r>
      <w:r w:rsidRPr="007D770B">
        <w:rPr>
          <w:rFonts w:ascii="Times New Roman" w:hAnsi="Times New Roman"/>
          <w:lang w:val="en-US"/>
        </w:rPr>
        <w:t xml:space="preserve"> laden, diminished or manipulated to increase the likelihood that users' perceptions of financial information will be favorable or </w:t>
      </w:r>
      <w:r w:rsidR="00091A37" w:rsidRPr="007D770B">
        <w:rPr>
          <w:rFonts w:ascii="Times New Roman" w:hAnsi="Times New Roman"/>
          <w:lang w:val="en-US"/>
        </w:rPr>
        <w:t>unfavorable</w:t>
      </w:r>
      <w:r w:rsidRPr="007D770B">
        <w:rPr>
          <w:rFonts w:ascii="Times New Roman" w:hAnsi="Times New Roman"/>
          <w:lang w:val="en-US"/>
        </w:rPr>
        <w:t>.  Neutral information does not mean purposeless information that has no influence on behavior.  On the contrary, meaningful financial information is, by definition, capable of influencing users' decisions.</w:t>
      </w:r>
    </w:p>
    <w:p w14:paraId="5579294D" w14:textId="77777777" w:rsidR="00286356" w:rsidRPr="007D770B" w:rsidRDefault="00286356" w:rsidP="007D1BEB">
      <w:pPr>
        <w:spacing w:before="240"/>
        <w:ind w:left="0"/>
        <w:rPr>
          <w:rFonts w:ascii="Times New Roman" w:hAnsi="Times New Roman"/>
          <w:lang w:val="en-US"/>
        </w:rPr>
      </w:pPr>
      <w:r w:rsidRPr="007D770B">
        <w:rPr>
          <w:rFonts w:ascii="Times New Roman" w:hAnsi="Times New Roman"/>
          <w:b/>
          <w:lang w:val="en-US"/>
        </w:rPr>
        <w:t>Completeness.</w:t>
      </w:r>
      <w:r w:rsidRPr="007D770B">
        <w:rPr>
          <w:rFonts w:ascii="Times New Roman" w:hAnsi="Times New Roman"/>
          <w:lang w:val="en-US"/>
        </w:rPr>
        <w:t xml:space="preserve"> A complete description includes all information necessary for the user to understand the phenomena being described, including all necessary descriptions and explanations.  For example, a complete description of a group of assets should include, at a minimum, a description of the nature of the assets of the group, a numerical description of all assets of the group, and a description of what the numerical description represents (e.g., historical cost, adjusted cost, or fair value).  For some items, a complete description may also involve an explanation of the material facts about the quality and nature of the items, the factors and circumstances that may affect their quality and nature, and the process used to determine the numerical description.</w:t>
      </w:r>
    </w:p>
    <w:p w14:paraId="24325F5E" w14:textId="77777777" w:rsidR="00286356" w:rsidRPr="007D770B" w:rsidRDefault="00286356" w:rsidP="007D1BEB">
      <w:pPr>
        <w:spacing w:before="240"/>
        <w:ind w:left="0"/>
        <w:rPr>
          <w:rFonts w:ascii="Times New Roman" w:hAnsi="Times New Roman"/>
          <w:lang w:val="en-US"/>
        </w:rPr>
      </w:pPr>
      <w:r w:rsidRPr="007D770B">
        <w:rPr>
          <w:rFonts w:ascii="Times New Roman" w:hAnsi="Times New Roman"/>
          <w:i/>
          <w:lang w:val="en-US"/>
        </w:rPr>
        <w:t xml:space="preserve">Understandability, comparability, timeliness, and reconcilability </w:t>
      </w:r>
      <w:r w:rsidRPr="007D770B">
        <w:rPr>
          <w:rFonts w:ascii="Times New Roman" w:hAnsi="Times New Roman"/>
          <w:lang w:val="en-US"/>
        </w:rPr>
        <w:t>are quality characteristics that reinforce the usefulness of meaningful and credibly presented information.</w:t>
      </w:r>
    </w:p>
    <w:p w14:paraId="3B815E4F" w14:textId="77777777" w:rsidR="00286356" w:rsidRPr="007D770B" w:rsidRDefault="00286356" w:rsidP="007D1BEB">
      <w:pPr>
        <w:spacing w:before="240"/>
        <w:ind w:left="0"/>
        <w:rPr>
          <w:rFonts w:ascii="Times New Roman" w:hAnsi="Times New Roman"/>
          <w:lang w:val="en-US"/>
        </w:rPr>
      </w:pPr>
      <w:r w:rsidRPr="007D770B">
        <w:rPr>
          <w:rFonts w:ascii="Times New Roman" w:hAnsi="Times New Roman"/>
          <w:b/>
          <w:lang w:val="en-US"/>
        </w:rPr>
        <w:t>Comprehensibility.</w:t>
      </w:r>
      <w:r w:rsidRPr="007D770B">
        <w:rPr>
          <w:rFonts w:ascii="Times New Roman" w:hAnsi="Times New Roman"/>
          <w:lang w:val="en-US"/>
        </w:rPr>
        <w:t xml:space="preserve"> Information in the financial statements should be understandable and accessible to users. Users must have sufficient knowledge of business and economic activities and accounting. Users must be able to answer complex questions correctly in order to make good economic decisions, and these questions cannot be excluded simply because they may be too complex for certain users to understand.</w:t>
      </w:r>
    </w:p>
    <w:p w14:paraId="6D0BC946" w14:textId="77777777" w:rsidR="00286356" w:rsidRPr="007D770B" w:rsidRDefault="00286356" w:rsidP="007D1BEB">
      <w:pPr>
        <w:spacing w:before="240"/>
        <w:ind w:left="0"/>
        <w:rPr>
          <w:rFonts w:ascii="Times New Roman" w:hAnsi="Times New Roman"/>
          <w:lang w:val="en-US"/>
        </w:rPr>
      </w:pPr>
      <w:r w:rsidRPr="007D770B">
        <w:rPr>
          <w:rFonts w:ascii="Times New Roman" w:hAnsi="Times New Roman"/>
          <w:b/>
          <w:lang w:val="en-US"/>
        </w:rPr>
        <w:t>Comparability.</w:t>
      </w:r>
      <w:r w:rsidRPr="007D770B">
        <w:rPr>
          <w:rFonts w:ascii="Times New Roman" w:hAnsi="Times New Roman"/>
          <w:lang w:val="en-US"/>
        </w:rPr>
        <w:t xml:space="preserve"> Comparability is a qualitative characteristic that allows users to identify and understand the similarities and differences between articles.  Unlike other qualitative characteristics, comparability is not associated with a single article.  Comparability requires at least two articles.</w:t>
      </w:r>
    </w:p>
    <w:p w14:paraId="783574B1" w14:textId="77777777" w:rsidR="00286356" w:rsidRPr="007D770B" w:rsidRDefault="00286356" w:rsidP="007D1BEB">
      <w:pPr>
        <w:spacing w:before="240"/>
        <w:ind w:left="0"/>
        <w:rPr>
          <w:rFonts w:ascii="Times New Roman" w:hAnsi="Times New Roman"/>
          <w:lang w:val="en-US"/>
        </w:rPr>
      </w:pPr>
      <w:r w:rsidRPr="007D770B">
        <w:rPr>
          <w:rFonts w:ascii="Times New Roman" w:hAnsi="Times New Roman"/>
          <w:lang w:val="en-US"/>
        </w:rPr>
        <w:t xml:space="preserve">Consistency, while related to comparability, is different.  Consistency refers to the application of similar methods to similar items from period to period within a reporting entity, or in a separate period across entities.  Comparability is the objective; consistency helps to achieve that objective. </w:t>
      </w:r>
    </w:p>
    <w:p w14:paraId="35CAAAA7" w14:textId="77777777" w:rsidR="00286356" w:rsidRPr="007D770B" w:rsidRDefault="00286356" w:rsidP="007D1BEB">
      <w:pPr>
        <w:spacing w:before="240"/>
        <w:ind w:left="0"/>
        <w:rPr>
          <w:rFonts w:ascii="Times New Roman" w:hAnsi="Times New Roman"/>
          <w:lang w:val="en-US"/>
        </w:rPr>
      </w:pPr>
      <w:r w:rsidRPr="007D770B">
        <w:rPr>
          <w:rFonts w:ascii="Times New Roman" w:hAnsi="Times New Roman"/>
          <w:lang w:val="en-US"/>
        </w:rPr>
        <w:t>Comparability is not homogeneity.  For information to be comparable, similar things must look the same and different things must look different.  Comparability of financial information is not improved by increasing the comparability of different things or by decreasing the comparability of similar things.</w:t>
      </w:r>
    </w:p>
    <w:p w14:paraId="3B01A85A" w14:textId="77777777" w:rsidR="00286356" w:rsidRPr="007D770B" w:rsidRDefault="00286356" w:rsidP="007D1BEB">
      <w:pPr>
        <w:spacing w:before="240"/>
        <w:ind w:left="0"/>
        <w:rPr>
          <w:rFonts w:ascii="Times New Roman" w:hAnsi="Times New Roman"/>
          <w:lang w:val="en-US"/>
        </w:rPr>
      </w:pPr>
      <w:r w:rsidRPr="007D770B">
        <w:rPr>
          <w:rFonts w:ascii="Times New Roman" w:hAnsi="Times New Roman"/>
          <w:lang w:val="en-US"/>
        </w:rPr>
        <w:t>Some degree of comparability is likely to be achieved through consistency with fundamental qualitative characteristics.  A fair presentation of relevant economic phenomena should contain some degree of comparability with a fair presentation of similar economic phenomena of another reporting entity.</w:t>
      </w:r>
    </w:p>
    <w:p w14:paraId="49A45CD0" w14:textId="77777777" w:rsidR="00286356" w:rsidRPr="007D770B" w:rsidRDefault="00286356" w:rsidP="007D1BEB">
      <w:pPr>
        <w:spacing w:before="240"/>
        <w:ind w:left="0"/>
        <w:rPr>
          <w:rFonts w:ascii="Times New Roman" w:hAnsi="Times New Roman"/>
          <w:lang w:val="en-US"/>
        </w:rPr>
      </w:pPr>
      <w:r w:rsidRPr="007D770B">
        <w:rPr>
          <w:rFonts w:ascii="Times New Roman" w:hAnsi="Times New Roman"/>
          <w:lang w:val="en-US"/>
        </w:rPr>
        <w:t>Although the same economic phenomenon can be reliably represented in different ways, allowing alternative methods of accounting for the same economic phenomenon reduces comparability.</w:t>
      </w:r>
    </w:p>
    <w:p w14:paraId="4189626B" w14:textId="77777777" w:rsidR="00286356" w:rsidRPr="007D770B" w:rsidRDefault="00286356" w:rsidP="007D1BEB">
      <w:pPr>
        <w:spacing w:before="240"/>
        <w:ind w:left="0"/>
        <w:rPr>
          <w:rFonts w:ascii="Times New Roman" w:hAnsi="Times New Roman"/>
          <w:lang w:val="en-US"/>
        </w:rPr>
      </w:pPr>
      <w:r w:rsidRPr="007D770B">
        <w:rPr>
          <w:rFonts w:ascii="Times New Roman" w:hAnsi="Times New Roman"/>
          <w:lang w:val="en-US"/>
        </w:rPr>
        <w:lastRenderedPageBreak/>
        <w:t>Users of financial statements should be able to compare:</w:t>
      </w:r>
    </w:p>
    <w:p w14:paraId="4E9167F4" w14:textId="77777777" w:rsidR="00286356" w:rsidRPr="007D770B" w:rsidRDefault="00286356" w:rsidP="00AE698A">
      <w:pPr>
        <w:pStyle w:val="aa"/>
        <w:numPr>
          <w:ilvl w:val="0"/>
          <w:numId w:val="150"/>
        </w:numPr>
        <w:spacing w:before="240" w:line="240" w:lineRule="auto"/>
        <w:contextualSpacing w:val="0"/>
        <w:rPr>
          <w:rFonts w:ascii="Times New Roman" w:hAnsi="Times New Roman"/>
          <w:lang w:val="en-US"/>
        </w:rPr>
      </w:pPr>
      <w:r w:rsidRPr="007D770B">
        <w:rPr>
          <w:rFonts w:ascii="Times New Roman" w:hAnsi="Times New Roman"/>
          <w:lang w:val="en-US"/>
        </w:rPr>
        <w:t>financial statements of one company for different periods in order to identify trends in its financial position and performance;</w:t>
      </w:r>
    </w:p>
    <w:p w14:paraId="3B4DE79D" w14:textId="77777777" w:rsidR="00286356" w:rsidRPr="007D770B" w:rsidRDefault="00286356" w:rsidP="00AE698A">
      <w:pPr>
        <w:pStyle w:val="aa"/>
        <w:numPr>
          <w:ilvl w:val="0"/>
          <w:numId w:val="150"/>
        </w:numPr>
        <w:spacing w:before="240" w:line="240" w:lineRule="auto"/>
        <w:rPr>
          <w:rFonts w:ascii="Times New Roman" w:hAnsi="Times New Roman"/>
          <w:lang w:val="en-US"/>
        </w:rPr>
      </w:pPr>
      <w:r w:rsidRPr="007D770B">
        <w:rPr>
          <w:rFonts w:ascii="Times New Roman" w:hAnsi="Times New Roman"/>
          <w:lang w:val="en-US"/>
        </w:rPr>
        <w:t>financial statements of different companies in order to assess their relative financial position, performance and changes in financial position.</w:t>
      </w:r>
    </w:p>
    <w:p w14:paraId="36BB420F" w14:textId="77777777" w:rsidR="00286356" w:rsidRPr="007D770B" w:rsidRDefault="00286356" w:rsidP="007D1BEB">
      <w:pPr>
        <w:spacing w:before="240"/>
        <w:ind w:left="0"/>
        <w:rPr>
          <w:rFonts w:ascii="Times New Roman" w:hAnsi="Times New Roman"/>
          <w:lang w:val="en-US"/>
        </w:rPr>
      </w:pPr>
      <w:r w:rsidRPr="007D770B">
        <w:rPr>
          <w:rFonts w:ascii="Times New Roman" w:hAnsi="Times New Roman"/>
          <w:lang w:val="en-US"/>
        </w:rPr>
        <w:t>An important prerequisite for comparability as a qualitative characteristic is that users are made aware of the accounting policy choices that have been made in the preparation of the financial statements, any changes to those policies and the effects of those changes.</w:t>
      </w:r>
    </w:p>
    <w:p w14:paraId="48E212FD" w14:textId="77777777" w:rsidR="00286356" w:rsidRPr="007D770B" w:rsidRDefault="00286356" w:rsidP="007D1BEB">
      <w:pPr>
        <w:spacing w:before="240"/>
        <w:ind w:left="0"/>
        <w:rPr>
          <w:rFonts w:ascii="Times New Roman" w:hAnsi="Times New Roman"/>
          <w:lang w:val="en-US"/>
        </w:rPr>
      </w:pPr>
      <w:r w:rsidRPr="007D770B">
        <w:rPr>
          <w:rFonts w:ascii="Times New Roman" w:hAnsi="Times New Roman"/>
          <w:lang w:val="en-US"/>
        </w:rPr>
        <w:t>Accounting is ineffective if the policies adopted do not provide quality attributes such as relevance and reliable presentation, and it is inappropriate to leave an accounting policy unchanged when a more appropriate and reliable alternative is available.</w:t>
      </w:r>
    </w:p>
    <w:p w14:paraId="23FF5013" w14:textId="77777777" w:rsidR="00286356" w:rsidRPr="007D770B" w:rsidRDefault="00286356" w:rsidP="007D1BEB">
      <w:pPr>
        <w:spacing w:before="240"/>
        <w:ind w:left="0"/>
        <w:rPr>
          <w:rFonts w:ascii="Times New Roman" w:hAnsi="Times New Roman"/>
          <w:lang w:val="en-US"/>
        </w:rPr>
      </w:pPr>
      <w:r w:rsidRPr="007D770B">
        <w:rPr>
          <w:rFonts w:ascii="Times New Roman" w:hAnsi="Times New Roman"/>
          <w:lang w:val="en-US"/>
        </w:rPr>
        <w:t>As users are required to be able to compare the Bank's financial position, results of operations and changes in financial position over time, it is important that the financial statements include relevant information for prior periods.</w:t>
      </w:r>
    </w:p>
    <w:p w14:paraId="14AFAC6A" w14:textId="77777777" w:rsidR="00286356" w:rsidRPr="007D770B" w:rsidRDefault="00286356" w:rsidP="007D1BEB">
      <w:pPr>
        <w:spacing w:before="240"/>
        <w:ind w:left="0"/>
        <w:rPr>
          <w:rFonts w:ascii="Times New Roman" w:hAnsi="Times New Roman"/>
          <w:lang w:val="en-US"/>
        </w:rPr>
      </w:pPr>
      <w:r w:rsidRPr="007D770B">
        <w:rPr>
          <w:rFonts w:ascii="Times New Roman" w:hAnsi="Times New Roman"/>
          <w:b/>
          <w:lang w:val="en-US"/>
        </w:rPr>
        <w:t>Timeliness.</w:t>
      </w:r>
      <w:r w:rsidRPr="007D770B">
        <w:rPr>
          <w:rFonts w:ascii="Times New Roman" w:hAnsi="Times New Roman"/>
          <w:lang w:val="en-US"/>
        </w:rPr>
        <w:t xml:space="preserve"> Timeliness means providing timely information to decision makers that can influence those decisions. Generally, the older the information is, the less useful it is.  However, some information may remain timely long after the end of the reporting period because, for example, some users will need to identify and evaluate trends.</w:t>
      </w:r>
    </w:p>
    <w:p w14:paraId="32762B3C" w14:textId="77777777" w:rsidR="00286356" w:rsidRPr="007D770B" w:rsidRDefault="00286356" w:rsidP="00363279">
      <w:pPr>
        <w:keepNext/>
        <w:spacing w:before="240"/>
        <w:ind w:left="0"/>
        <w:rPr>
          <w:rFonts w:ascii="Times New Roman" w:hAnsi="Times New Roman"/>
          <w:lang w:val="en-US"/>
        </w:rPr>
      </w:pPr>
      <w:r w:rsidRPr="007D770B">
        <w:rPr>
          <w:rFonts w:ascii="Times New Roman" w:hAnsi="Times New Roman"/>
          <w:b/>
          <w:lang w:val="en-US"/>
        </w:rPr>
        <w:t xml:space="preserve">Reconcilability. </w:t>
      </w:r>
      <w:r w:rsidRPr="007D770B">
        <w:rPr>
          <w:rFonts w:ascii="Times New Roman" w:hAnsi="Times New Roman"/>
          <w:lang w:val="en-US"/>
        </w:rPr>
        <w:t>Reconcilability helps assure users that the information faithfully represents the economic phenomena it is intended to represent. Reconcilability means that different knowledgeable and independent observers can reach consensus, although not necessarily complete agreement, that a particular description is a faithful representation.  For quantitative information to be reconcilable, it does not necessarily have to be a single estimate.  A range of possible sums and associated probabilities may also be reconcilable.</w:t>
      </w:r>
    </w:p>
    <w:p w14:paraId="7A6576A2" w14:textId="77777777" w:rsidR="00286356" w:rsidRPr="007D770B" w:rsidRDefault="00286356" w:rsidP="00363279">
      <w:pPr>
        <w:spacing w:before="240"/>
        <w:ind w:left="0"/>
        <w:rPr>
          <w:rFonts w:ascii="Times New Roman" w:hAnsi="Times New Roman"/>
          <w:lang w:val="en-US"/>
        </w:rPr>
      </w:pPr>
      <w:r w:rsidRPr="007D770B">
        <w:rPr>
          <w:rFonts w:ascii="Times New Roman" w:hAnsi="Times New Roman"/>
          <w:lang w:val="en-US"/>
        </w:rPr>
        <w:t>Reconciliation may be direct or indirect.  Direct reconciliation means reconciling an amount or other representation by direct observation, such as a cash count.  Indirect reconciliation means checking the inputs to a model, formula, or other methods and recalculating the results using the same methodology.</w:t>
      </w:r>
    </w:p>
    <w:p w14:paraId="21851CE4" w14:textId="77777777" w:rsidR="00286356" w:rsidRPr="007D770B" w:rsidRDefault="00286356" w:rsidP="00363279">
      <w:pPr>
        <w:spacing w:before="240"/>
        <w:ind w:left="0"/>
        <w:rPr>
          <w:rFonts w:ascii="Times New Roman" w:hAnsi="Times New Roman"/>
          <w:b/>
          <w:lang w:val="en-US"/>
        </w:rPr>
      </w:pPr>
      <w:r w:rsidRPr="007D770B">
        <w:rPr>
          <w:rFonts w:ascii="Times New Roman" w:hAnsi="Times New Roman"/>
          <w:b/>
          <w:lang w:val="en-US"/>
        </w:rPr>
        <w:t>Concepts of capital and capital maintenance</w:t>
      </w:r>
    </w:p>
    <w:p w14:paraId="0AB20A02" w14:textId="77777777" w:rsidR="00286356" w:rsidRPr="007D770B" w:rsidRDefault="00286356" w:rsidP="00363279">
      <w:pPr>
        <w:spacing w:before="240"/>
        <w:ind w:left="0"/>
        <w:rPr>
          <w:rFonts w:ascii="Times New Roman" w:hAnsi="Times New Roman"/>
          <w:lang w:val="en-US"/>
        </w:rPr>
      </w:pPr>
      <w:r w:rsidRPr="007D770B">
        <w:rPr>
          <w:rFonts w:ascii="Times New Roman" w:hAnsi="Times New Roman"/>
          <w:lang w:val="en-US"/>
        </w:rPr>
        <w:t xml:space="preserve">In preparing the financial statements, the Bank uses the concept of financial capital. In this concept, financial capital is synonymous with the Bank's net assets (or equity). Physical capital (i.e. its operating capacity) is considered as the productive capacity, the Bank's production capacity, which is determined by the volume of output or with the volume of transactions performed. </w:t>
      </w:r>
    </w:p>
    <w:p w14:paraId="6B36A486" w14:textId="1FCFA609" w:rsidR="00286356" w:rsidRPr="007D770B" w:rsidRDefault="00286356" w:rsidP="00363279">
      <w:pPr>
        <w:spacing w:before="240"/>
        <w:ind w:left="0"/>
        <w:rPr>
          <w:rFonts w:ascii="Times New Roman" w:hAnsi="Times New Roman"/>
          <w:lang w:val="en-US"/>
        </w:rPr>
      </w:pPr>
      <w:r w:rsidRPr="007D770B">
        <w:rPr>
          <w:rFonts w:ascii="Times New Roman" w:hAnsi="Times New Roman"/>
          <w:lang w:val="en-US"/>
        </w:rPr>
        <w:t>In selecting an appropriate concept of capital, the Bank focuses on the needs of users. The concept of financial capital is used if users are primarily concerned with maintaining nominal invested capital or the purchasing power of invested capital. If users are more concerned about the Bank's operational capacity, then the concept of physical capital should be used. The choice of concept reflects the objective to be achieved in determining profit, notwithstanding certain difficulties in calculating individual measures resulting from the application of a particular concept.</w:t>
      </w:r>
    </w:p>
    <w:p w14:paraId="2A52928E" w14:textId="77777777" w:rsidR="00286356" w:rsidRPr="007D770B" w:rsidRDefault="00286356" w:rsidP="00363279">
      <w:pPr>
        <w:spacing w:before="240"/>
        <w:ind w:left="0"/>
        <w:rPr>
          <w:rFonts w:ascii="Times New Roman" w:hAnsi="Times New Roman"/>
          <w:lang w:val="en-US"/>
        </w:rPr>
      </w:pPr>
      <w:r w:rsidRPr="007D770B">
        <w:rPr>
          <w:rFonts w:ascii="Times New Roman" w:hAnsi="Times New Roman"/>
          <w:b/>
          <w:lang w:val="en-US"/>
        </w:rPr>
        <w:t>Maintenance of financial capital.</w:t>
      </w:r>
      <w:r w:rsidRPr="007D770B">
        <w:rPr>
          <w:rFonts w:ascii="Times New Roman" w:hAnsi="Times New Roman"/>
          <w:lang w:val="en-US"/>
        </w:rPr>
        <w:t xml:space="preserve"> According to this concept, profit occurs only when the financial (monetary) value of net assets at the end of the reporting period exceeds the same value at the beginning of the reporting period (excluding contributions of owners or payments to them during the reporting period). Maintenance of financial capital can be measured either in nominal monetary units or in units of constant purchasing power. </w:t>
      </w:r>
    </w:p>
    <w:p w14:paraId="3CCD1E63" w14:textId="77777777" w:rsidR="00286356" w:rsidRPr="007D770B" w:rsidRDefault="00286356" w:rsidP="00363279">
      <w:pPr>
        <w:spacing w:before="240"/>
        <w:ind w:left="0"/>
        <w:rPr>
          <w:rFonts w:ascii="Times New Roman" w:hAnsi="Times New Roman"/>
          <w:lang w:val="en-US"/>
        </w:rPr>
      </w:pPr>
      <w:r w:rsidRPr="007D770B">
        <w:rPr>
          <w:rFonts w:ascii="Times New Roman" w:hAnsi="Times New Roman"/>
          <w:b/>
          <w:lang w:val="en-US"/>
        </w:rPr>
        <w:t>Maintenance of physical capital.</w:t>
      </w:r>
      <w:r w:rsidRPr="007D770B">
        <w:rPr>
          <w:rFonts w:ascii="Times New Roman" w:hAnsi="Times New Roman"/>
          <w:lang w:val="en-US"/>
        </w:rPr>
        <w:t xml:space="preserve"> Under this concept, profit is considered to be earned only when the Bank's productive capacity (operating capacity) at the end of the reporting period exceeds the same amount at the beginning of the reporting period (excluding contributions from or distributions to owners during the reporting period). </w:t>
      </w:r>
    </w:p>
    <w:p w14:paraId="24139CC6" w14:textId="77777777" w:rsidR="00286356" w:rsidRPr="007D770B" w:rsidRDefault="00286356" w:rsidP="00363279">
      <w:pPr>
        <w:spacing w:before="240"/>
        <w:ind w:left="0"/>
        <w:rPr>
          <w:rFonts w:ascii="Times New Roman" w:hAnsi="Times New Roman"/>
          <w:b/>
          <w:lang w:val="en-US"/>
        </w:rPr>
      </w:pPr>
      <w:r w:rsidRPr="007D770B">
        <w:rPr>
          <w:rFonts w:ascii="Times New Roman" w:hAnsi="Times New Roman"/>
          <w:b/>
          <w:lang w:val="en-US"/>
        </w:rPr>
        <w:t>Offsetting</w:t>
      </w:r>
    </w:p>
    <w:p w14:paraId="1F72257C" w14:textId="77777777" w:rsidR="00286356" w:rsidRPr="007D770B" w:rsidRDefault="00286356" w:rsidP="00363279">
      <w:pPr>
        <w:spacing w:before="240"/>
        <w:ind w:left="0"/>
        <w:rPr>
          <w:rFonts w:ascii="Times New Roman" w:hAnsi="Times New Roman"/>
          <w:lang w:val="en-US"/>
        </w:rPr>
      </w:pPr>
      <w:r w:rsidRPr="007D770B">
        <w:rPr>
          <w:rFonts w:ascii="Times New Roman" w:hAnsi="Times New Roman"/>
          <w:lang w:val="en-US"/>
        </w:rPr>
        <w:t>Financial assets and liabilities are offset and the net amount reported in the statement of financial position only when there is a legally enforceable right to offset the recognized amounts and there is an intention to either settle on a net basis, or to realize the asset and settle the liability simultaneously.</w:t>
      </w:r>
    </w:p>
    <w:p w14:paraId="7914B972" w14:textId="77777777" w:rsidR="00286356" w:rsidRPr="007D770B" w:rsidRDefault="00286356" w:rsidP="00363279">
      <w:pPr>
        <w:spacing w:before="240"/>
        <w:ind w:left="96"/>
        <w:rPr>
          <w:rFonts w:ascii="Times New Roman" w:hAnsi="Times New Roman"/>
          <w:lang w:val="en-US"/>
        </w:rPr>
      </w:pPr>
      <w:r w:rsidRPr="007D770B">
        <w:rPr>
          <w:rFonts w:ascii="Times New Roman" w:hAnsi="Times New Roman"/>
          <w:lang w:val="en-US"/>
        </w:rPr>
        <w:t>Income and expense items should be offset in the following cases:</w:t>
      </w:r>
    </w:p>
    <w:p w14:paraId="2B1B3B7C" w14:textId="77777777" w:rsidR="00286356" w:rsidRPr="007D770B" w:rsidRDefault="00286356" w:rsidP="00AE698A">
      <w:pPr>
        <w:pStyle w:val="aa"/>
        <w:numPr>
          <w:ilvl w:val="0"/>
          <w:numId w:val="151"/>
        </w:numPr>
        <w:spacing w:before="240" w:line="240" w:lineRule="auto"/>
        <w:ind w:left="456"/>
        <w:contextualSpacing w:val="0"/>
        <w:rPr>
          <w:rFonts w:ascii="Times New Roman" w:hAnsi="Times New Roman"/>
          <w:lang w:val="en-US"/>
        </w:rPr>
      </w:pPr>
      <w:r w:rsidRPr="007D770B">
        <w:rPr>
          <w:rFonts w:ascii="Times New Roman" w:hAnsi="Times New Roman"/>
          <w:lang w:val="en-US"/>
        </w:rPr>
        <w:lastRenderedPageBreak/>
        <w:t>a specific IFRS requires or permits it; or</w:t>
      </w:r>
    </w:p>
    <w:p w14:paraId="4EC5BB45" w14:textId="77777777" w:rsidR="00286356" w:rsidRPr="007D770B" w:rsidRDefault="00286356" w:rsidP="00AE698A">
      <w:pPr>
        <w:pStyle w:val="aa"/>
        <w:numPr>
          <w:ilvl w:val="0"/>
          <w:numId w:val="151"/>
        </w:numPr>
        <w:spacing w:before="240" w:line="240" w:lineRule="auto"/>
        <w:ind w:left="456"/>
        <w:rPr>
          <w:rFonts w:ascii="Times New Roman" w:hAnsi="Times New Roman"/>
          <w:lang w:val="en-US"/>
        </w:rPr>
      </w:pPr>
      <w:r w:rsidRPr="007D770B">
        <w:rPr>
          <w:rFonts w:ascii="Times New Roman" w:hAnsi="Times New Roman"/>
          <w:lang w:val="en-US"/>
        </w:rPr>
        <w:t xml:space="preserve">gains, losses and related expenses arising from the same or similar transactions and events are not material. </w:t>
      </w:r>
    </w:p>
    <w:p w14:paraId="12AE1AE3" w14:textId="77777777" w:rsidR="00286356" w:rsidRPr="007D770B" w:rsidRDefault="00286356" w:rsidP="00363279">
      <w:pPr>
        <w:spacing w:before="240"/>
        <w:ind w:left="96"/>
        <w:rPr>
          <w:rFonts w:ascii="Times New Roman" w:hAnsi="Times New Roman"/>
          <w:lang w:val="en-US"/>
        </w:rPr>
      </w:pPr>
      <w:r w:rsidRPr="007D770B">
        <w:rPr>
          <w:rFonts w:ascii="Times New Roman" w:hAnsi="Times New Roman"/>
          <w:lang w:val="en-US"/>
        </w:rPr>
        <w:t>It is important that both assets and liabilities, income and expenses are presented separately when they are material. Offsetting, unless it reflects the substance of the transaction or event, reduces the ability of users to understand the transactions that have occurred and to estimate the Bank's future cash flows. Reporting assets net of valuation allowances does not constitute offsetting.</w:t>
      </w:r>
    </w:p>
    <w:p w14:paraId="3C4A419E" w14:textId="77777777" w:rsidR="00286356" w:rsidRPr="007D770B" w:rsidRDefault="00286356" w:rsidP="00363279">
      <w:pPr>
        <w:spacing w:before="240"/>
        <w:ind w:left="96"/>
        <w:rPr>
          <w:rFonts w:ascii="Times New Roman" w:hAnsi="Times New Roman"/>
          <w:lang w:val="en-US"/>
        </w:rPr>
      </w:pPr>
      <w:r w:rsidRPr="007D770B">
        <w:rPr>
          <w:rFonts w:ascii="Times New Roman" w:hAnsi="Times New Roman"/>
          <w:lang w:val="en-US"/>
        </w:rPr>
        <w:t>As a general rule, material items of assets and liabilities should not be offset and should be presented gross in the statement of financial position.</w:t>
      </w:r>
    </w:p>
    <w:p w14:paraId="07C42B5C" w14:textId="3BC12FE5" w:rsidR="00286356" w:rsidRPr="007D770B" w:rsidRDefault="00286356" w:rsidP="00E61D21">
      <w:pPr>
        <w:pStyle w:val="3"/>
        <w:rPr>
          <w:lang w:val="en-US"/>
        </w:rPr>
      </w:pPr>
      <w:bookmarkStart w:id="20" w:name="_Toc270435400"/>
      <w:bookmarkStart w:id="21" w:name="_Toc273020247"/>
      <w:bookmarkStart w:id="22" w:name="_Toc278120852"/>
      <w:bookmarkStart w:id="23" w:name="_Toc168502006"/>
      <w:r w:rsidRPr="007D770B">
        <w:rPr>
          <w:lang w:val="en-US"/>
        </w:rPr>
        <w:t>1.4 Components of financial statements</w:t>
      </w:r>
      <w:bookmarkEnd w:id="20"/>
      <w:bookmarkEnd w:id="21"/>
      <w:bookmarkEnd w:id="22"/>
      <w:bookmarkEnd w:id="23"/>
    </w:p>
    <w:p w14:paraId="0BC01D8D" w14:textId="77777777" w:rsidR="00286356" w:rsidRPr="007D770B" w:rsidRDefault="00286356" w:rsidP="00363279">
      <w:pPr>
        <w:spacing w:before="240"/>
        <w:ind w:left="0"/>
        <w:rPr>
          <w:rFonts w:ascii="Times New Roman" w:hAnsi="Times New Roman"/>
          <w:lang w:val="en-US"/>
        </w:rPr>
      </w:pPr>
      <w:r w:rsidRPr="007D770B">
        <w:rPr>
          <w:rFonts w:ascii="Times New Roman" w:hAnsi="Times New Roman"/>
          <w:lang w:val="en-US"/>
        </w:rPr>
        <w:t>The Bank prepares and analyzes financial statements, the complete set of which includes:</w:t>
      </w:r>
    </w:p>
    <w:p w14:paraId="643A5561" w14:textId="77777777" w:rsidR="00286356" w:rsidRPr="00363279" w:rsidRDefault="00286356" w:rsidP="00AE698A">
      <w:pPr>
        <w:numPr>
          <w:ilvl w:val="0"/>
          <w:numId w:val="152"/>
        </w:numPr>
        <w:spacing w:before="240" w:line="240" w:lineRule="auto"/>
        <w:rPr>
          <w:rFonts w:ascii="Times New Roman" w:hAnsi="Times New Roman"/>
        </w:rPr>
      </w:pPr>
      <w:r w:rsidRPr="00363279">
        <w:rPr>
          <w:rFonts w:ascii="Times New Roman" w:hAnsi="Times New Roman"/>
        </w:rPr>
        <w:t>statement of financial position;</w:t>
      </w:r>
    </w:p>
    <w:p w14:paraId="2CEA5C0E" w14:textId="77777777" w:rsidR="00286356" w:rsidRPr="007D770B" w:rsidRDefault="00286356" w:rsidP="00AE698A">
      <w:pPr>
        <w:numPr>
          <w:ilvl w:val="0"/>
          <w:numId w:val="152"/>
        </w:numPr>
        <w:spacing w:before="240" w:line="240" w:lineRule="auto"/>
        <w:rPr>
          <w:rFonts w:ascii="Times New Roman" w:hAnsi="Times New Roman"/>
          <w:lang w:val="en-US"/>
        </w:rPr>
      </w:pPr>
      <w:r w:rsidRPr="007D770B">
        <w:rPr>
          <w:rFonts w:ascii="Times New Roman" w:hAnsi="Times New Roman"/>
          <w:lang w:val="en-US"/>
        </w:rPr>
        <w:t>statement of profit or loss and other comprehensive income;</w:t>
      </w:r>
    </w:p>
    <w:p w14:paraId="35DA5B8E" w14:textId="77777777" w:rsidR="00286356" w:rsidRPr="00363279" w:rsidRDefault="00286356" w:rsidP="00AE698A">
      <w:pPr>
        <w:numPr>
          <w:ilvl w:val="0"/>
          <w:numId w:val="152"/>
        </w:numPr>
        <w:spacing w:before="240" w:line="240" w:lineRule="auto"/>
        <w:rPr>
          <w:rFonts w:ascii="Times New Roman" w:hAnsi="Times New Roman"/>
        </w:rPr>
      </w:pPr>
      <w:r w:rsidRPr="00363279">
        <w:rPr>
          <w:rFonts w:ascii="Times New Roman" w:hAnsi="Times New Roman"/>
        </w:rPr>
        <w:t xml:space="preserve">cash flow statement; </w:t>
      </w:r>
    </w:p>
    <w:p w14:paraId="14F72198" w14:textId="77777777" w:rsidR="00286356" w:rsidRPr="00363279" w:rsidRDefault="00286356" w:rsidP="00AE698A">
      <w:pPr>
        <w:numPr>
          <w:ilvl w:val="0"/>
          <w:numId w:val="152"/>
        </w:numPr>
        <w:spacing w:before="240" w:line="240" w:lineRule="auto"/>
        <w:rPr>
          <w:rFonts w:ascii="Times New Roman" w:hAnsi="Times New Roman"/>
        </w:rPr>
      </w:pPr>
      <w:r w:rsidRPr="00363279">
        <w:rPr>
          <w:rFonts w:ascii="Times New Roman" w:hAnsi="Times New Roman"/>
        </w:rPr>
        <w:t>on changes in equity;</w:t>
      </w:r>
    </w:p>
    <w:p w14:paraId="67D070E0" w14:textId="1701B6F2" w:rsidR="00286356" w:rsidRPr="007D770B" w:rsidRDefault="00286356" w:rsidP="00AE698A">
      <w:pPr>
        <w:numPr>
          <w:ilvl w:val="0"/>
          <w:numId w:val="152"/>
        </w:numPr>
        <w:spacing w:before="240" w:line="240" w:lineRule="auto"/>
        <w:rPr>
          <w:rFonts w:ascii="Times New Roman" w:hAnsi="Times New Roman"/>
          <w:lang w:val="en-US"/>
        </w:rPr>
      </w:pPr>
      <w:r w:rsidRPr="007D770B">
        <w:rPr>
          <w:rFonts w:ascii="Times New Roman" w:hAnsi="Times New Roman"/>
          <w:lang w:val="en-US"/>
        </w:rPr>
        <w:t xml:space="preserve">notes, consisting of a </w:t>
      </w:r>
      <w:r w:rsidR="004316FE" w:rsidRPr="007D770B">
        <w:rPr>
          <w:rFonts w:ascii="Times New Roman" w:hAnsi="Times New Roman"/>
          <w:lang w:val="en-US"/>
        </w:rPr>
        <w:t xml:space="preserve">summary of </w:t>
      </w:r>
      <w:r w:rsidRPr="007D770B">
        <w:rPr>
          <w:rFonts w:ascii="Times New Roman" w:hAnsi="Times New Roman"/>
          <w:lang w:val="en-US"/>
        </w:rPr>
        <w:t xml:space="preserve">significant accounting policies and other explanatory </w:t>
      </w:r>
      <w:r w:rsidR="00D657FC" w:rsidRPr="007D770B">
        <w:rPr>
          <w:rFonts w:ascii="Times New Roman" w:hAnsi="Times New Roman"/>
          <w:lang w:val="en-US"/>
        </w:rPr>
        <w:t>information</w:t>
      </w:r>
      <w:r w:rsidRPr="007D770B">
        <w:rPr>
          <w:rFonts w:ascii="Times New Roman" w:hAnsi="Times New Roman"/>
          <w:lang w:val="en-US"/>
        </w:rPr>
        <w:t>.</w:t>
      </w:r>
    </w:p>
    <w:p w14:paraId="4287251B" w14:textId="77777777" w:rsidR="00286356" w:rsidRPr="007D770B" w:rsidRDefault="00286356" w:rsidP="00363279">
      <w:pPr>
        <w:spacing w:before="240"/>
        <w:ind w:left="0"/>
        <w:rPr>
          <w:rFonts w:ascii="Times New Roman" w:hAnsi="Times New Roman"/>
          <w:lang w:val="en-US"/>
        </w:rPr>
      </w:pPr>
      <w:r w:rsidRPr="007D770B">
        <w:rPr>
          <w:rFonts w:ascii="Times New Roman" w:hAnsi="Times New Roman"/>
          <w:lang w:val="en-US"/>
        </w:rPr>
        <w:t xml:space="preserve">The presentation of elements of financial statements in the statement of financial position and statement of comprehensive income provides for the creation of classes (items) based on the nature and function of the elements. In deciding how to allocate classes within the elements of financial statements, the principle of materiality should be applied - all material items of assets, liabilities, equity, income and expenses should be presented separately. </w:t>
      </w:r>
    </w:p>
    <w:p w14:paraId="55A74D95" w14:textId="77777777" w:rsidR="00286356" w:rsidRPr="007D770B" w:rsidRDefault="00286356" w:rsidP="00363279">
      <w:pPr>
        <w:spacing w:before="240"/>
        <w:ind w:left="0"/>
        <w:rPr>
          <w:rFonts w:ascii="Times New Roman" w:hAnsi="Times New Roman"/>
          <w:lang w:val="en-US"/>
        </w:rPr>
      </w:pPr>
      <w:r w:rsidRPr="007D770B">
        <w:rPr>
          <w:rFonts w:ascii="Times New Roman" w:hAnsi="Times New Roman"/>
          <w:lang w:val="en-US"/>
        </w:rPr>
        <w:t>Financial statements in accordance with International Financial Reporting Standards (hereinafter IFRS) should be presented at least once a financial year. The Bank's financial year is a calendar year beginning on January 1 and ending on December 31. Presentation of the Bank's financial statements implies disclosure of comparative information as at two reporting dates or for two reporting periods.</w:t>
      </w:r>
    </w:p>
    <w:p w14:paraId="0E581FA1" w14:textId="6EDD8EE1" w:rsidR="00286356" w:rsidRPr="007D770B" w:rsidRDefault="00286356" w:rsidP="00363279">
      <w:pPr>
        <w:spacing w:before="240"/>
        <w:ind w:left="0"/>
        <w:rPr>
          <w:rFonts w:ascii="Times New Roman" w:hAnsi="Times New Roman"/>
          <w:lang w:val="en-US"/>
        </w:rPr>
      </w:pPr>
      <w:r w:rsidRPr="007D770B">
        <w:rPr>
          <w:rFonts w:ascii="Times New Roman" w:hAnsi="Times New Roman"/>
          <w:lang w:val="en-US"/>
        </w:rPr>
        <w:t xml:space="preserve">When restating comparatives due to a change in accounting policy, retrospective correction of errors or reclassification of items in the statement of financial position, a statement of financial position as at the beginning of the preceding period is required to be presented if the retrospective change in accounting policy, correction of errors or reclassification of items has a material effect on the statement of financial position as at the beginning of the preceding period (refer </w:t>
      </w:r>
      <w:r w:rsidR="00802136" w:rsidRPr="007D770B">
        <w:rPr>
          <w:rFonts w:ascii="Times New Roman" w:hAnsi="Times New Roman"/>
          <w:lang w:val="en-US"/>
        </w:rPr>
        <w:t>to</w:t>
      </w:r>
      <w:r w:rsidRPr="007D770B">
        <w:rPr>
          <w:rFonts w:ascii="Times New Roman" w:hAnsi="Times New Roman"/>
          <w:lang w:val="en-US"/>
        </w:rPr>
        <w:t xml:space="preserve"> Example 1 and 2 Changes in Accounting Policies). Notes to the opening balances of the prior period are not presented.</w:t>
      </w:r>
    </w:p>
    <w:p w14:paraId="65C21670" w14:textId="77777777" w:rsidR="00286356" w:rsidRPr="007D770B" w:rsidRDefault="00286356" w:rsidP="006542D4">
      <w:pPr>
        <w:spacing w:before="240"/>
        <w:ind w:left="0"/>
        <w:rPr>
          <w:rFonts w:ascii="Times New Roman" w:hAnsi="Times New Roman"/>
          <w:b/>
          <w:lang w:val="en-US"/>
        </w:rPr>
      </w:pPr>
      <w:r w:rsidRPr="007D770B">
        <w:rPr>
          <w:rFonts w:ascii="Times New Roman" w:hAnsi="Times New Roman"/>
          <w:b/>
          <w:lang w:val="en-US"/>
        </w:rPr>
        <w:t>Statement of financial position</w:t>
      </w:r>
    </w:p>
    <w:p w14:paraId="61E3B44E" w14:textId="77777777" w:rsidR="00286356" w:rsidRPr="007D770B" w:rsidRDefault="00286356" w:rsidP="006542D4">
      <w:pPr>
        <w:spacing w:before="240"/>
        <w:ind w:left="0"/>
        <w:rPr>
          <w:rFonts w:ascii="Times New Roman" w:hAnsi="Times New Roman"/>
          <w:lang w:val="en-US"/>
        </w:rPr>
      </w:pPr>
      <w:r w:rsidRPr="007D770B">
        <w:rPr>
          <w:rFonts w:ascii="Times New Roman" w:hAnsi="Times New Roman"/>
          <w:lang w:val="en-US"/>
        </w:rPr>
        <w:t xml:space="preserve">The statement of financial position characterizes the financial position of the Bank at a particular point in time. </w:t>
      </w:r>
    </w:p>
    <w:p w14:paraId="77890A92" w14:textId="77777777" w:rsidR="00286356" w:rsidRPr="007D770B" w:rsidRDefault="00286356" w:rsidP="006542D4">
      <w:pPr>
        <w:spacing w:before="240"/>
        <w:ind w:left="0"/>
        <w:rPr>
          <w:rFonts w:ascii="Times New Roman" w:hAnsi="Times New Roman"/>
          <w:lang w:val="en-US"/>
        </w:rPr>
      </w:pPr>
      <w:r w:rsidRPr="007D770B">
        <w:rPr>
          <w:rFonts w:ascii="Times New Roman" w:hAnsi="Times New Roman"/>
          <w:lang w:val="en-US"/>
        </w:rPr>
        <w:t>The Bank presents items in the statement of financial position (assets and liabilities) based on the nature and liquidity of the assets. The statement of financial position may at least include items representing the following amounts:</w:t>
      </w:r>
    </w:p>
    <w:p w14:paraId="5F677501" w14:textId="7541405E" w:rsidR="00286356" w:rsidRPr="007D770B" w:rsidRDefault="00286356" w:rsidP="00AE698A">
      <w:pPr>
        <w:numPr>
          <w:ilvl w:val="0"/>
          <w:numId w:val="181"/>
        </w:numPr>
        <w:spacing w:before="240" w:line="240" w:lineRule="auto"/>
        <w:ind w:left="720"/>
        <w:rPr>
          <w:rFonts w:ascii="Times New Roman" w:hAnsi="Times New Roman"/>
          <w:lang w:val="en-US"/>
        </w:rPr>
      </w:pPr>
      <w:r w:rsidRPr="007D770B">
        <w:rPr>
          <w:rFonts w:ascii="Times New Roman" w:hAnsi="Times New Roman"/>
          <w:lang w:val="en-US"/>
        </w:rPr>
        <w:t xml:space="preserve">trading securities as described in Section 3 </w:t>
      </w:r>
      <w:r w:rsidR="00802136" w:rsidRPr="007D770B">
        <w:rPr>
          <w:rFonts w:ascii="Times New Roman" w:hAnsi="Times New Roman"/>
          <w:lang w:val="en-US"/>
        </w:rPr>
        <w:t>"</w:t>
      </w:r>
      <w:r w:rsidRPr="007D770B">
        <w:rPr>
          <w:rFonts w:ascii="Times New Roman" w:hAnsi="Times New Roman"/>
          <w:lang w:val="en-US"/>
        </w:rPr>
        <w:t xml:space="preserve">Financial assets and liabilities (IAS 32, IFRS </w:t>
      </w:r>
      <w:r w:rsidR="00C538E1" w:rsidRPr="007D770B">
        <w:rPr>
          <w:rFonts w:ascii="Times New Roman" w:hAnsi="Times New Roman"/>
          <w:lang w:val="en-US"/>
        </w:rPr>
        <w:t>9</w:t>
      </w:r>
      <w:r w:rsidRPr="007D770B">
        <w:rPr>
          <w:rFonts w:ascii="Times New Roman" w:hAnsi="Times New Roman"/>
          <w:lang w:val="en-US"/>
        </w:rPr>
        <w:t>, IFRS 7)</w:t>
      </w:r>
      <w:r w:rsidR="00802136" w:rsidRPr="007D770B">
        <w:rPr>
          <w:rFonts w:ascii="Times New Roman" w:hAnsi="Times New Roman"/>
          <w:lang w:val="en-US"/>
        </w:rPr>
        <w:t xml:space="preserve">" of </w:t>
      </w:r>
      <w:r w:rsidRPr="007D770B">
        <w:rPr>
          <w:rFonts w:ascii="Times New Roman" w:hAnsi="Times New Roman"/>
          <w:lang w:val="en-US"/>
        </w:rPr>
        <w:t>Chapter 2;</w:t>
      </w:r>
    </w:p>
    <w:p w14:paraId="1F008BD8" w14:textId="74EA3570" w:rsidR="00286356" w:rsidRPr="007D770B" w:rsidRDefault="00286356" w:rsidP="00AE698A">
      <w:pPr>
        <w:numPr>
          <w:ilvl w:val="0"/>
          <w:numId w:val="181"/>
        </w:numPr>
        <w:spacing w:before="240" w:line="240" w:lineRule="auto"/>
        <w:ind w:left="720"/>
        <w:rPr>
          <w:rFonts w:ascii="Times New Roman" w:hAnsi="Times New Roman"/>
          <w:lang w:val="en-US"/>
        </w:rPr>
      </w:pPr>
      <w:r w:rsidRPr="007D770B">
        <w:rPr>
          <w:rFonts w:ascii="Times New Roman" w:hAnsi="Times New Roman"/>
          <w:lang w:val="en-US"/>
        </w:rPr>
        <w:t xml:space="preserve">other securities at fair value through profit or loss as described in section 3 </w:t>
      </w:r>
      <w:r w:rsidR="00802136" w:rsidRPr="007D770B">
        <w:rPr>
          <w:rFonts w:ascii="Times New Roman" w:hAnsi="Times New Roman"/>
          <w:lang w:val="en-US"/>
        </w:rPr>
        <w:t>"</w:t>
      </w:r>
      <w:r w:rsidRPr="007D770B">
        <w:rPr>
          <w:rFonts w:ascii="Times New Roman" w:hAnsi="Times New Roman"/>
          <w:lang w:val="en-US"/>
        </w:rPr>
        <w:t xml:space="preserve">Financial assets and liabilities (IAS 32, </w:t>
      </w:r>
      <w:r w:rsidR="00C538E1" w:rsidRPr="007D770B">
        <w:rPr>
          <w:rFonts w:ascii="Times New Roman" w:hAnsi="Times New Roman"/>
          <w:lang w:val="en-US"/>
        </w:rPr>
        <w:t>IFRS 9</w:t>
      </w:r>
      <w:r w:rsidRPr="007D770B">
        <w:rPr>
          <w:rFonts w:ascii="Times New Roman" w:hAnsi="Times New Roman"/>
          <w:lang w:val="en-US"/>
        </w:rPr>
        <w:t>, IFRS 7)</w:t>
      </w:r>
      <w:r w:rsidR="00802136" w:rsidRPr="007D770B">
        <w:rPr>
          <w:rFonts w:ascii="Times New Roman" w:hAnsi="Times New Roman"/>
          <w:lang w:val="en-US"/>
        </w:rPr>
        <w:t xml:space="preserve">" </w:t>
      </w:r>
      <w:r w:rsidRPr="007D770B">
        <w:rPr>
          <w:rFonts w:ascii="Times New Roman" w:hAnsi="Times New Roman"/>
          <w:lang w:val="en-US"/>
        </w:rPr>
        <w:t>of chapter 2;</w:t>
      </w:r>
    </w:p>
    <w:p w14:paraId="7301A732" w14:textId="1F59714D" w:rsidR="00286356" w:rsidRPr="007D770B" w:rsidRDefault="00286356" w:rsidP="00AE698A">
      <w:pPr>
        <w:numPr>
          <w:ilvl w:val="0"/>
          <w:numId w:val="181"/>
        </w:numPr>
        <w:spacing w:before="240" w:line="240" w:lineRule="auto"/>
        <w:ind w:left="720"/>
        <w:rPr>
          <w:rFonts w:ascii="Times New Roman" w:hAnsi="Times New Roman"/>
          <w:lang w:val="en-US"/>
        </w:rPr>
      </w:pPr>
      <w:r w:rsidRPr="007D770B">
        <w:rPr>
          <w:rFonts w:ascii="Times New Roman" w:hAnsi="Times New Roman"/>
          <w:lang w:val="en-US"/>
        </w:rPr>
        <w:t xml:space="preserve">due from other banks, as described in section 3 </w:t>
      </w:r>
      <w:r w:rsidR="00802136" w:rsidRPr="007D770B">
        <w:rPr>
          <w:rFonts w:ascii="Times New Roman" w:hAnsi="Times New Roman"/>
          <w:lang w:val="en-US"/>
        </w:rPr>
        <w:t>"</w:t>
      </w:r>
      <w:r w:rsidRPr="007D770B">
        <w:rPr>
          <w:rFonts w:ascii="Times New Roman" w:hAnsi="Times New Roman"/>
          <w:lang w:val="en-US"/>
        </w:rPr>
        <w:t xml:space="preserve">Financial assets and liabilities (IAS 32, IFRS </w:t>
      </w:r>
      <w:r w:rsidR="00C538E1" w:rsidRPr="007D770B">
        <w:rPr>
          <w:rFonts w:ascii="Times New Roman" w:hAnsi="Times New Roman"/>
          <w:lang w:val="en-US"/>
        </w:rPr>
        <w:t>9</w:t>
      </w:r>
      <w:r w:rsidRPr="007D770B">
        <w:rPr>
          <w:rFonts w:ascii="Times New Roman" w:hAnsi="Times New Roman"/>
          <w:lang w:val="en-US"/>
        </w:rPr>
        <w:t>, IFRS 7)</w:t>
      </w:r>
      <w:r w:rsidR="00802136" w:rsidRPr="007D770B">
        <w:rPr>
          <w:rFonts w:ascii="Times New Roman" w:hAnsi="Times New Roman"/>
          <w:lang w:val="en-US"/>
        </w:rPr>
        <w:t xml:space="preserve">" of </w:t>
      </w:r>
      <w:r w:rsidRPr="007D770B">
        <w:rPr>
          <w:rFonts w:ascii="Times New Roman" w:hAnsi="Times New Roman"/>
          <w:lang w:val="en-US"/>
        </w:rPr>
        <w:t>chapter 2;</w:t>
      </w:r>
    </w:p>
    <w:p w14:paraId="21781F2E" w14:textId="02A3784E" w:rsidR="00286356" w:rsidRPr="007D770B" w:rsidRDefault="00286356" w:rsidP="00AE698A">
      <w:pPr>
        <w:numPr>
          <w:ilvl w:val="0"/>
          <w:numId w:val="181"/>
        </w:numPr>
        <w:spacing w:before="240" w:line="240" w:lineRule="auto"/>
        <w:ind w:left="720"/>
        <w:rPr>
          <w:rFonts w:ascii="Times New Roman" w:hAnsi="Times New Roman"/>
          <w:lang w:val="en-US"/>
        </w:rPr>
      </w:pPr>
      <w:r w:rsidRPr="007D770B">
        <w:rPr>
          <w:rFonts w:ascii="Times New Roman" w:hAnsi="Times New Roman"/>
          <w:lang w:val="en-US"/>
        </w:rPr>
        <w:t xml:space="preserve">loans and advances to customers as described in section 3 </w:t>
      </w:r>
      <w:r w:rsidR="00802136" w:rsidRPr="007D770B">
        <w:rPr>
          <w:rFonts w:ascii="Times New Roman" w:hAnsi="Times New Roman"/>
          <w:lang w:val="en-US"/>
        </w:rPr>
        <w:t>"</w:t>
      </w:r>
      <w:r w:rsidRPr="007D770B">
        <w:rPr>
          <w:rFonts w:ascii="Times New Roman" w:hAnsi="Times New Roman"/>
          <w:lang w:val="en-US"/>
        </w:rPr>
        <w:t xml:space="preserve">Financial assets and liabilities (IAS 32, </w:t>
      </w:r>
      <w:r w:rsidR="00C538E1" w:rsidRPr="007D770B">
        <w:rPr>
          <w:rFonts w:ascii="Times New Roman" w:hAnsi="Times New Roman"/>
          <w:lang w:val="en-US"/>
        </w:rPr>
        <w:t>IFRS 9</w:t>
      </w:r>
      <w:r w:rsidRPr="007D770B">
        <w:rPr>
          <w:rFonts w:ascii="Times New Roman" w:hAnsi="Times New Roman"/>
          <w:lang w:val="en-US"/>
        </w:rPr>
        <w:t>, IFRS 7)</w:t>
      </w:r>
      <w:r w:rsidR="00802136" w:rsidRPr="007D770B">
        <w:rPr>
          <w:rFonts w:ascii="Times New Roman" w:hAnsi="Times New Roman"/>
          <w:lang w:val="en-US"/>
        </w:rPr>
        <w:t xml:space="preserve">" </w:t>
      </w:r>
      <w:r w:rsidRPr="007D770B">
        <w:rPr>
          <w:rFonts w:ascii="Times New Roman" w:hAnsi="Times New Roman"/>
          <w:lang w:val="en-US"/>
        </w:rPr>
        <w:t>of chapter 2;</w:t>
      </w:r>
    </w:p>
    <w:p w14:paraId="1850DE7C" w14:textId="5A499C24" w:rsidR="00286356" w:rsidRPr="007D770B" w:rsidRDefault="00286356" w:rsidP="00AE698A">
      <w:pPr>
        <w:numPr>
          <w:ilvl w:val="0"/>
          <w:numId w:val="181"/>
        </w:numPr>
        <w:spacing w:before="240" w:line="240" w:lineRule="auto"/>
        <w:ind w:left="720"/>
        <w:rPr>
          <w:rFonts w:ascii="Times New Roman" w:hAnsi="Times New Roman"/>
          <w:lang w:val="en-US"/>
        </w:rPr>
      </w:pPr>
      <w:r w:rsidRPr="007D770B">
        <w:rPr>
          <w:rFonts w:ascii="Times New Roman" w:hAnsi="Times New Roman"/>
          <w:lang w:val="en-US"/>
        </w:rPr>
        <w:lastRenderedPageBreak/>
        <w:t xml:space="preserve">available-for-sale securities as described in section 3 </w:t>
      </w:r>
      <w:r w:rsidR="00802136" w:rsidRPr="007D770B">
        <w:rPr>
          <w:rFonts w:ascii="Times New Roman" w:hAnsi="Times New Roman"/>
          <w:lang w:val="en-US"/>
        </w:rPr>
        <w:t>"</w:t>
      </w:r>
      <w:r w:rsidRPr="007D770B">
        <w:rPr>
          <w:rFonts w:ascii="Times New Roman" w:hAnsi="Times New Roman"/>
          <w:lang w:val="en-US"/>
        </w:rPr>
        <w:t xml:space="preserve">Financial assets and liabilities (IAS 32, </w:t>
      </w:r>
      <w:r w:rsidR="00C538E1" w:rsidRPr="007D770B">
        <w:rPr>
          <w:rFonts w:ascii="Times New Roman" w:hAnsi="Times New Roman"/>
          <w:lang w:val="en-US"/>
        </w:rPr>
        <w:t>IFRS 9</w:t>
      </w:r>
      <w:r w:rsidRPr="007D770B">
        <w:rPr>
          <w:rFonts w:ascii="Times New Roman" w:hAnsi="Times New Roman"/>
          <w:lang w:val="en-US"/>
        </w:rPr>
        <w:t>,</w:t>
      </w:r>
      <w:r w:rsidR="00C538E1" w:rsidRPr="007D770B">
        <w:rPr>
          <w:rFonts w:ascii="Times New Roman" w:hAnsi="Times New Roman"/>
          <w:lang w:val="en-US"/>
        </w:rPr>
        <w:t xml:space="preserve"> IFRS </w:t>
      </w:r>
      <w:r w:rsidRPr="007D770B">
        <w:rPr>
          <w:rFonts w:ascii="Times New Roman" w:hAnsi="Times New Roman"/>
          <w:lang w:val="en-US"/>
        </w:rPr>
        <w:t>7)</w:t>
      </w:r>
      <w:r w:rsidR="00802136" w:rsidRPr="007D770B">
        <w:rPr>
          <w:rFonts w:ascii="Times New Roman" w:hAnsi="Times New Roman"/>
          <w:lang w:val="en-US"/>
        </w:rPr>
        <w:t xml:space="preserve">" </w:t>
      </w:r>
      <w:r w:rsidRPr="007D770B">
        <w:rPr>
          <w:rFonts w:ascii="Times New Roman" w:hAnsi="Times New Roman"/>
          <w:lang w:val="en-US"/>
        </w:rPr>
        <w:t>of chapter 2;</w:t>
      </w:r>
    </w:p>
    <w:p w14:paraId="71740C6B" w14:textId="4A969605" w:rsidR="00286356" w:rsidRPr="007D770B" w:rsidRDefault="00286356" w:rsidP="00AE698A">
      <w:pPr>
        <w:numPr>
          <w:ilvl w:val="0"/>
          <w:numId w:val="181"/>
        </w:numPr>
        <w:spacing w:before="240" w:line="240" w:lineRule="auto"/>
        <w:ind w:left="720"/>
        <w:rPr>
          <w:rFonts w:ascii="Times New Roman" w:hAnsi="Times New Roman"/>
          <w:lang w:val="en-US"/>
        </w:rPr>
      </w:pPr>
      <w:r w:rsidRPr="007D770B">
        <w:rPr>
          <w:rFonts w:ascii="Times New Roman" w:hAnsi="Times New Roman"/>
          <w:lang w:val="en-US"/>
        </w:rPr>
        <w:t xml:space="preserve">held-to-maturity securities as described in Section 5 </w:t>
      </w:r>
      <w:r w:rsidR="00802136" w:rsidRPr="007D770B">
        <w:rPr>
          <w:rFonts w:ascii="Times New Roman" w:hAnsi="Times New Roman"/>
          <w:lang w:val="en-US"/>
        </w:rPr>
        <w:t>"</w:t>
      </w:r>
      <w:r w:rsidRPr="007D770B">
        <w:rPr>
          <w:rFonts w:ascii="Times New Roman" w:hAnsi="Times New Roman"/>
          <w:lang w:val="en-US"/>
        </w:rPr>
        <w:t>Cash and Cash Equivalents (IAS 7)</w:t>
      </w:r>
      <w:r w:rsidR="00802136" w:rsidRPr="007D770B">
        <w:rPr>
          <w:rFonts w:ascii="Times New Roman" w:hAnsi="Times New Roman"/>
          <w:lang w:val="en-US"/>
        </w:rPr>
        <w:t xml:space="preserve">" </w:t>
      </w:r>
      <w:r w:rsidRPr="007D770B">
        <w:rPr>
          <w:rFonts w:ascii="Times New Roman" w:hAnsi="Times New Roman"/>
          <w:lang w:val="en-US"/>
        </w:rPr>
        <w:t>of Chapter 2;</w:t>
      </w:r>
    </w:p>
    <w:p w14:paraId="0C0D48C1" w14:textId="1A75DD54" w:rsidR="00286356" w:rsidRPr="007D770B" w:rsidRDefault="00286356" w:rsidP="00AE698A">
      <w:pPr>
        <w:numPr>
          <w:ilvl w:val="0"/>
          <w:numId w:val="181"/>
        </w:numPr>
        <w:spacing w:before="240" w:line="240" w:lineRule="auto"/>
        <w:ind w:left="720"/>
        <w:rPr>
          <w:rFonts w:ascii="Times New Roman" w:hAnsi="Times New Roman"/>
          <w:lang w:val="en-US"/>
        </w:rPr>
      </w:pPr>
      <w:r w:rsidRPr="007D770B">
        <w:rPr>
          <w:rFonts w:ascii="Times New Roman" w:hAnsi="Times New Roman"/>
          <w:lang w:val="en-US"/>
        </w:rPr>
        <w:t xml:space="preserve">cash and cash equivalents as described in section 5 </w:t>
      </w:r>
      <w:r w:rsidR="00802136" w:rsidRPr="007D770B">
        <w:rPr>
          <w:rFonts w:ascii="Times New Roman" w:hAnsi="Times New Roman"/>
          <w:lang w:val="en-US"/>
        </w:rPr>
        <w:t>"</w:t>
      </w:r>
      <w:r w:rsidRPr="007D770B">
        <w:rPr>
          <w:rFonts w:ascii="Times New Roman" w:hAnsi="Times New Roman"/>
          <w:lang w:val="en-US"/>
        </w:rPr>
        <w:t>Cash and cash equivalents (IAS 7)</w:t>
      </w:r>
      <w:r w:rsidR="00802136" w:rsidRPr="007D770B">
        <w:rPr>
          <w:rFonts w:ascii="Times New Roman" w:hAnsi="Times New Roman"/>
          <w:lang w:val="en-US"/>
        </w:rPr>
        <w:t xml:space="preserve">" </w:t>
      </w:r>
      <w:r w:rsidRPr="007D770B">
        <w:rPr>
          <w:rFonts w:ascii="Times New Roman" w:hAnsi="Times New Roman"/>
          <w:lang w:val="en-US"/>
        </w:rPr>
        <w:t xml:space="preserve">of chapter 2; </w:t>
      </w:r>
    </w:p>
    <w:p w14:paraId="74ACCC88" w14:textId="61E62C34" w:rsidR="00286356" w:rsidRPr="007D770B" w:rsidRDefault="00286356" w:rsidP="00AE698A">
      <w:pPr>
        <w:numPr>
          <w:ilvl w:val="0"/>
          <w:numId w:val="181"/>
        </w:numPr>
        <w:spacing w:before="240" w:line="240" w:lineRule="auto"/>
        <w:ind w:left="720"/>
        <w:rPr>
          <w:rFonts w:ascii="Times New Roman" w:hAnsi="Times New Roman"/>
          <w:lang w:val="en-US"/>
        </w:rPr>
      </w:pPr>
      <w:r w:rsidRPr="007D770B">
        <w:rPr>
          <w:rFonts w:ascii="Times New Roman" w:hAnsi="Times New Roman"/>
          <w:lang w:val="en-US"/>
        </w:rPr>
        <w:t xml:space="preserve">intangible assets as described in section 2 </w:t>
      </w:r>
      <w:r w:rsidR="00802136" w:rsidRPr="007D770B">
        <w:rPr>
          <w:rFonts w:ascii="Times New Roman" w:hAnsi="Times New Roman"/>
          <w:lang w:val="en-US"/>
        </w:rPr>
        <w:t>"</w:t>
      </w:r>
      <w:r w:rsidRPr="007D770B">
        <w:rPr>
          <w:rFonts w:ascii="Times New Roman" w:hAnsi="Times New Roman"/>
          <w:lang w:val="en-US"/>
        </w:rPr>
        <w:t>Intangible Assets (IAS 38)</w:t>
      </w:r>
      <w:r w:rsidR="00802136" w:rsidRPr="007D770B">
        <w:rPr>
          <w:rFonts w:ascii="Times New Roman" w:hAnsi="Times New Roman"/>
          <w:lang w:val="en-US"/>
        </w:rPr>
        <w:t xml:space="preserve">" of </w:t>
      </w:r>
      <w:r w:rsidRPr="007D770B">
        <w:rPr>
          <w:rFonts w:ascii="Times New Roman" w:hAnsi="Times New Roman"/>
          <w:lang w:val="en-US"/>
        </w:rPr>
        <w:t xml:space="preserve">chapter 2; </w:t>
      </w:r>
    </w:p>
    <w:p w14:paraId="242F74FE" w14:textId="235FEA28" w:rsidR="00286356" w:rsidRPr="007D770B" w:rsidRDefault="00286356" w:rsidP="00AE698A">
      <w:pPr>
        <w:numPr>
          <w:ilvl w:val="0"/>
          <w:numId w:val="181"/>
        </w:numPr>
        <w:spacing w:before="240" w:line="240" w:lineRule="auto"/>
        <w:ind w:left="720"/>
        <w:rPr>
          <w:rFonts w:ascii="Times New Roman" w:hAnsi="Times New Roman"/>
          <w:lang w:val="en-US"/>
        </w:rPr>
      </w:pPr>
      <w:r w:rsidRPr="007D770B">
        <w:rPr>
          <w:rFonts w:ascii="Times New Roman" w:hAnsi="Times New Roman"/>
          <w:lang w:val="en-US"/>
        </w:rPr>
        <w:t>property, plant and equipment as described in section 1</w:t>
      </w:r>
      <w:r w:rsidR="00802136" w:rsidRPr="007D770B">
        <w:rPr>
          <w:rFonts w:ascii="Times New Roman" w:hAnsi="Times New Roman"/>
          <w:lang w:val="en-US"/>
        </w:rPr>
        <w:t>,</w:t>
      </w:r>
      <w:r w:rsidRPr="007D770B">
        <w:rPr>
          <w:rFonts w:ascii="Times New Roman" w:hAnsi="Times New Roman"/>
          <w:lang w:val="en-US"/>
        </w:rPr>
        <w:t xml:space="preserve"> Property</w:t>
      </w:r>
      <w:r w:rsidR="00802136" w:rsidRPr="007D770B">
        <w:rPr>
          <w:rFonts w:ascii="Times New Roman" w:hAnsi="Times New Roman"/>
          <w:lang w:val="en-US"/>
        </w:rPr>
        <w:t xml:space="preserve">, </w:t>
      </w:r>
      <w:r w:rsidRPr="007D770B">
        <w:rPr>
          <w:rFonts w:ascii="Times New Roman" w:hAnsi="Times New Roman"/>
          <w:lang w:val="en-US"/>
        </w:rPr>
        <w:t xml:space="preserve">plant and equipment (IAS 16) </w:t>
      </w:r>
      <w:r w:rsidR="006D498B" w:rsidRPr="007D770B">
        <w:rPr>
          <w:rFonts w:ascii="Times New Roman" w:hAnsi="Times New Roman"/>
          <w:lang w:val="en-US"/>
        </w:rPr>
        <w:t>of chapter 2</w:t>
      </w:r>
      <w:r w:rsidRPr="007D770B">
        <w:rPr>
          <w:rFonts w:ascii="Times New Roman" w:hAnsi="Times New Roman"/>
          <w:lang w:val="en-US"/>
        </w:rPr>
        <w:t>;</w:t>
      </w:r>
    </w:p>
    <w:p w14:paraId="4BA80A37" w14:textId="77777777" w:rsidR="00286356" w:rsidRPr="007D770B" w:rsidRDefault="00286356" w:rsidP="00AE698A">
      <w:pPr>
        <w:numPr>
          <w:ilvl w:val="0"/>
          <w:numId w:val="181"/>
        </w:numPr>
        <w:spacing w:before="240" w:line="240" w:lineRule="auto"/>
        <w:ind w:left="720"/>
        <w:rPr>
          <w:rFonts w:ascii="Times New Roman" w:hAnsi="Times New Roman"/>
          <w:lang w:val="en-US"/>
        </w:rPr>
      </w:pPr>
      <w:r w:rsidRPr="007D770B">
        <w:rPr>
          <w:rFonts w:ascii="Times New Roman" w:hAnsi="Times New Roman"/>
          <w:lang w:val="en-US"/>
        </w:rPr>
        <w:t>other assets (accounts receivable, prepayments and advances paid, inventories and other assets);</w:t>
      </w:r>
    </w:p>
    <w:p w14:paraId="089CC6F0" w14:textId="77777777" w:rsidR="00286356" w:rsidRPr="007D770B" w:rsidRDefault="00286356" w:rsidP="00AE698A">
      <w:pPr>
        <w:numPr>
          <w:ilvl w:val="0"/>
          <w:numId w:val="181"/>
        </w:numPr>
        <w:spacing w:before="240" w:line="240" w:lineRule="auto"/>
        <w:ind w:left="720"/>
        <w:rPr>
          <w:rFonts w:ascii="Times New Roman" w:hAnsi="Times New Roman"/>
          <w:lang w:val="en-US"/>
        </w:rPr>
      </w:pPr>
      <w:r w:rsidRPr="007D770B">
        <w:rPr>
          <w:rFonts w:ascii="Times New Roman" w:hAnsi="Times New Roman"/>
          <w:lang w:val="en-US"/>
        </w:rPr>
        <w:t>other liabilities (accounts payable and other payables, other reserves);</w:t>
      </w:r>
    </w:p>
    <w:p w14:paraId="01888855" w14:textId="68060C57" w:rsidR="00286356" w:rsidRPr="007D770B" w:rsidRDefault="00286356" w:rsidP="00AE698A">
      <w:pPr>
        <w:numPr>
          <w:ilvl w:val="0"/>
          <w:numId w:val="180"/>
        </w:numPr>
        <w:spacing w:before="240" w:line="240" w:lineRule="auto"/>
        <w:rPr>
          <w:rFonts w:ascii="Times New Roman" w:hAnsi="Times New Roman"/>
          <w:lang w:val="en-US"/>
        </w:rPr>
      </w:pPr>
      <w:r w:rsidRPr="007D770B">
        <w:rPr>
          <w:rFonts w:ascii="Times New Roman" w:hAnsi="Times New Roman"/>
          <w:lang w:val="en-US"/>
        </w:rPr>
        <w:t xml:space="preserve">current and deferred income tax liabilities and assets as described in section </w:t>
      </w:r>
      <w:r w:rsidR="00C538E1" w:rsidRPr="007D770B">
        <w:rPr>
          <w:rFonts w:ascii="Times New Roman" w:hAnsi="Times New Roman"/>
          <w:lang w:val="en-US"/>
        </w:rPr>
        <w:t xml:space="preserve">13 </w:t>
      </w:r>
      <w:r w:rsidR="00802136" w:rsidRPr="007D770B">
        <w:rPr>
          <w:rFonts w:ascii="Times New Roman" w:hAnsi="Times New Roman"/>
          <w:lang w:val="en-US"/>
        </w:rPr>
        <w:t>"</w:t>
      </w:r>
      <w:r w:rsidRPr="007D770B">
        <w:rPr>
          <w:rFonts w:ascii="Times New Roman" w:hAnsi="Times New Roman"/>
          <w:lang w:val="en-US"/>
        </w:rPr>
        <w:t>Taxes (IAS 12)</w:t>
      </w:r>
      <w:r w:rsidR="00802136" w:rsidRPr="007D770B">
        <w:rPr>
          <w:rFonts w:ascii="Times New Roman" w:hAnsi="Times New Roman"/>
          <w:lang w:val="en-US"/>
        </w:rPr>
        <w:t xml:space="preserve">" </w:t>
      </w:r>
      <w:r w:rsidRPr="007D770B">
        <w:rPr>
          <w:rFonts w:ascii="Times New Roman" w:hAnsi="Times New Roman"/>
          <w:lang w:val="en-US"/>
        </w:rPr>
        <w:t>of chapter 2;</w:t>
      </w:r>
    </w:p>
    <w:p w14:paraId="7BB721D1" w14:textId="63514465" w:rsidR="00952F89" w:rsidRPr="007D770B" w:rsidRDefault="00952F89" w:rsidP="00AE698A">
      <w:pPr>
        <w:numPr>
          <w:ilvl w:val="0"/>
          <w:numId w:val="180"/>
        </w:numPr>
        <w:spacing w:before="240" w:line="240" w:lineRule="auto"/>
        <w:rPr>
          <w:rFonts w:ascii="Times New Roman" w:hAnsi="Times New Roman"/>
          <w:lang w:val="en-US"/>
        </w:rPr>
      </w:pPr>
      <w:r w:rsidRPr="007D770B">
        <w:rPr>
          <w:rFonts w:ascii="Times New Roman" w:hAnsi="Times New Roman"/>
          <w:lang w:val="en-US"/>
        </w:rPr>
        <w:t xml:space="preserve">liabilities included in assets of disposal groups classified as held for sale as described in section </w:t>
      </w:r>
      <w:r w:rsidR="00782D3E" w:rsidRPr="007D770B">
        <w:rPr>
          <w:rFonts w:ascii="Times New Roman" w:hAnsi="Times New Roman"/>
          <w:lang w:val="en-US"/>
        </w:rPr>
        <w:t xml:space="preserve">6 </w:t>
      </w:r>
      <w:r w:rsidRPr="007D770B">
        <w:rPr>
          <w:rFonts w:ascii="Times New Roman" w:hAnsi="Times New Roman"/>
          <w:lang w:val="en-US"/>
        </w:rPr>
        <w:t xml:space="preserve">Non-current Assets Held for Sale and Discontinued Operations (IFRS 5) </w:t>
      </w:r>
      <w:r w:rsidR="00802136" w:rsidRPr="007D770B">
        <w:rPr>
          <w:rFonts w:ascii="Times New Roman" w:hAnsi="Times New Roman"/>
          <w:lang w:val="en-US"/>
        </w:rPr>
        <w:t xml:space="preserve">of </w:t>
      </w:r>
      <w:r w:rsidRPr="007D770B">
        <w:rPr>
          <w:rFonts w:ascii="Times New Roman" w:hAnsi="Times New Roman"/>
          <w:lang w:val="en-US"/>
        </w:rPr>
        <w:t>Chapter 2;</w:t>
      </w:r>
    </w:p>
    <w:p w14:paraId="6DE2DF9F" w14:textId="0BF07B9B" w:rsidR="00C7023F" w:rsidRPr="00C7023F" w:rsidRDefault="00286356" w:rsidP="00AE698A">
      <w:pPr>
        <w:numPr>
          <w:ilvl w:val="0"/>
          <w:numId w:val="180"/>
        </w:numPr>
        <w:spacing w:before="240" w:line="240" w:lineRule="auto"/>
        <w:rPr>
          <w:rFonts w:ascii="Times New Roman" w:hAnsi="Times New Roman"/>
        </w:rPr>
      </w:pPr>
      <w:r w:rsidRPr="009C1B1B">
        <w:rPr>
          <w:rFonts w:ascii="Times New Roman" w:hAnsi="Times New Roman"/>
        </w:rPr>
        <w:t>equity capital</w:t>
      </w:r>
    </w:p>
    <w:p w14:paraId="33A9C030" w14:textId="77777777" w:rsidR="00286356" w:rsidRPr="007D770B" w:rsidRDefault="00286356" w:rsidP="00C7023F">
      <w:pPr>
        <w:spacing w:before="240" w:line="240" w:lineRule="auto"/>
        <w:ind w:left="0"/>
        <w:rPr>
          <w:rFonts w:ascii="Times New Roman" w:hAnsi="Times New Roman"/>
          <w:lang w:val="en-US"/>
        </w:rPr>
      </w:pPr>
      <w:r w:rsidRPr="007D770B">
        <w:rPr>
          <w:rFonts w:ascii="Times New Roman" w:hAnsi="Times New Roman"/>
          <w:lang w:val="en-US"/>
        </w:rPr>
        <w:t>Regardless of which presentation method is adopted, the Bank shall disclose the amounts expected to be settled or recovered more than twelve months after the end of the reporting period for each item of assets and liabilities that combines amounts expected to be settled or recovered (a) within twelve months after the end of the reporting period and (b) more than twelve months after the end of the reporting period.</w:t>
      </w:r>
    </w:p>
    <w:p w14:paraId="123EC656" w14:textId="77777777" w:rsidR="00286356" w:rsidRPr="007D770B" w:rsidRDefault="00286356" w:rsidP="009C1B1B">
      <w:pPr>
        <w:spacing w:before="240"/>
        <w:ind w:left="0"/>
        <w:rPr>
          <w:rFonts w:ascii="Times New Roman" w:hAnsi="Times New Roman"/>
          <w:lang w:val="en-US"/>
        </w:rPr>
      </w:pPr>
      <w:r w:rsidRPr="007D770B">
        <w:rPr>
          <w:rFonts w:ascii="Times New Roman" w:hAnsi="Times New Roman"/>
          <w:lang w:val="en-US"/>
        </w:rPr>
        <w:t xml:space="preserve">The Bank's operating cycle means the period of time between the acquisition of assets for operating activities and the time they are exchanged for cash or cash equivalents. When an entity's normal operating cycle is not defined, it is assumed to be twelve months. </w:t>
      </w:r>
    </w:p>
    <w:p w14:paraId="0D4B7D01" w14:textId="77777777" w:rsidR="00286356" w:rsidRPr="007D770B" w:rsidRDefault="00286356" w:rsidP="009C1B1B">
      <w:pPr>
        <w:keepNext/>
        <w:spacing w:before="240"/>
        <w:ind w:left="0"/>
        <w:rPr>
          <w:rFonts w:ascii="Times New Roman" w:hAnsi="Times New Roman"/>
          <w:b/>
          <w:lang w:val="en-US"/>
        </w:rPr>
      </w:pPr>
      <w:r w:rsidRPr="007D770B">
        <w:rPr>
          <w:rFonts w:ascii="Times New Roman" w:hAnsi="Times New Roman"/>
          <w:b/>
          <w:lang w:val="en-US"/>
        </w:rPr>
        <w:t>Statement of profit or loss and other comprehensive income</w:t>
      </w:r>
    </w:p>
    <w:p w14:paraId="240745D7" w14:textId="77777777" w:rsidR="00286356" w:rsidRPr="007D770B" w:rsidRDefault="00286356" w:rsidP="009C1B1B">
      <w:pPr>
        <w:spacing w:before="240"/>
        <w:ind w:left="0"/>
        <w:rPr>
          <w:rFonts w:ascii="Times New Roman" w:hAnsi="Times New Roman"/>
          <w:lang w:val="en-US"/>
        </w:rPr>
      </w:pPr>
      <w:r w:rsidRPr="007D770B">
        <w:rPr>
          <w:rFonts w:ascii="Times New Roman" w:hAnsi="Times New Roman"/>
          <w:lang w:val="en-US"/>
        </w:rPr>
        <w:t>The statement of profit or loss and other comprehensive income shows the results of the Bank's operations for a particular period.</w:t>
      </w:r>
    </w:p>
    <w:p w14:paraId="460EFE9B" w14:textId="39ED871B" w:rsidR="00286356" w:rsidRPr="007D770B" w:rsidRDefault="00286356" w:rsidP="009C1B1B">
      <w:pPr>
        <w:spacing w:before="240"/>
        <w:ind w:left="0"/>
        <w:rPr>
          <w:rFonts w:ascii="Times New Roman" w:hAnsi="Times New Roman"/>
          <w:lang w:val="en-US"/>
        </w:rPr>
      </w:pPr>
      <w:r w:rsidRPr="007D770B">
        <w:rPr>
          <w:rFonts w:ascii="Times New Roman" w:hAnsi="Times New Roman"/>
          <w:lang w:val="en-US"/>
        </w:rPr>
        <w:t xml:space="preserve">In the statement of profit or loss and other comprehensive income, the Bank classifies income </w:t>
      </w:r>
      <w:r w:rsidR="0064192D" w:rsidRPr="007D770B">
        <w:rPr>
          <w:rFonts w:ascii="Times New Roman" w:hAnsi="Times New Roman"/>
          <w:lang w:val="en-US"/>
        </w:rPr>
        <w:t>and</w:t>
      </w:r>
      <w:r w:rsidRPr="007D770B">
        <w:rPr>
          <w:rFonts w:ascii="Times New Roman" w:hAnsi="Times New Roman"/>
          <w:lang w:val="en-US"/>
        </w:rPr>
        <w:t xml:space="preserve"> expenses according to their nature:</w:t>
      </w:r>
    </w:p>
    <w:p w14:paraId="484A4E4F" w14:textId="63AEFCB8" w:rsidR="00286356" w:rsidRPr="007D770B" w:rsidRDefault="00286356" w:rsidP="00AE698A">
      <w:pPr>
        <w:numPr>
          <w:ilvl w:val="0"/>
          <w:numId w:val="234"/>
        </w:numPr>
        <w:spacing w:before="240" w:line="240" w:lineRule="auto"/>
        <w:rPr>
          <w:rFonts w:ascii="Times New Roman" w:hAnsi="Times New Roman"/>
          <w:lang w:val="en-US"/>
        </w:rPr>
      </w:pPr>
      <w:r w:rsidRPr="007D770B">
        <w:rPr>
          <w:rFonts w:ascii="Times New Roman" w:hAnsi="Times New Roman"/>
          <w:lang w:val="en-US"/>
        </w:rPr>
        <w:t xml:space="preserve">interest income as described in Section </w:t>
      </w:r>
      <w:r w:rsidR="00AE5865" w:rsidRPr="007D770B">
        <w:rPr>
          <w:rFonts w:ascii="Times New Roman" w:hAnsi="Times New Roman"/>
          <w:lang w:val="en-US"/>
        </w:rPr>
        <w:t xml:space="preserve">9 </w:t>
      </w:r>
      <w:r w:rsidR="00AE5865" w:rsidRPr="007D770B">
        <w:rPr>
          <w:rFonts w:ascii="Times New Roman" w:hAnsi="Times New Roman"/>
          <w:lang w:val="en-US" w:eastAsia="ru-RU"/>
        </w:rPr>
        <w:t xml:space="preserve">Revenue from Contracts with Customers </w:t>
      </w:r>
      <w:r w:rsidRPr="007D770B">
        <w:rPr>
          <w:rFonts w:ascii="Times New Roman" w:hAnsi="Times New Roman"/>
          <w:lang w:val="en-US"/>
        </w:rPr>
        <w:t>(</w:t>
      </w:r>
      <w:r w:rsidR="000A39ED" w:rsidRPr="007D770B">
        <w:rPr>
          <w:rFonts w:ascii="Times New Roman" w:hAnsi="Times New Roman"/>
          <w:lang w:val="en-US"/>
        </w:rPr>
        <w:t>IFRS 15</w:t>
      </w:r>
      <w:r w:rsidRPr="007D770B">
        <w:rPr>
          <w:rFonts w:ascii="Times New Roman" w:hAnsi="Times New Roman"/>
          <w:lang w:val="en-US"/>
        </w:rPr>
        <w:t>) of Chapter 2</w:t>
      </w:r>
    </w:p>
    <w:p w14:paraId="65AB09E8" w14:textId="40C1E96D" w:rsidR="00286356" w:rsidRPr="007D770B" w:rsidRDefault="00286356" w:rsidP="00AE698A">
      <w:pPr>
        <w:numPr>
          <w:ilvl w:val="0"/>
          <w:numId w:val="234"/>
        </w:numPr>
        <w:spacing w:before="240" w:line="240" w:lineRule="auto"/>
        <w:rPr>
          <w:rFonts w:ascii="Times New Roman" w:hAnsi="Times New Roman"/>
          <w:lang w:val="en-US"/>
        </w:rPr>
      </w:pPr>
      <w:r w:rsidRPr="007D770B">
        <w:rPr>
          <w:rFonts w:ascii="Times New Roman" w:hAnsi="Times New Roman"/>
          <w:lang w:val="en-US"/>
        </w:rPr>
        <w:t xml:space="preserve">interest expense as described in Section </w:t>
      </w:r>
      <w:r w:rsidR="0088650A" w:rsidRPr="007D770B">
        <w:rPr>
          <w:rFonts w:ascii="Times New Roman" w:hAnsi="Times New Roman"/>
          <w:lang w:val="en-US"/>
        </w:rPr>
        <w:t>10</w:t>
      </w:r>
      <w:r w:rsidRPr="007D770B">
        <w:rPr>
          <w:rFonts w:ascii="Times New Roman" w:hAnsi="Times New Roman"/>
          <w:lang w:val="en-US"/>
        </w:rPr>
        <w:t xml:space="preserve">, </w:t>
      </w:r>
      <w:r w:rsidR="00802136" w:rsidRPr="007D770B">
        <w:rPr>
          <w:rFonts w:ascii="Times New Roman" w:hAnsi="Times New Roman"/>
          <w:lang w:val="en-US"/>
        </w:rPr>
        <w:t>"</w:t>
      </w:r>
      <w:r w:rsidRPr="007D770B">
        <w:rPr>
          <w:rFonts w:ascii="Times New Roman" w:hAnsi="Times New Roman"/>
          <w:lang w:val="en-US"/>
        </w:rPr>
        <w:t>Expenses</w:t>
      </w:r>
      <w:r w:rsidR="00802136" w:rsidRPr="007D770B">
        <w:rPr>
          <w:rFonts w:ascii="Times New Roman" w:hAnsi="Times New Roman"/>
          <w:lang w:val="en-US"/>
        </w:rPr>
        <w:t xml:space="preserve">," </w:t>
      </w:r>
      <w:r w:rsidRPr="007D770B">
        <w:rPr>
          <w:rFonts w:ascii="Times New Roman" w:hAnsi="Times New Roman"/>
          <w:lang w:val="en-US"/>
        </w:rPr>
        <w:t>of Chapter 2;</w:t>
      </w:r>
    </w:p>
    <w:p w14:paraId="6DA807FC" w14:textId="3C1EB91F" w:rsidR="00286356" w:rsidRPr="007D770B" w:rsidRDefault="00286356" w:rsidP="00AE698A">
      <w:pPr>
        <w:numPr>
          <w:ilvl w:val="0"/>
          <w:numId w:val="234"/>
        </w:numPr>
        <w:spacing w:before="240" w:line="240" w:lineRule="auto"/>
        <w:rPr>
          <w:rFonts w:ascii="Times New Roman" w:hAnsi="Times New Roman"/>
          <w:lang w:val="en-US"/>
        </w:rPr>
      </w:pPr>
      <w:r w:rsidRPr="007D770B">
        <w:rPr>
          <w:rFonts w:ascii="Times New Roman" w:hAnsi="Times New Roman"/>
          <w:lang w:val="en-US"/>
        </w:rPr>
        <w:t>commission income</w:t>
      </w:r>
      <w:r w:rsidR="00802136" w:rsidRPr="007D770B">
        <w:rPr>
          <w:rFonts w:ascii="Times New Roman" w:hAnsi="Times New Roman"/>
          <w:lang w:val="en-US"/>
        </w:rPr>
        <w:t>,</w:t>
      </w:r>
      <w:r w:rsidRPr="007D770B">
        <w:rPr>
          <w:rFonts w:ascii="Times New Roman" w:hAnsi="Times New Roman"/>
          <w:lang w:val="en-US"/>
        </w:rPr>
        <w:t xml:space="preserve"> as described in section </w:t>
      </w:r>
      <w:r w:rsidR="00AE5865" w:rsidRPr="007D770B">
        <w:rPr>
          <w:rFonts w:ascii="Times New Roman" w:hAnsi="Times New Roman"/>
          <w:lang w:val="en-US"/>
        </w:rPr>
        <w:t xml:space="preserve">9 </w:t>
      </w:r>
      <w:r w:rsidR="00AE5865" w:rsidRPr="007D770B">
        <w:rPr>
          <w:rFonts w:ascii="Times New Roman" w:hAnsi="Times New Roman"/>
          <w:lang w:val="en-US" w:eastAsia="ru-RU"/>
        </w:rPr>
        <w:t xml:space="preserve">Revenue from contracts with customers </w:t>
      </w:r>
      <w:r w:rsidRPr="007D770B">
        <w:rPr>
          <w:rFonts w:ascii="Times New Roman" w:hAnsi="Times New Roman"/>
          <w:lang w:val="en-US"/>
        </w:rPr>
        <w:t>(</w:t>
      </w:r>
      <w:r w:rsidR="000A39ED" w:rsidRPr="007D770B">
        <w:rPr>
          <w:rFonts w:ascii="Times New Roman" w:hAnsi="Times New Roman"/>
          <w:lang w:val="en-US"/>
        </w:rPr>
        <w:t>IFRS 15</w:t>
      </w:r>
      <w:r w:rsidRPr="007D770B">
        <w:rPr>
          <w:rFonts w:ascii="Times New Roman" w:hAnsi="Times New Roman"/>
          <w:lang w:val="en-US"/>
        </w:rPr>
        <w:t>) in Chapter 2;</w:t>
      </w:r>
    </w:p>
    <w:p w14:paraId="62472E4E" w14:textId="37DA2442" w:rsidR="00286356" w:rsidRPr="007D770B" w:rsidRDefault="00286356" w:rsidP="00AE698A">
      <w:pPr>
        <w:numPr>
          <w:ilvl w:val="0"/>
          <w:numId w:val="234"/>
        </w:numPr>
        <w:spacing w:before="240" w:line="240" w:lineRule="auto"/>
        <w:rPr>
          <w:rFonts w:ascii="Times New Roman" w:hAnsi="Times New Roman"/>
          <w:lang w:val="en-US"/>
        </w:rPr>
      </w:pPr>
      <w:r w:rsidRPr="007D770B">
        <w:rPr>
          <w:rFonts w:ascii="Times New Roman" w:hAnsi="Times New Roman"/>
          <w:lang w:val="en-US"/>
        </w:rPr>
        <w:t xml:space="preserve">commission expenses as described in Section </w:t>
      </w:r>
      <w:r w:rsidR="0088650A" w:rsidRPr="007D770B">
        <w:rPr>
          <w:rFonts w:ascii="Times New Roman" w:hAnsi="Times New Roman"/>
          <w:lang w:val="en-US"/>
        </w:rPr>
        <w:t>10</w:t>
      </w:r>
      <w:r w:rsidRPr="007D770B">
        <w:rPr>
          <w:rFonts w:ascii="Times New Roman" w:hAnsi="Times New Roman"/>
          <w:lang w:val="en-US"/>
        </w:rPr>
        <w:t xml:space="preserve">, </w:t>
      </w:r>
      <w:r w:rsidR="00802136" w:rsidRPr="007D770B">
        <w:rPr>
          <w:rFonts w:ascii="Times New Roman" w:hAnsi="Times New Roman"/>
          <w:lang w:val="en-US"/>
        </w:rPr>
        <w:t>"</w:t>
      </w:r>
      <w:r w:rsidRPr="007D770B">
        <w:rPr>
          <w:rFonts w:ascii="Times New Roman" w:hAnsi="Times New Roman"/>
          <w:lang w:val="en-US"/>
        </w:rPr>
        <w:t>Expenses</w:t>
      </w:r>
      <w:r w:rsidR="00802136" w:rsidRPr="007D770B">
        <w:rPr>
          <w:rFonts w:ascii="Times New Roman" w:hAnsi="Times New Roman"/>
          <w:lang w:val="en-US"/>
        </w:rPr>
        <w:t xml:space="preserve">," </w:t>
      </w:r>
      <w:r w:rsidRPr="007D770B">
        <w:rPr>
          <w:rFonts w:ascii="Times New Roman" w:hAnsi="Times New Roman"/>
          <w:lang w:val="en-US"/>
        </w:rPr>
        <w:t>of Chapter 2;</w:t>
      </w:r>
    </w:p>
    <w:p w14:paraId="5FC84591" w14:textId="157F4ECA" w:rsidR="00286356" w:rsidRPr="007D770B" w:rsidRDefault="00286356" w:rsidP="00AE698A">
      <w:pPr>
        <w:numPr>
          <w:ilvl w:val="0"/>
          <w:numId w:val="234"/>
        </w:numPr>
        <w:spacing w:before="240" w:line="240" w:lineRule="auto"/>
        <w:rPr>
          <w:rFonts w:ascii="Times New Roman" w:hAnsi="Times New Roman"/>
          <w:lang w:val="en-US"/>
        </w:rPr>
      </w:pPr>
      <w:r w:rsidRPr="007D770B">
        <w:rPr>
          <w:rFonts w:ascii="Times New Roman" w:hAnsi="Times New Roman"/>
          <w:lang w:val="en-US"/>
        </w:rPr>
        <w:t xml:space="preserve">gains less losses from trading securities as described in section 3 </w:t>
      </w:r>
      <w:r w:rsidR="00802136" w:rsidRPr="007D770B">
        <w:rPr>
          <w:rFonts w:ascii="Times New Roman" w:hAnsi="Times New Roman"/>
          <w:lang w:val="en-US"/>
        </w:rPr>
        <w:t>"</w:t>
      </w:r>
      <w:r w:rsidRPr="007D770B">
        <w:rPr>
          <w:rFonts w:ascii="Times New Roman" w:hAnsi="Times New Roman"/>
          <w:lang w:val="en-US"/>
        </w:rPr>
        <w:t xml:space="preserve">Financial assets and liabilities (IAS 32, </w:t>
      </w:r>
      <w:r w:rsidR="0088650A" w:rsidRPr="007D770B">
        <w:rPr>
          <w:rFonts w:ascii="Times New Roman" w:hAnsi="Times New Roman"/>
          <w:lang w:val="en-US"/>
        </w:rPr>
        <w:t>IFRS 9</w:t>
      </w:r>
      <w:r w:rsidRPr="007D770B">
        <w:rPr>
          <w:rFonts w:ascii="Times New Roman" w:hAnsi="Times New Roman"/>
          <w:lang w:val="en-US"/>
        </w:rPr>
        <w:t>, IFRS 7)</w:t>
      </w:r>
      <w:r w:rsidR="00802136" w:rsidRPr="007D770B">
        <w:rPr>
          <w:rFonts w:ascii="Times New Roman" w:hAnsi="Times New Roman"/>
          <w:lang w:val="en-US"/>
        </w:rPr>
        <w:t xml:space="preserve">" </w:t>
      </w:r>
      <w:r w:rsidRPr="007D770B">
        <w:rPr>
          <w:rFonts w:ascii="Times New Roman" w:hAnsi="Times New Roman"/>
          <w:lang w:val="en-US"/>
        </w:rPr>
        <w:t>of chapter 2;</w:t>
      </w:r>
    </w:p>
    <w:p w14:paraId="27D0F156" w14:textId="6CECFF85" w:rsidR="00286356" w:rsidRPr="007D770B" w:rsidRDefault="00286356" w:rsidP="00AE698A">
      <w:pPr>
        <w:numPr>
          <w:ilvl w:val="0"/>
          <w:numId w:val="234"/>
        </w:numPr>
        <w:spacing w:before="240" w:line="240" w:lineRule="auto"/>
        <w:rPr>
          <w:rFonts w:ascii="Times New Roman" w:hAnsi="Times New Roman"/>
          <w:lang w:val="en-US"/>
        </w:rPr>
      </w:pPr>
      <w:r w:rsidRPr="007D770B">
        <w:rPr>
          <w:rFonts w:ascii="Times New Roman" w:hAnsi="Times New Roman"/>
          <w:lang w:val="en-US"/>
        </w:rPr>
        <w:t xml:space="preserve">gains less losses arising from foreign currency transactions as described in Section 1 </w:t>
      </w:r>
      <w:r w:rsidR="00802136" w:rsidRPr="007D770B">
        <w:rPr>
          <w:rFonts w:ascii="Times New Roman" w:hAnsi="Times New Roman"/>
          <w:lang w:val="en-US"/>
        </w:rPr>
        <w:t>"</w:t>
      </w:r>
      <w:r w:rsidRPr="007D770B">
        <w:rPr>
          <w:rFonts w:ascii="Times New Roman" w:hAnsi="Times New Roman"/>
          <w:lang w:val="en-US"/>
        </w:rPr>
        <w:t>The Effects of Changes in Foreign Exchange Rates (IAS 21)</w:t>
      </w:r>
      <w:r w:rsidR="00802136" w:rsidRPr="007D770B">
        <w:rPr>
          <w:rFonts w:ascii="Times New Roman" w:hAnsi="Times New Roman"/>
          <w:lang w:val="en-US"/>
        </w:rPr>
        <w:t xml:space="preserve">" of </w:t>
      </w:r>
      <w:r w:rsidR="006D498B" w:rsidRPr="007D770B">
        <w:rPr>
          <w:rFonts w:ascii="Times New Roman" w:hAnsi="Times New Roman"/>
          <w:lang w:val="en-US"/>
        </w:rPr>
        <w:t>Chapter 3</w:t>
      </w:r>
      <w:r w:rsidR="00802136" w:rsidRPr="007D770B">
        <w:rPr>
          <w:rFonts w:ascii="Times New Roman" w:hAnsi="Times New Roman"/>
          <w:lang w:val="en-US"/>
        </w:rPr>
        <w:t>;</w:t>
      </w:r>
    </w:p>
    <w:p w14:paraId="15C73315" w14:textId="15025843" w:rsidR="00286356" w:rsidRPr="007D770B" w:rsidRDefault="00286356" w:rsidP="00AE698A">
      <w:pPr>
        <w:numPr>
          <w:ilvl w:val="0"/>
          <w:numId w:val="234"/>
        </w:numPr>
        <w:spacing w:before="240" w:line="240" w:lineRule="auto"/>
        <w:rPr>
          <w:rFonts w:ascii="Times New Roman" w:hAnsi="Times New Roman"/>
          <w:lang w:val="en-US"/>
        </w:rPr>
      </w:pPr>
      <w:r w:rsidRPr="007D770B">
        <w:rPr>
          <w:rFonts w:ascii="Times New Roman" w:hAnsi="Times New Roman"/>
          <w:lang w:val="en-US"/>
        </w:rPr>
        <w:t xml:space="preserve">gains/(losses) arising on initial recognition of assets at above/below market rates, as described in section 3 </w:t>
      </w:r>
      <w:r w:rsidR="00802136" w:rsidRPr="007D770B">
        <w:rPr>
          <w:rFonts w:ascii="Times New Roman" w:hAnsi="Times New Roman"/>
          <w:lang w:val="en-US"/>
        </w:rPr>
        <w:t>"</w:t>
      </w:r>
      <w:r w:rsidRPr="007D770B">
        <w:rPr>
          <w:rFonts w:ascii="Times New Roman" w:hAnsi="Times New Roman"/>
          <w:lang w:val="en-US"/>
        </w:rPr>
        <w:t xml:space="preserve">Financial assets and liabilities (IAS 32, </w:t>
      </w:r>
      <w:r w:rsidR="00F931DC" w:rsidRPr="007D770B">
        <w:rPr>
          <w:rFonts w:ascii="Times New Roman" w:hAnsi="Times New Roman"/>
          <w:lang w:val="en-US"/>
        </w:rPr>
        <w:t>IFRS 9</w:t>
      </w:r>
      <w:r w:rsidRPr="007D770B">
        <w:rPr>
          <w:rFonts w:ascii="Times New Roman" w:hAnsi="Times New Roman"/>
          <w:lang w:val="en-US"/>
        </w:rPr>
        <w:t>,</w:t>
      </w:r>
      <w:r w:rsidR="00F931DC" w:rsidRPr="007D770B">
        <w:rPr>
          <w:rFonts w:ascii="Times New Roman" w:hAnsi="Times New Roman"/>
          <w:lang w:val="en-US"/>
        </w:rPr>
        <w:t xml:space="preserve"> IFRS </w:t>
      </w:r>
      <w:r w:rsidRPr="007D770B">
        <w:rPr>
          <w:rFonts w:ascii="Times New Roman" w:hAnsi="Times New Roman"/>
          <w:lang w:val="en-US"/>
        </w:rPr>
        <w:t>7)</w:t>
      </w:r>
      <w:r w:rsidR="00802136" w:rsidRPr="007D770B">
        <w:rPr>
          <w:rFonts w:ascii="Times New Roman" w:hAnsi="Times New Roman"/>
          <w:lang w:val="en-US"/>
        </w:rPr>
        <w:t xml:space="preserve">" of </w:t>
      </w:r>
      <w:r w:rsidRPr="007D770B">
        <w:rPr>
          <w:rFonts w:ascii="Times New Roman" w:hAnsi="Times New Roman"/>
          <w:lang w:val="en-US"/>
        </w:rPr>
        <w:t>chapter 2;</w:t>
      </w:r>
    </w:p>
    <w:p w14:paraId="15FF6102" w14:textId="3493C15E" w:rsidR="00286356" w:rsidRPr="007D770B" w:rsidRDefault="00286356" w:rsidP="00AE698A">
      <w:pPr>
        <w:numPr>
          <w:ilvl w:val="0"/>
          <w:numId w:val="234"/>
        </w:numPr>
        <w:spacing w:before="240" w:line="240" w:lineRule="auto"/>
        <w:rPr>
          <w:rFonts w:ascii="Times New Roman" w:hAnsi="Times New Roman"/>
          <w:lang w:val="en-US"/>
        </w:rPr>
      </w:pPr>
      <w:r w:rsidRPr="007D770B">
        <w:rPr>
          <w:rFonts w:ascii="Times New Roman" w:hAnsi="Times New Roman"/>
          <w:lang w:val="en-US"/>
        </w:rPr>
        <w:t xml:space="preserve">impairment of available-for-sale investment securities as described in section 3 </w:t>
      </w:r>
      <w:r w:rsidR="00802136" w:rsidRPr="007D770B">
        <w:rPr>
          <w:rFonts w:ascii="Times New Roman" w:hAnsi="Times New Roman"/>
          <w:lang w:val="en-US"/>
        </w:rPr>
        <w:t>"</w:t>
      </w:r>
      <w:r w:rsidRPr="007D770B">
        <w:rPr>
          <w:rFonts w:ascii="Times New Roman" w:hAnsi="Times New Roman"/>
          <w:lang w:val="en-US"/>
        </w:rPr>
        <w:t xml:space="preserve">Financial assets and liabilities (IAS 32, </w:t>
      </w:r>
      <w:r w:rsidR="00F931DC" w:rsidRPr="007D770B">
        <w:rPr>
          <w:rFonts w:ascii="Times New Roman" w:hAnsi="Times New Roman"/>
          <w:lang w:val="en-US"/>
        </w:rPr>
        <w:t>IFRS 9</w:t>
      </w:r>
      <w:r w:rsidRPr="007D770B">
        <w:rPr>
          <w:rFonts w:ascii="Times New Roman" w:hAnsi="Times New Roman"/>
          <w:lang w:val="en-US"/>
        </w:rPr>
        <w:t>, IFRS 7)</w:t>
      </w:r>
      <w:r w:rsidR="00802136" w:rsidRPr="007D770B">
        <w:rPr>
          <w:rFonts w:ascii="Times New Roman" w:hAnsi="Times New Roman"/>
          <w:lang w:val="en-US"/>
        </w:rPr>
        <w:t xml:space="preserve">" of </w:t>
      </w:r>
      <w:r w:rsidRPr="007D770B">
        <w:rPr>
          <w:rFonts w:ascii="Times New Roman" w:hAnsi="Times New Roman"/>
          <w:lang w:val="en-US"/>
        </w:rPr>
        <w:t>chapter 2;</w:t>
      </w:r>
    </w:p>
    <w:p w14:paraId="01393BEF" w14:textId="4BF2E5C0" w:rsidR="00286356" w:rsidRPr="007D770B" w:rsidRDefault="00286356" w:rsidP="00AE698A">
      <w:pPr>
        <w:numPr>
          <w:ilvl w:val="0"/>
          <w:numId w:val="234"/>
        </w:numPr>
        <w:spacing w:before="240" w:line="240" w:lineRule="auto"/>
        <w:rPr>
          <w:rFonts w:ascii="Times New Roman" w:hAnsi="Times New Roman"/>
          <w:lang w:val="en-US"/>
        </w:rPr>
      </w:pPr>
      <w:r w:rsidRPr="007D770B">
        <w:rPr>
          <w:rFonts w:ascii="Times New Roman" w:hAnsi="Times New Roman"/>
          <w:lang w:val="en-US"/>
        </w:rPr>
        <w:lastRenderedPageBreak/>
        <w:t xml:space="preserve">gains less losses from the sale of available-for-sale investment securities as described in section 3 </w:t>
      </w:r>
      <w:r w:rsidR="00802136" w:rsidRPr="007D770B">
        <w:rPr>
          <w:rFonts w:ascii="Times New Roman" w:hAnsi="Times New Roman"/>
          <w:lang w:val="en-US"/>
        </w:rPr>
        <w:t>"</w:t>
      </w:r>
      <w:r w:rsidRPr="007D770B">
        <w:rPr>
          <w:rFonts w:ascii="Times New Roman" w:hAnsi="Times New Roman"/>
          <w:lang w:val="en-US"/>
        </w:rPr>
        <w:t xml:space="preserve">Financial assets and liabilities (IAS 32, </w:t>
      </w:r>
      <w:r w:rsidR="00F931DC" w:rsidRPr="007D770B">
        <w:rPr>
          <w:rFonts w:ascii="Times New Roman" w:hAnsi="Times New Roman"/>
          <w:lang w:val="en-US"/>
        </w:rPr>
        <w:t>IFRS 9</w:t>
      </w:r>
      <w:r w:rsidRPr="007D770B">
        <w:rPr>
          <w:rFonts w:ascii="Times New Roman" w:hAnsi="Times New Roman"/>
          <w:lang w:val="en-US"/>
        </w:rPr>
        <w:t>, IF</w:t>
      </w:r>
      <w:r w:rsidR="00F931DC" w:rsidRPr="007D770B">
        <w:rPr>
          <w:rFonts w:ascii="Times New Roman" w:hAnsi="Times New Roman"/>
          <w:lang w:val="en-US"/>
        </w:rPr>
        <w:t xml:space="preserve">RS </w:t>
      </w:r>
      <w:r w:rsidRPr="007D770B">
        <w:rPr>
          <w:rFonts w:ascii="Times New Roman" w:hAnsi="Times New Roman"/>
          <w:lang w:val="en-US"/>
        </w:rPr>
        <w:t>7)</w:t>
      </w:r>
      <w:r w:rsidR="00802136" w:rsidRPr="007D770B">
        <w:rPr>
          <w:rFonts w:ascii="Times New Roman" w:hAnsi="Times New Roman"/>
          <w:lang w:val="en-US"/>
        </w:rPr>
        <w:t xml:space="preserve">" of </w:t>
      </w:r>
      <w:r w:rsidRPr="007D770B">
        <w:rPr>
          <w:rFonts w:ascii="Times New Roman" w:hAnsi="Times New Roman"/>
          <w:lang w:val="en-US"/>
        </w:rPr>
        <w:t>chapter 2;</w:t>
      </w:r>
    </w:p>
    <w:p w14:paraId="0BBCE7C4" w14:textId="78944C27" w:rsidR="00286356" w:rsidRPr="007D770B" w:rsidRDefault="00286356" w:rsidP="00AE698A">
      <w:pPr>
        <w:numPr>
          <w:ilvl w:val="0"/>
          <w:numId w:val="234"/>
        </w:numPr>
        <w:spacing w:before="240" w:line="240" w:lineRule="auto"/>
        <w:rPr>
          <w:rFonts w:ascii="Times New Roman" w:hAnsi="Times New Roman"/>
          <w:lang w:val="en-US"/>
        </w:rPr>
      </w:pPr>
      <w:r w:rsidRPr="007D770B">
        <w:rPr>
          <w:rFonts w:ascii="Times New Roman" w:hAnsi="Times New Roman"/>
          <w:lang w:val="en-US"/>
        </w:rPr>
        <w:t xml:space="preserve">impairment of held-to-maturity investment securities as described in section 3 </w:t>
      </w:r>
      <w:r w:rsidR="00802136" w:rsidRPr="007D770B">
        <w:rPr>
          <w:rFonts w:ascii="Times New Roman" w:hAnsi="Times New Roman"/>
          <w:lang w:val="en-US"/>
        </w:rPr>
        <w:t>"</w:t>
      </w:r>
      <w:r w:rsidRPr="007D770B">
        <w:rPr>
          <w:rFonts w:ascii="Times New Roman" w:hAnsi="Times New Roman"/>
          <w:lang w:val="en-US"/>
        </w:rPr>
        <w:t xml:space="preserve">Financial assets and liabilities (IAS 32, </w:t>
      </w:r>
      <w:r w:rsidR="00F931DC" w:rsidRPr="007D770B">
        <w:rPr>
          <w:rFonts w:ascii="Times New Roman" w:hAnsi="Times New Roman"/>
          <w:lang w:val="en-US"/>
        </w:rPr>
        <w:t>IFRS 9</w:t>
      </w:r>
      <w:r w:rsidRPr="007D770B">
        <w:rPr>
          <w:rFonts w:ascii="Times New Roman" w:hAnsi="Times New Roman"/>
          <w:lang w:val="en-US"/>
        </w:rPr>
        <w:t>, IFRS 7)</w:t>
      </w:r>
      <w:r w:rsidR="00802136" w:rsidRPr="007D770B">
        <w:rPr>
          <w:rFonts w:ascii="Times New Roman" w:hAnsi="Times New Roman"/>
          <w:lang w:val="en-US"/>
        </w:rPr>
        <w:t xml:space="preserve">" of </w:t>
      </w:r>
      <w:r w:rsidRPr="007D770B">
        <w:rPr>
          <w:rFonts w:ascii="Times New Roman" w:hAnsi="Times New Roman"/>
          <w:lang w:val="en-US"/>
        </w:rPr>
        <w:t>chapter 2;</w:t>
      </w:r>
    </w:p>
    <w:p w14:paraId="6913F68F" w14:textId="162279C8" w:rsidR="00286356" w:rsidRPr="007D770B" w:rsidRDefault="00286356" w:rsidP="00AE698A">
      <w:pPr>
        <w:numPr>
          <w:ilvl w:val="0"/>
          <w:numId w:val="234"/>
        </w:numPr>
        <w:spacing w:before="240" w:line="240" w:lineRule="auto"/>
        <w:rPr>
          <w:rFonts w:ascii="Times New Roman" w:hAnsi="Times New Roman"/>
          <w:lang w:val="en-US"/>
        </w:rPr>
      </w:pPr>
      <w:r w:rsidRPr="007D770B">
        <w:rPr>
          <w:rFonts w:ascii="Times New Roman" w:hAnsi="Times New Roman"/>
          <w:lang w:val="en-US"/>
        </w:rPr>
        <w:t xml:space="preserve">provision for credit related commitments as described in section 3 </w:t>
      </w:r>
      <w:r w:rsidR="00802136" w:rsidRPr="007D770B">
        <w:rPr>
          <w:rFonts w:ascii="Times New Roman" w:hAnsi="Times New Roman"/>
          <w:lang w:val="en-US"/>
        </w:rPr>
        <w:t>"</w:t>
      </w:r>
      <w:r w:rsidRPr="007D770B">
        <w:rPr>
          <w:rFonts w:ascii="Times New Roman" w:hAnsi="Times New Roman"/>
          <w:lang w:val="en-US"/>
        </w:rPr>
        <w:t xml:space="preserve">Financial assets and liabilities (IAS 32, </w:t>
      </w:r>
      <w:r w:rsidR="00F931DC" w:rsidRPr="007D770B">
        <w:rPr>
          <w:rFonts w:ascii="Times New Roman" w:hAnsi="Times New Roman"/>
          <w:lang w:val="en-US"/>
        </w:rPr>
        <w:t>IFRS 9</w:t>
      </w:r>
      <w:r w:rsidRPr="007D770B">
        <w:rPr>
          <w:rFonts w:ascii="Times New Roman" w:hAnsi="Times New Roman"/>
          <w:lang w:val="en-US"/>
        </w:rPr>
        <w:t>, IFRS 7)</w:t>
      </w:r>
      <w:r w:rsidR="00802136" w:rsidRPr="007D770B">
        <w:rPr>
          <w:rFonts w:ascii="Times New Roman" w:hAnsi="Times New Roman"/>
          <w:lang w:val="en-US"/>
        </w:rPr>
        <w:t xml:space="preserve">" </w:t>
      </w:r>
      <w:r w:rsidRPr="007D770B">
        <w:rPr>
          <w:rFonts w:ascii="Times New Roman" w:hAnsi="Times New Roman"/>
          <w:lang w:val="en-US"/>
        </w:rPr>
        <w:t>of chapter 2;</w:t>
      </w:r>
    </w:p>
    <w:p w14:paraId="3DE6C5AC" w14:textId="01D60B5C" w:rsidR="00286356" w:rsidRPr="007D770B" w:rsidRDefault="00286356" w:rsidP="00AE698A">
      <w:pPr>
        <w:numPr>
          <w:ilvl w:val="0"/>
          <w:numId w:val="234"/>
        </w:numPr>
        <w:spacing w:before="240" w:line="240" w:lineRule="auto"/>
        <w:rPr>
          <w:rFonts w:ascii="Times New Roman" w:hAnsi="Times New Roman"/>
          <w:lang w:val="en-US"/>
        </w:rPr>
      </w:pPr>
      <w:r w:rsidRPr="007D770B">
        <w:rPr>
          <w:rFonts w:ascii="Times New Roman" w:hAnsi="Times New Roman"/>
          <w:lang w:val="en-US"/>
        </w:rPr>
        <w:t xml:space="preserve">other operating income as described in section </w:t>
      </w:r>
      <w:r w:rsidR="00AE5865" w:rsidRPr="007D770B">
        <w:rPr>
          <w:rFonts w:ascii="Times New Roman" w:hAnsi="Times New Roman"/>
          <w:lang w:val="en-US"/>
        </w:rPr>
        <w:t xml:space="preserve">9 </w:t>
      </w:r>
      <w:r w:rsidR="00AE5865" w:rsidRPr="007D770B">
        <w:rPr>
          <w:rFonts w:ascii="Times New Roman" w:hAnsi="Times New Roman"/>
          <w:lang w:val="en-US" w:eastAsia="ru-RU"/>
        </w:rPr>
        <w:t xml:space="preserve">Revenue from Contracts with Customers </w:t>
      </w:r>
      <w:r w:rsidRPr="007D770B">
        <w:rPr>
          <w:rFonts w:ascii="Times New Roman" w:hAnsi="Times New Roman"/>
          <w:lang w:val="en-US"/>
        </w:rPr>
        <w:t>(</w:t>
      </w:r>
      <w:r w:rsidR="000A39ED" w:rsidRPr="007D770B">
        <w:rPr>
          <w:rFonts w:ascii="Times New Roman" w:hAnsi="Times New Roman"/>
          <w:lang w:val="en-US"/>
        </w:rPr>
        <w:t>IFRS 15</w:t>
      </w:r>
      <w:r w:rsidRPr="007D770B">
        <w:rPr>
          <w:rFonts w:ascii="Times New Roman" w:hAnsi="Times New Roman"/>
          <w:lang w:val="en-US"/>
        </w:rPr>
        <w:t>) in Chapter 2;</w:t>
      </w:r>
    </w:p>
    <w:p w14:paraId="593A2110" w14:textId="0339BD82" w:rsidR="00286356" w:rsidRPr="007D770B" w:rsidRDefault="00286356" w:rsidP="00AE698A">
      <w:pPr>
        <w:numPr>
          <w:ilvl w:val="0"/>
          <w:numId w:val="234"/>
        </w:numPr>
        <w:spacing w:before="240" w:line="240" w:lineRule="auto"/>
        <w:rPr>
          <w:rFonts w:ascii="Times New Roman" w:hAnsi="Times New Roman"/>
          <w:lang w:val="en-US"/>
        </w:rPr>
      </w:pPr>
      <w:r w:rsidRPr="007D770B">
        <w:rPr>
          <w:rFonts w:ascii="Times New Roman" w:hAnsi="Times New Roman"/>
          <w:lang w:val="en-US"/>
        </w:rPr>
        <w:t xml:space="preserve">administrative and other operating expenses as described in Chapter 2, Section </w:t>
      </w:r>
      <w:r w:rsidR="00F931DC" w:rsidRPr="007D770B">
        <w:rPr>
          <w:rFonts w:ascii="Times New Roman" w:hAnsi="Times New Roman"/>
          <w:lang w:val="en-US"/>
        </w:rPr>
        <w:t>10</w:t>
      </w:r>
      <w:r w:rsidRPr="007D770B">
        <w:rPr>
          <w:rFonts w:ascii="Times New Roman" w:hAnsi="Times New Roman"/>
          <w:lang w:val="en-US"/>
        </w:rPr>
        <w:t>, Expenses;</w:t>
      </w:r>
    </w:p>
    <w:p w14:paraId="26134AE4" w14:textId="6A4E31C2" w:rsidR="00286356" w:rsidRPr="007D770B" w:rsidRDefault="00286356" w:rsidP="00AE698A">
      <w:pPr>
        <w:numPr>
          <w:ilvl w:val="0"/>
          <w:numId w:val="182"/>
        </w:numPr>
        <w:spacing w:before="240" w:line="240" w:lineRule="auto"/>
        <w:rPr>
          <w:rFonts w:ascii="Times New Roman" w:hAnsi="Times New Roman"/>
          <w:lang w:val="en-US"/>
        </w:rPr>
      </w:pPr>
      <w:r w:rsidRPr="007D770B">
        <w:rPr>
          <w:rFonts w:ascii="Times New Roman" w:hAnsi="Times New Roman"/>
          <w:lang w:val="en-US"/>
        </w:rPr>
        <w:t xml:space="preserve">income tax expense as described in Section </w:t>
      </w:r>
      <w:r w:rsidR="00F931DC" w:rsidRPr="007D770B">
        <w:rPr>
          <w:rFonts w:ascii="Times New Roman" w:hAnsi="Times New Roman"/>
          <w:lang w:val="en-US"/>
        </w:rPr>
        <w:t xml:space="preserve">13 </w:t>
      </w:r>
      <w:r w:rsidR="00802136" w:rsidRPr="007D770B">
        <w:rPr>
          <w:rFonts w:ascii="Times New Roman" w:hAnsi="Times New Roman"/>
          <w:lang w:val="en-US"/>
        </w:rPr>
        <w:t>"</w:t>
      </w:r>
      <w:r w:rsidRPr="007D770B">
        <w:rPr>
          <w:rFonts w:ascii="Times New Roman" w:hAnsi="Times New Roman"/>
          <w:lang w:val="en-US"/>
        </w:rPr>
        <w:t>Taxes (IAS 12)</w:t>
      </w:r>
      <w:r w:rsidR="00802136" w:rsidRPr="007D770B">
        <w:rPr>
          <w:rFonts w:ascii="Times New Roman" w:hAnsi="Times New Roman"/>
          <w:lang w:val="en-US"/>
        </w:rPr>
        <w:t xml:space="preserve">" of </w:t>
      </w:r>
      <w:r w:rsidRPr="007D770B">
        <w:rPr>
          <w:rFonts w:ascii="Times New Roman" w:hAnsi="Times New Roman"/>
          <w:lang w:val="en-US"/>
        </w:rPr>
        <w:t>Chapter 2.</w:t>
      </w:r>
    </w:p>
    <w:p w14:paraId="4D2CCBC4" w14:textId="77777777" w:rsidR="00286356" w:rsidRPr="007D770B" w:rsidRDefault="00286356" w:rsidP="009C1B1B">
      <w:pPr>
        <w:suppressAutoHyphens/>
        <w:spacing w:before="240"/>
        <w:ind w:left="0"/>
        <w:rPr>
          <w:rFonts w:ascii="Times New Roman" w:hAnsi="Times New Roman"/>
          <w:lang w:val="en-US"/>
        </w:rPr>
      </w:pPr>
      <w:r w:rsidRPr="007D770B">
        <w:rPr>
          <w:rFonts w:ascii="Times New Roman" w:hAnsi="Times New Roman"/>
          <w:lang w:val="en-US"/>
        </w:rPr>
        <w:t>As the impacts of the Bank's various activities, transactions and other events vary in frequency, profit or loss potential and predictability, disclosure of the components of financial performance assists in understanding the financial results that have been achieved and in predicting future results. Additional line items are included in the statement of profit or loss and the statement of other comprehensive income directly, and the titles and order of line items are changed as necessary to clarify financial performance. Factors to be taken into account include the materiality, nature and purpose of the relevant components of income and expense.</w:t>
      </w:r>
    </w:p>
    <w:p w14:paraId="4A920E38" w14:textId="29608381" w:rsidR="00286356" w:rsidRPr="007D770B" w:rsidRDefault="00286356" w:rsidP="009C1B1B">
      <w:pPr>
        <w:suppressAutoHyphens/>
        <w:spacing w:before="240"/>
        <w:ind w:left="0"/>
        <w:rPr>
          <w:rFonts w:ascii="Times New Roman" w:hAnsi="Times New Roman"/>
          <w:lang w:val="en-US"/>
        </w:rPr>
      </w:pPr>
      <w:r w:rsidRPr="007D770B">
        <w:rPr>
          <w:rFonts w:ascii="Times New Roman" w:hAnsi="Times New Roman"/>
          <w:lang w:val="en-US"/>
        </w:rPr>
        <w:t xml:space="preserve">Items that will not be reclassified to profit or loss and items that may be reclassified to profit or </w:t>
      </w:r>
      <w:r w:rsidR="00B56C6F" w:rsidRPr="007D770B">
        <w:rPr>
          <w:rFonts w:ascii="Times New Roman" w:hAnsi="Times New Roman"/>
          <w:lang w:val="en-US"/>
        </w:rPr>
        <w:t xml:space="preserve">loss </w:t>
      </w:r>
      <w:r w:rsidRPr="007D770B">
        <w:rPr>
          <w:rFonts w:ascii="Times New Roman" w:hAnsi="Times New Roman"/>
          <w:lang w:val="en-US"/>
        </w:rPr>
        <w:t>in subsequent periods are presented separately in other comprehensive income</w:t>
      </w:r>
      <w:r w:rsidR="00B56C6F" w:rsidRPr="007D770B">
        <w:rPr>
          <w:rFonts w:ascii="Times New Roman" w:hAnsi="Times New Roman"/>
          <w:lang w:val="en-US"/>
        </w:rPr>
        <w:t>.</w:t>
      </w:r>
    </w:p>
    <w:p w14:paraId="2134A549" w14:textId="6A2C133D" w:rsidR="00176C28" w:rsidRPr="007D770B" w:rsidRDefault="00286356" w:rsidP="00176C28">
      <w:pPr>
        <w:widowControl w:val="0"/>
        <w:tabs>
          <w:tab w:val="left" w:pos="0"/>
        </w:tabs>
        <w:spacing w:line="240" w:lineRule="auto"/>
        <w:ind w:left="0"/>
        <w:rPr>
          <w:rFonts w:ascii="Times New Roman" w:eastAsia="Times New Roman" w:hAnsi="Times New Roman"/>
          <w:i/>
          <w:snapToGrid w:val="0"/>
          <w:color w:val="3366FF"/>
          <w:szCs w:val="22"/>
          <w:lang w:val="en-US" w:eastAsia="ru-RU"/>
        </w:rPr>
      </w:pPr>
      <w:r w:rsidRPr="007D770B">
        <w:rPr>
          <w:rFonts w:ascii="Times New Roman" w:hAnsi="Times New Roman"/>
          <w:lang w:val="en-US"/>
        </w:rPr>
        <w:t xml:space="preserve">In addition, the Bank shall disclose the income tax effect on each component of other comprehensive income in the statement of comprehensive income or in the notes to the financial statements. </w:t>
      </w:r>
      <w:r w:rsidR="00176C28" w:rsidRPr="007D770B">
        <w:rPr>
          <w:rFonts w:ascii="Times New Roman" w:eastAsia="Times New Roman" w:hAnsi="Times New Roman"/>
          <w:i/>
          <w:snapToGrid w:val="0"/>
          <w:color w:val="3366FF"/>
          <w:szCs w:val="22"/>
          <w:lang w:val="en-US" w:eastAsia="ru-RU"/>
        </w:rPr>
        <w:t xml:space="preserve">(Subparagraph "Statement of profit and loss and other comprehensive income" of paragraph 1.4. amended by the decision of the Board of Directors dated </w:t>
      </w:r>
      <w:r w:rsidR="00A51BD1" w:rsidRPr="007D770B">
        <w:rPr>
          <w:rFonts w:ascii="Times New Roman" w:eastAsia="Times New Roman" w:hAnsi="Times New Roman"/>
          <w:i/>
          <w:snapToGrid w:val="0"/>
          <w:color w:val="3366FF"/>
          <w:szCs w:val="22"/>
          <w:lang w:val="en-US" w:eastAsia="ru-RU"/>
        </w:rPr>
        <w:t>31</w:t>
      </w:r>
      <w:r w:rsidR="00176C28" w:rsidRPr="007D770B">
        <w:rPr>
          <w:rFonts w:ascii="Times New Roman" w:eastAsia="Times New Roman" w:hAnsi="Times New Roman"/>
          <w:i/>
          <w:snapToGrid w:val="0"/>
          <w:color w:val="3366FF"/>
          <w:szCs w:val="22"/>
          <w:lang w:val="en-US" w:eastAsia="ru-RU"/>
        </w:rPr>
        <w:t>.</w:t>
      </w:r>
      <w:r w:rsidR="00A51BD1" w:rsidRPr="007D770B">
        <w:rPr>
          <w:rFonts w:ascii="Times New Roman" w:eastAsia="Times New Roman" w:hAnsi="Times New Roman"/>
          <w:i/>
          <w:snapToGrid w:val="0"/>
          <w:color w:val="3366FF"/>
          <w:szCs w:val="22"/>
          <w:lang w:val="en-US" w:eastAsia="ru-RU"/>
        </w:rPr>
        <w:t>10</w:t>
      </w:r>
      <w:r w:rsidR="00176C28" w:rsidRPr="007D770B">
        <w:rPr>
          <w:rFonts w:ascii="Times New Roman" w:eastAsia="Times New Roman" w:hAnsi="Times New Roman"/>
          <w:i/>
          <w:snapToGrid w:val="0"/>
          <w:color w:val="3366FF"/>
          <w:szCs w:val="22"/>
          <w:lang w:val="en-US" w:eastAsia="ru-RU"/>
        </w:rPr>
        <w:t>.</w:t>
      </w:r>
      <w:r w:rsidR="00EB4392" w:rsidRPr="007D770B">
        <w:rPr>
          <w:rFonts w:ascii="Times New Roman" w:eastAsia="Times New Roman" w:hAnsi="Times New Roman"/>
          <w:i/>
          <w:snapToGrid w:val="0"/>
          <w:color w:val="3366FF"/>
          <w:szCs w:val="22"/>
          <w:lang w:val="en-US" w:eastAsia="ru-RU"/>
        </w:rPr>
        <w:t xml:space="preserve">2019 </w:t>
      </w:r>
      <w:r w:rsidR="00176C28" w:rsidRPr="007D770B">
        <w:rPr>
          <w:rFonts w:ascii="Times New Roman" w:eastAsia="Times New Roman" w:hAnsi="Times New Roman"/>
          <w:i/>
          <w:snapToGrid w:val="0"/>
          <w:color w:val="3366FF"/>
          <w:szCs w:val="22"/>
          <w:lang w:val="en-US" w:eastAsia="ru-RU"/>
        </w:rPr>
        <w:t xml:space="preserve">(Minutes No. </w:t>
      </w:r>
      <w:r w:rsidR="00A51BD1" w:rsidRPr="007D770B">
        <w:rPr>
          <w:rFonts w:ascii="Times New Roman" w:eastAsia="Times New Roman" w:hAnsi="Times New Roman"/>
          <w:i/>
          <w:snapToGrid w:val="0"/>
          <w:color w:val="3366FF"/>
          <w:szCs w:val="22"/>
          <w:lang w:val="en-US" w:eastAsia="ru-RU"/>
        </w:rPr>
        <w:t>13</w:t>
      </w:r>
      <w:r w:rsidR="00176C28" w:rsidRPr="007D770B">
        <w:rPr>
          <w:rFonts w:ascii="Times New Roman" w:eastAsia="Times New Roman" w:hAnsi="Times New Roman"/>
          <w:i/>
          <w:snapToGrid w:val="0"/>
          <w:color w:val="3366FF"/>
          <w:szCs w:val="22"/>
          <w:lang w:val="en-US" w:eastAsia="ru-RU"/>
        </w:rPr>
        <w:t>)</w:t>
      </w:r>
    </w:p>
    <w:p w14:paraId="6F2FDC25" w14:textId="77777777" w:rsidR="00286356" w:rsidRPr="007D770B" w:rsidRDefault="00286356" w:rsidP="009C1B1B">
      <w:pPr>
        <w:spacing w:before="240"/>
        <w:ind w:left="0"/>
        <w:rPr>
          <w:rFonts w:ascii="Times New Roman" w:hAnsi="Times New Roman"/>
          <w:b/>
          <w:lang w:val="en-US"/>
        </w:rPr>
      </w:pPr>
      <w:r w:rsidRPr="007D770B">
        <w:rPr>
          <w:rFonts w:ascii="Times New Roman" w:hAnsi="Times New Roman"/>
          <w:b/>
          <w:lang w:val="en-US"/>
        </w:rPr>
        <w:t>Statement of cash flows</w:t>
      </w:r>
    </w:p>
    <w:p w14:paraId="1A1D67D6" w14:textId="77777777" w:rsidR="00286356" w:rsidRPr="007D770B" w:rsidRDefault="00286356" w:rsidP="009C1B1B">
      <w:pPr>
        <w:spacing w:before="240"/>
        <w:ind w:left="0"/>
        <w:rPr>
          <w:rFonts w:ascii="Times New Roman" w:hAnsi="Times New Roman"/>
          <w:lang w:val="en-US"/>
        </w:rPr>
      </w:pPr>
      <w:r w:rsidRPr="007D770B">
        <w:rPr>
          <w:rFonts w:ascii="Times New Roman" w:hAnsi="Times New Roman"/>
          <w:lang w:val="en-US"/>
        </w:rPr>
        <w:t>The Bank applies this sub-accounting policy to the preparation of the statement of cash flows and presents it as an integral part of its financial statements for each period in which the financial statements are presented. The statement of cash flows is prepared using the direct method.</w:t>
      </w:r>
    </w:p>
    <w:p w14:paraId="752541E6" w14:textId="77777777" w:rsidR="00286356" w:rsidRPr="007D770B" w:rsidRDefault="00286356" w:rsidP="009C1B1B">
      <w:pPr>
        <w:spacing w:before="240"/>
        <w:ind w:left="0"/>
        <w:rPr>
          <w:rFonts w:ascii="Times New Roman" w:hAnsi="Times New Roman"/>
          <w:b/>
          <w:i/>
          <w:lang w:val="en-US"/>
        </w:rPr>
      </w:pPr>
      <w:r w:rsidRPr="007D770B">
        <w:rPr>
          <w:rFonts w:ascii="Times New Roman" w:hAnsi="Times New Roman"/>
          <w:b/>
          <w:i/>
          <w:lang w:val="en-US"/>
        </w:rPr>
        <w:t>Presentation of the statement of cash flows</w:t>
      </w:r>
    </w:p>
    <w:p w14:paraId="315E077F" w14:textId="77777777" w:rsidR="00286356" w:rsidRPr="007D770B" w:rsidRDefault="00286356" w:rsidP="009C1B1B">
      <w:pPr>
        <w:spacing w:before="240"/>
        <w:ind w:left="0"/>
        <w:rPr>
          <w:rFonts w:ascii="Times New Roman" w:hAnsi="Times New Roman"/>
          <w:lang w:val="en-US"/>
        </w:rPr>
      </w:pPr>
      <w:r w:rsidRPr="007D770B">
        <w:rPr>
          <w:rFonts w:ascii="Times New Roman" w:hAnsi="Times New Roman"/>
          <w:lang w:val="en-US"/>
        </w:rPr>
        <w:t>The statement of cash flows should present cash flows for the period, categorizing them by operating, investing or financing activities.</w:t>
      </w:r>
    </w:p>
    <w:p w14:paraId="7F525F2F" w14:textId="77777777" w:rsidR="00286356" w:rsidRPr="007D770B" w:rsidRDefault="00286356" w:rsidP="009C1B1B">
      <w:pPr>
        <w:spacing w:before="240"/>
        <w:ind w:left="0"/>
        <w:rPr>
          <w:rFonts w:ascii="Times New Roman" w:hAnsi="Times New Roman"/>
          <w:b/>
          <w:i/>
          <w:lang w:val="en-US"/>
        </w:rPr>
      </w:pPr>
      <w:r w:rsidRPr="007D770B">
        <w:rPr>
          <w:rFonts w:ascii="Times New Roman" w:hAnsi="Times New Roman"/>
          <w:b/>
          <w:i/>
          <w:lang w:val="en-US"/>
        </w:rPr>
        <w:t>Presentation of cash flows from operating activities</w:t>
      </w:r>
    </w:p>
    <w:p w14:paraId="161A9C4A" w14:textId="77777777" w:rsidR="00286356" w:rsidRPr="007D770B" w:rsidRDefault="00286356" w:rsidP="009C1B1B">
      <w:pPr>
        <w:pStyle w:val="Default"/>
        <w:spacing w:before="240" w:after="240"/>
        <w:jc w:val="both"/>
        <w:rPr>
          <w:color w:val="auto"/>
          <w:sz w:val="20"/>
          <w:szCs w:val="20"/>
        </w:rPr>
      </w:pPr>
      <w:r w:rsidRPr="007D770B">
        <w:rPr>
          <w:color w:val="auto"/>
          <w:sz w:val="20"/>
          <w:szCs w:val="20"/>
        </w:rPr>
        <w:t>The Bank presents cash flows from operating activities using the direct method, which discloses the principal types of gross cash receipts and disbursements.</w:t>
      </w:r>
    </w:p>
    <w:p w14:paraId="15EA936F" w14:textId="77777777" w:rsidR="00286356" w:rsidRPr="007D770B" w:rsidRDefault="00286356" w:rsidP="009C1B1B">
      <w:pPr>
        <w:pStyle w:val="afff1"/>
        <w:tabs>
          <w:tab w:val="left" w:pos="257"/>
          <w:tab w:val="left" w:pos="554"/>
          <w:tab w:val="left" w:pos="890"/>
          <w:tab w:val="left" w:pos="1188"/>
          <w:tab w:val="left" w:pos="7440"/>
        </w:tabs>
        <w:spacing w:before="240" w:after="240" w:line="240" w:lineRule="auto"/>
        <w:rPr>
          <w:rFonts w:ascii="Times New Roman" w:hAnsi="Times New Roman"/>
          <w:lang w:val="en-US"/>
        </w:rPr>
      </w:pPr>
      <w:r w:rsidRPr="007D770B">
        <w:rPr>
          <w:rFonts w:ascii="Times New Roman" w:hAnsi="Times New Roman"/>
          <w:lang w:val="en-US"/>
        </w:rPr>
        <w:t>The types of cash flows from operating activities are:</w:t>
      </w:r>
    </w:p>
    <w:p w14:paraId="6326C6EA" w14:textId="77777777" w:rsidR="00286356" w:rsidRDefault="00286356" w:rsidP="00AE698A">
      <w:pPr>
        <w:pStyle w:val="afff1"/>
        <w:numPr>
          <w:ilvl w:val="0"/>
          <w:numId w:val="233"/>
        </w:numPr>
        <w:tabs>
          <w:tab w:val="left" w:pos="360"/>
          <w:tab w:val="left" w:pos="720"/>
          <w:tab w:val="left" w:pos="890"/>
          <w:tab w:val="left" w:pos="1188"/>
          <w:tab w:val="left" w:pos="7440"/>
        </w:tabs>
        <w:spacing w:before="240" w:after="240" w:line="240" w:lineRule="auto"/>
        <w:rPr>
          <w:rFonts w:ascii="Times New Roman" w:hAnsi="Times New Roman"/>
        </w:rPr>
      </w:pPr>
      <w:r w:rsidRPr="002D4EA3">
        <w:rPr>
          <w:rFonts w:ascii="Times New Roman" w:hAnsi="Times New Roman"/>
        </w:rPr>
        <w:t xml:space="preserve">interest </w:t>
      </w:r>
      <w:r>
        <w:rPr>
          <w:rFonts w:ascii="Times New Roman" w:hAnsi="Times New Roman"/>
        </w:rPr>
        <w:t>paid;</w:t>
      </w:r>
    </w:p>
    <w:p w14:paraId="61A9E4AF" w14:textId="77777777" w:rsidR="00286356" w:rsidRDefault="00286356" w:rsidP="00AE698A">
      <w:pPr>
        <w:pStyle w:val="afff1"/>
        <w:numPr>
          <w:ilvl w:val="0"/>
          <w:numId w:val="233"/>
        </w:numPr>
        <w:tabs>
          <w:tab w:val="left" w:pos="360"/>
          <w:tab w:val="left" w:pos="720"/>
          <w:tab w:val="left" w:pos="890"/>
          <w:tab w:val="left" w:pos="1188"/>
          <w:tab w:val="left" w:pos="7440"/>
        </w:tabs>
        <w:spacing w:before="240" w:after="240" w:line="240" w:lineRule="auto"/>
        <w:rPr>
          <w:rFonts w:ascii="Times New Roman" w:hAnsi="Times New Roman"/>
        </w:rPr>
      </w:pPr>
      <w:r w:rsidRPr="002D4EA3">
        <w:rPr>
          <w:rFonts w:ascii="Times New Roman" w:hAnsi="Times New Roman"/>
        </w:rPr>
        <w:t>commissions paid</w:t>
      </w:r>
      <w:r>
        <w:rPr>
          <w:rFonts w:ascii="Times New Roman" w:hAnsi="Times New Roman"/>
        </w:rPr>
        <w:t>;</w:t>
      </w:r>
    </w:p>
    <w:p w14:paraId="4DB6FA12" w14:textId="77777777" w:rsidR="00286356" w:rsidRPr="007D770B" w:rsidRDefault="00286356" w:rsidP="00AE698A">
      <w:pPr>
        <w:pStyle w:val="afff1"/>
        <w:numPr>
          <w:ilvl w:val="0"/>
          <w:numId w:val="233"/>
        </w:numPr>
        <w:tabs>
          <w:tab w:val="left" w:pos="360"/>
          <w:tab w:val="left" w:pos="720"/>
          <w:tab w:val="left" w:pos="890"/>
          <w:tab w:val="left" w:pos="1188"/>
          <w:tab w:val="left" w:pos="7440"/>
        </w:tabs>
        <w:spacing w:before="240" w:after="240" w:line="240" w:lineRule="auto"/>
        <w:rPr>
          <w:rFonts w:ascii="Times New Roman" w:hAnsi="Times New Roman"/>
          <w:lang w:val="en-US"/>
        </w:rPr>
      </w:pPr>
      <w:r w:rsidRPr="007D770B">
        <w:rPr>
          <w:rFonts w:ascii="Times New Roman" w:hAnsi="Times New Roman"/>
          <w:lang w:val="en-US"/>
        </w:rPr>
        <w:t>administrative and other operating expenses paid;</w:t>
      </w:r>
    </w:p>
    <w:p w14:paraId="7FA45EF9" w14:textId="77777777" w:rsidR="00286356" w:rsidRPr="007D770B" w:rsidRDefault="00286356" w:rsidP="00AE698A">
      <w:pPr>
        <w:pStyle w:val="afff1"/>
        <w:numPr>
          <w:ilvl w:val="0"/>
          <w:numId w:val="233"/>
        </w:numPr>
        <w:tabs>
          <w:tab w:val="left" w:pos="360"/>
          <w:tab w:val="left" w:pos="720"/>
          <w:tab w:val="left" w:pos="890"/>
          <w:tab w:val="left" w:pos="1188"/>
          <w:tab w:val="left" w:pos="7440"/>
        </w:tabs>
        <w:spacing w:before="240" w:after="240" w:line="240" w:lineRule="auto"/>
        <w:rPr>
          <w:rFonts w:ascii="Times New Roman" w:hAnsi="Times New Roman"/>
          <w:lang w:val="en-US"/>
        </w:rPr>
      </w:pPr>
      <w:r w:rsidRPr="007D770B">
        <w:rPr>
          <w:rFonts w:ascii="Times New Roman" w:hAnsi="Times New Roman"/>
          <w:lang w:val="en-US"/>
        </w:rPr>
        <w:t>payments to the Bank's employees;</w:t>
      </w:r>
    </w:p>
    <w:p w14:paraId="5FDC7FE0" w14:textId="77777777" w:rsidR="00286356" w:rsidRDefault="00286356" w:rsidP="00AE698A">
      <w:pPr>
        <w:pStyle w:val="afff1"/>
        <w:numPr>
          <w:ilvl w:val="0"/>
          <w:numId w:val="233"/>
        </w:numPr>
        <w:tabs>
          <w:tab w:val="left" w:pos="360"/>
          <w:tab w:val="left" w:pos="720"/>
          <w:tab w:val="left" w:pos="890"/>
          <w:tab w:val="left" w:pos="1188"/>
          <w:tab w:val="left" w:pos="7440"/>
        </w:tabs>
        <w:spacing w:before="240" w:line="240" w:lineRule="auto"/>
        <w:rPr>
          <w:rFonts w:ascii="Times New Roman" w:hAnsi="Times New Roman"/>
        </w:rPr>
      </w:pPr>
      <w:r w:rsidRPr="00EF590F">
        <w:rPr>
          <w:rFonts w:ascii="Times New Roman" w:hAnsi="Times New Roman"/>
        </w:rPr>
        <w:t>cash receipts of borrowings;</w:t>
      </w:r>
    </w:p>
    <w:p w14:paraId="29229350" w14:textId="77777777" w:rsidR="00286356" w:rsidRDefault="00286356" w:rsidP="00AE698A">
      <w:pPr>
        <w:pStyle w:val="afff1"/>
        <w:numPr>
          <w:ilvl w:val="0"/>
          <w:numId w:val="233"/>
        </w:numPr>
        <w:tabs>
          <w:tab w:val="left" w:pos="360"/>
          <w:tab w:val="left" w:pos="720"/>
          <w:tab w:val="left" w:pos="890"/>
          <w:tab w:val="left" w:pos="1188"/>
          <w:tab w:val="left" w:pos="7440"/>
        </w:tabs>
        <w:spacing w:before="240" w:after="240" w:line="240" w:lineRule="auto"/>
        <w:rPr>
          <w:rFonts w:ascii="Times New Roman" w:hAnsi="Times New Roman"/>
        </w:rPr>
      </w:pPr>
      <w:r w:rsidRPr="00EF590F">
        <w:rPr>
          <w:rFonts w:ascii="Times New Roman" w:hAnsi="Times New Roman"/>
        </w:rPr>
        <w:t>cash repayments of borrowings</w:t>
      </w:r>
      <w:r>
        <w:rPr>
          <w:rFonts w:ascii="Times New Roman" w:hAnsi="Times New Roman"/>
        </w:rPr>
        <w:t>;</w:t>
      </w:r>
    </w:p>
    <w:p w14:paraId="2E7A1CDC" w14:textId="77777777" w:rsidR="00286356" w:rsidRPr="007D770B" w:rsidRDefault="00286356" w:rsidP="00AE698A">
      <w:pPr>
        <w:pStyle w:val="afff1"/>
        <w:numPr>
          <w:ilvl w:val="0"/>
          <w:numId w:val="233"/>
        </w:numPr>
        <w:tabs>
          <w:tab w:val="left" w:pos="360"/>
          <w:tab w:val="left" w:pos="720"/>
          <w:tab w:val="left" w:pos="890"/>
          <w:tab w:val="left" w:pos="1188"/>
          <w:tab w:val="left" w:pos="7440"/>
        </w:tabs>
        <w:spacing w:before="240" w:after="240" w:line="240" w:lineRule="auto"/>
        <w:rPr>
          <w:rFonts w:ascii="Times New Roman" w:hAnsi="Times New Roman"/>
          <w:lang w:val="en-US"/>
        </w:rPr>
      </w:pPr>
      <w:r w:rsidRPr="007D770B">
        <w:rPr>
          <w:rFonts w:ascii="Times New Roman" w:hAnsi="Times New Roman"/>
          <w:lang w:val="en-US"/>
        </w:rPr>
        <w:t>payment of taxes, fines, penalties and other obligatory payments.</w:t>
      </w:r>
    </w:p>
    <w:p w14:paraId="1DB1F1A0" w14:textId="77777777" w:rsidR="00286356" w:rsidRPr="007D770B" w:rsidRDefault="00286356" w:rsidP="00C62AFB">
      <w:pPr>
        <w:spacing w:before="240"/>
        <w:ind w:left="0"/>
        <w:rPr>
          <w:rFonts w:ascii="Times New Roman" w:eastAsia="Times New Roman" w:hAnsi="Times New Roman"/>
          <w:lang w:val="en-US"/>
        </w:rPr>
      </w:pPr>
      <w:r w:rsidRPr="007D770B">
        <w:rPr>
          <w:rFonts w:ascii="Times New Roman" w:eastAsia="Times New Roman" w:hAnsi="Times New Roman"/>
          <w:lang w:val="en-US"/>
        </w:rPr>
        <w:lastRenderedPageBreak/>
        <w:t>The direct method provides information useful for estimating future cash flows that is not available when the indirect method is used. When using the direct method, information about the main types of gross cash receipts and gross cash payments is derived from the Bank's accounting records.</w:t>
      </w:r>
    </w:p>
    <w:p w14:paraId="4E8F4876" w14:textId="7714BA3E" w:rsidR="00286356" w:rsidRPr="007D770B" w:rsidRDefault="00286356" w:rsidP="00C62AFB">
      <w:pPr>
        <w:spacing w:before="240"/>
        <w:ind w:left="0"/>
        <w:rPr>
          <w:rFonts w:ascii="Times New Roman" w:eastAsia="Times New Roman" w:hAnsi="Times New Roman"/>
          <w:lang w:val="en-US"/>
        </w:rPr>
      </w:pPr>
      <w:r w:rsidRPr="007D770B">
        <w:rPr>
          <w:rFonts w:ascii="Times New Roman" w:eastAsia="Times New Roman" w:hAnsi="Times New Roman"/>
          <w:lang w:val="en-US"/>
        </w:rPr>
        <w:t>Details on the preparation of the statement of cash flows are provided in Section 5</w:t>
      </w:r>
      <w:r w:rsidR="00802136" w:rsidRPr="007D770B">
        <w:rPr>
          <w:rFonts w:ascii="Times New Roman" w:eastAsia="Times New Roman" w:hAnsi="Times New Roman"/>
          <w:lang w:val="en-US"/>
        </w:rPr>
        <w:t>, "</w:t>
      </w:r>
      <w:r w:rsidRPr="007D770B">
        <w:rPr>
          <w:rFonts w:ascii="Times New Roman" w:eastAsia="Times New Roman" w:hAnsi="Times New Roman"/>
          <w:lang w:val="en-US"/>
        </w:rPr>
        <w:t>Cash and cash equivalents (IAS 7)</w:t>
      </w:r>
      <w:r w:rsidR="00802136" w:rsidRPr="007D770B">
        <w:rPr>
          <w:rFonts w:ascii="Times New Roman" w:eastAsia="Times New Roman" w:hAnsi="Times New Roman"/>
          <w:lang w:val="en-US"/>
        </w:rPr>
        <w:t xml:space="preserve">" </w:t>
      </w:r>
      <w:r w:rsidRPr="007D770B">
        <w:rPr>
          <w:rFonts w:ascii="Times New Roman" w:eastAsia="Times New Roman" w:hAnsi="Times New Roman"/>
          <w:lang w:val="en-US"/>
        </w:rPr>
        <w:t>in Chapter 2.</w:t>
      </w:r>
    </w:p>
    <w:p w14:paraId="69DBBFB1" w14:textId="77777777" w:rsidR="00286356" w:rsidRPr="007D770B" w:rsidRDefault="00286356" w:rsidP="00C62AFB">
      <w:pPr>
        <w:spacing w:before="240"/>
        <w:ind w:left="0"/>
        <w:rPr>
          <w:rFonts w:ascii="Times New Roman" w:eastAsia="Times New Roman" w:hAnsi="Times New Roman"/>
          <w:b/>
          <w:i/>
          <w:lang w:val="en-US"/>
        </w:rPr>
      </w:pPr>
      <w:r w:rsidRPr="007D770B">
        <w:rPr>
          <w:rFonts w:ascii="Times New Roman" w:eastAsia="Times New Roman" w:hAnsi="Times New Roman"/>
          <w:b/>
          <w:i/>
          <w:lang w:val="en-US"/>
        </w:rPr>
        <w:t>Presentation of cash flows from investing and financing activities</w:t>
      </w:r>
    </w:p>
    <w:p w14:paraId="2E55C790" w14:textId="77777777" w:rsidR="00286356" w:rsidRPr="007D770B" w:rsidRDefault="00286356" w:rsidP="00C62AFB">
      <w:pPr>
        <w:spacing w:before="240"/>
        <w:ind w:left="0"/>
        <w:rPr>
          <w:rFonts w:ascii="Times New Roman" w:eastAsia="Times New Roman" w:hAnsi="Times New Roman"/>
          <w:lang w:val="en-US"/>
        </w:rPr>
      </w:pPr>
      <w:r w:rsidRPr="007D770B">
        <w:rPr>
          <w:rFonts w:ascii="Times New Roman" w:eastAsia="Times New Roman" w:hAnsi="Times New Roman"/>
          <w:lang w:val="en-US"/>
        </w:rPr>
        <w:t>The Bank presents separately the main types of gross cash receipts and gross cash payments arising from investing and financing activities.</w:t>
      </w:r>
    </w:p>
    <w:p w14:paraId="2BD5A61F" w14:textId="77777777" w:rsidR="00286356" w:rsidRPr="007D770B" w:rsidRDefault="00286356" w:rsidP="00C62AFB">
      <w:pPr>
        <w:spacing w:before="240"/>
        <w:ind w:left="0"/>
        <w:rPr>
          <w:rFonts w:ascii="Times New Roman" w:eastAsia="Times New Roman" w:hAnsi="Times New Roman"/>
          <w:b/>
          <w:i/>
          <w:lang w:val="en-US"/>
        </w:rPr>
      </w:pPr>
      <w:r w:rsidRPr="007D770B">
        <w:rPr>
          <w:rFonts w:ascii="Times New Roman" w:eastAsia="Times New Roman" w:hAnsi="Times New Roman"/>
          <w:b/>
          <w:i/>
          <w:lang w:val="en-US"/>
        </w:rPr>
        <w:t xml:space="preserve">Investment activities </w:t>
      </w:r>
    </w:p>
    <w:p w14:paraId="3E52BFB0" w14:textId="77777777" w:rsidR="00286356" w:rsidRPr="007D770B" w:rsidRDefault="00286356" w:rsidP="00C62AFB">
      <w:pPr>
        <w:spacing w:before="240"/>
        <w:ind w:left="0"/>
        <w:rPr>
          <w:rFonts w:ascii="Times New Roman" w:eastAsia="Times New Roman" w:hAnsi="Times New Roman"/>
          <w:lang w:val="en-US"/>
        </w:rPr>
      </w:pPr>
      <w:r w:rsidRPr="007D770B">
        <w:rPr>
          <w:rFonts w:ascii="Times New Roman" w:eastAsia="Times New Roman" w:hAnsi="Times New Roman"/>
          <w:lang w:val="en-US"/>
        </w:rPr>
        <w:t>Separate disclosure of cash flows arising from investing activities is important because these cash flows represent the extent to which payments made are directed to resources intended to generate future income and cash flows. The following are the Bank's recurring transactions that require separate disclosure of cash flows from investing activities:</w:t>
      </w:r>
    </w:p>
    <w:p w14:paraId="0790A745" w14:textId="77777777" w:rsidR="00286356" w:rsidRPr="007D770B" w:rsidRDefault="00286356" w:rsidP="00AE698A">
      <w:pPr>
        <w:pStyle w:val="afffc"/>
        <w:numPr>
          <w:ilvl w:val="0"/>
          <w:numId w:val="38"/>
        </w:numPr>
        <w:tabs>
          <w:tab w:val="left" w:pos="360"/>
        </w:tabs>
        <w:spacing w:before="240" w:beforeAutospacing="0" w:after="240" w:afterAutospacing="0"/>
        <w:jc w:val="both"/>
        <w:rPr>
          <w:rFonts w:ascii="Times New Roman" w:hAnsi="Times New Roman"/>
          <w:color w:val="auto"/>
          <w:sz w:val="20"/>
          <w:szCs w:val="20"/>
        </w:rPr>
      </w:pPr>
      <w:r w:rsidRPr="007D770B">
        <w:rPr>
          <w:rFonts w:ascii="Times New Roman" w:hAnsi="Times New Roman"/>
          <w:color w:val="auto"/>
          <w:sz w:val="20"/>
          <w:szCs w:val="20"/>
        </w:rPr>
        <w:t>cash payments for the purchase of available-for-sale investment securities;</w:t>
      </w:r>
    </w:p>
    <w:p w14:paraId="536DBDDC" w14:textId="77777777" w:rsidR="00286356" w:rsidRPr="007D770B" w:rsidRDefault="00286356" w:rsidP="00AE698A">
      <w:pPr>
        <w:pStyle w:val="afffc"/>
        <w:numPr>
          <w:ilvl w:val="0"/>
          <w:numId w:val="38"/>
        </w:numPr>
        <w:tabs>
          <w:tab w:val="left" w:pos="360"/>
        </w:tabs>
        <w:spacing w:before="240" w:beforeAutospacing="0" w:after="240" w:afterAutospacing="0"/>
        <w:jc w:val="both"/>
        <w:rPr>
          <w:rFonts w:ascii="Times New Roman" w:hAnsi="Times New Roman"/>
          <w:color w:val="auto"/>
          <w:sz w:val="20"/>
          <w:szCs w:val="20"/>
        </w:rPr>
      </w:pPr>
      <w:r w:rsidRPr="007D770B">
        <w:rPr>
          <w:rFonts w:ascii="Times New Roman" w:hAnsi="Times New Roman"/>
          <w:color w:val="auto"/>
          <w:sz w:val="20"/>
          <w:szCs w:val="20"/>
        </w:rPr>
        <w:t>cash proceeds from the sale and redemption of available-for-sale investment securities;</w:t>
      </w:r>
    </w:p>
    <w:p w14:paraId="341978D0" w14:textId="77777777" w:rsidR="00286356" w:rsidRPr="007D770B" w:rsidRDefault="00286356" w:rsidP="00AE698A">
      <w:pPr>
        <w:pStyle w:val="afffc"/>
        <w:numPr>
          <w:ilvl w:val="0"/>
          <w:numId w:val="38"/>
        </w:numPr>
        <w:tabs>
          <w:tab w:val="left" w:pos="360"/>
        </w:tabs>
        <w:spacing w:before="240" w:beforeAutospacing="0" w:after="240" w:afterAutospacing="0"/>
        <w:jc w:val="both"/>
        <w:rPr>
          <w:rFonts w:ascii="Times New Roman" w:hAnsi="Times New Roman"/>
          <w:color w:val="auto"/>
          <w:sz w:val="20"/>
          <w:szCs w:val="20"/>
        </w:rPr>
      </w:pPr>
      <w:r w:rsidRPr="007D770B">
        <w:rPr>
          <w:rFonts w:ascii="Times New Roman" w:hAnsi="Times New Roman"/>
          <w:color w:val="auto"/>
          <w:sz w:val="20"/>
          <w:szCs w:val="20"/>
        </w:rPr>
        <w:t>cash purchases of held-to-maturity investment securities;</w:t>
      </w:r>
    </w:p>
    <w:p w14:paraId="503C9FE0" w14:textId="77777777" w:rsidR="00286356" w:rsidRPr="007D770B" w:rsidRDefault="00286356" w:rsidP="00AE698A">
      <w:pPr>
        <w:pStyle w:val="afffc"/>
        <w:numPr>
          <w:ilvl w:val="0"/>
          <w:numId w:val="38"/>
        </w:numPr>
        <w:tabs>
          <w:tab w:val="left" w:pos="360"/>
        </w:tabs>
        <w:spacing w:before="240" w:beforeAutospacing="0" w:after="240" w:afterAutospacing="0"/>
        <w:jc w:val="both"/>
        <w:rPr>
          <w:rFonts w:ascii="Times New Roman" w:hAnsi="Times New Roman"/>
          <w:color w:val="auto"/>
          <w:sz w:val="20"/>
          <w:szCs w:val="20"/>
        </w:rPr>
      </w:pPr>
      <w:r w:rsidRPr="007D770B">
        <w:rPr>
          <w:rFonts w:ascii="Times New Roman" w:hAnsi="Times New Roman"/>
          <w:color w:val="auto"/>
          <w:sz w:val="20"/>
          <w:szCs w:val="20"/>
        </w:rPr>
        <w:t>cash proceeds from redemption of investment securities held to maturity;</w:t>
      </w:r>
    </w:p>
    <w:p w14:paraId="40CE25D3" w14:textId="77777777" w:rsidR="00286356" w:rsidRPr="007D770B" w:rsidRDefault="00286356" w:rsidP="00AE698A">
      <w:pPr>
        <w:pStyle w:val="afffc"/>
        <w:numPr>
          <w:ilvl w:val="0"/>
          <w:numId w:val="38"/>
        </w:numPr>
        <w:tabs>
          <w:tab w:val="left" w:pos="360"/>
        </w:tabs>
        <w:spacing w:before="240" w:beforeAutospacing="0" w:after="240" w:afterAutospacing="0"/>
        <w:jc w:val="both"/>
        <w:rPr>
          <w:rFonts w:ascii="Times New Roman" w:hAnsi="Times New Roman"/>
          <w:color w:val="auto"/>
          <w:sz w:val="20"/>
          <w:szCs w:val="20"/>
        </w:rPr>
      </w:pPr>
      <w:r w:rsidRPr="007D770B">
        <w:rPr>
          <w:rFonts w:ascii="Times New Roman" w:hAnsi="Times New Roman"/>
          <w:color w:val="auto"/>
          <w:sz w:val="20"/>
          <w:szCs w:val="20"/>
        </w:rPr>
        <w:t xml:space="preserve">cash payments/receipts for acquisition and sale of fixed and intangible assets; </w:t>
      </w:r>
    </w:p>
    <w:p w14:paraId="3F8DD423" w14:textId="77777777" w:rsidR="00286356" w:rsidRPr="007D770B" w:rsidRDefault="00286356" w:rsidP="00286356">
      <w:pPr>
        <w:pStyle w:val="aa"/>
        <w:spacing w:before="240" w:line="240" w:lineRule="auto"/>
        <w:ind w:left="0"/>
        <w:contextualSpacing w:val="0"/>
        <w:rPr>
          <w:rFonts w:ascii="Times New Roman" w:hAnsi="Times New Roman"/>
          <w:lang w:val="en-US"/>
        </w:rPr>
      </w:pPr>
      <w:r w:rsidRPr="007D770B">
        <w:rPr>
          <w:rFonts w:ascii="Times New Roman" w:hAnsi="Times New Roman"/>
          <w:lang w:val="en-US"/>
        </w:rPr>
        <w:t>When significant cash flows from investing activities arise that have not been previously disclosed separately, the Bank considers whether such cash flows should be presented separately for completeness and usefulness.</w:t>
      </w:r>
    </w:p>
    <w:p w14:paraId="3F101D4E" w14:textId="77777777" w:rsidR="00286356" w:rsidRPr="007D770B" w:rsidRDefault="00286356" w:rsidP="00C62AFB">
      <w:pPr>
        <w:spacing w:before="240"/>
        <w:ind w:left="0"/>
        <w:rPr>
          <w:rFonts w:ascii="Times New Roman" w:eastAsia="Times New Roman" w:hAnsi="Times New Roman"/>
          <w:b/>
          <w:i/>
          <w:lang w:val="en-US"/>
        </w:rPr>
      </w:pPr>
      <w:r w:rsidRPr="007D770B">
        <w:rPr>
          <w:rFonts w:ascii="Times New Roman" w:eastAsia="Times New Roman" w:hAnsi="Times New Roman"/>
          <w:b/>
          <w:i/>
          <w:lang w:val="en-US"/>
        </w:rPr>
        <w:t>Financial activities</w:t>
      </w:r>
    </w:p>
    <w:p w14:paraId="684103F6" w14:textId="77777777" w:rsidR="00286356" w:rsidRPr="007D770B" w:rsidRDefault="00286356" w:rsidP="0003429F">
      <w:pPr>
        <w:spacing w:before="240"/>
        <w:ind w:left="0"/>
        <w:rPr>
          <w:rFonts w:ascii="Times New Roman" w:hAnsi="Times New Roman"/>
          <w:lang w:val="en-US"/>
        </w:rPr>
      </w:pPr>
      <w:r w:rsidRPr="007D770B">
        <w:rPr>
          <w:rFonts w:ascii="Times New Roman" w:hAnsi="Times New Roman"/>
          <w:lang w:val="en-US"/>
        </w:rPr>
        <w:t>Separate disclosure of cash flows arising from financing activities is important because of the need for this information to forecast future cash flow requirements from companies and financial institutions that provide capital to the Bank. The following are the Bank's recurring transactions that require separate disclosure of cash flows arising from financing activities:</w:t>
      </w:r>
    </w:p>
    <w:p w14:paraId="2141F146" w14:textId="77777777" w:rsidR="00286356" w:rsidRDefault="00286356" w:rsidP="00AE698A">
      <w:pPr>
        <w:pStyle w:val="afffc"/>
        <w:numPr>
          <w:ilvl w:val="0"/>
          <w:numId w:val="39"/>
        </w:numPr>
        <w:spacing w:before="240" w:beforeAutospacing="0" w:after="240" w:afterAutospacing="0"/>
        <w:jc w:val="both"/>
        <w:rPr>
          <w:rFonts w:ascii="Times New Roman" w:hAnsi="Times New Roman"/>
          <w:color w:val="auto"/>
          <w:sz w:val="20"/>
          <w:szCs w:val="20"/>
          <w:lang w:val="ru-RU"/>
        </w:rPr>
      </w:pPr>
      <w:r w:rsidRPr="002D4EA3">
        <w:rPr>
          <w:rFonts w:ascii="Times New Roman" w:hAnsi="Times New Roman"/>
          <w:color w:val="auto"/>
          <w:sz w:val="20"/>
          <w:szCs w:val="20"/>
          <w:lang w:val="ru-RU"/>
        </w:rPr>
        <w:t>monetary borrowings;</w:t>
      </w:r>
    </w:p>
    <w:p w14:paraId="79D1DC66" w14:textId="77777777" w:rsidR="00286356" w:rsidRDefault="00286356" w:rsidP="00AE698A">
      <w:pPr>
        <w:pStyle w:val="afffc"/>
        <w:numPr>
          <w:ilvl w:val="0"/>
          <w:numId w:val="39"/>
        </w:numPr>
        <w:spacing w:before="240" w:beforeAutospacing="0" w:after="240" w:afterAutospacing="0"/>
        <w:jc w:val="both"/>
        <w:rPr>
          <w:rFonts w:ascii="Times New Roman" w:hAnsi="Times New Roman"/>
          <w:color w:val="auto"/>
          <w:sz w:val="20"/>
          <w:szCs w:val="20"/>
          <w:lang w:val="ru-RU"/>
        </w:rPr>
      </w:pPr>
      <w:r w:rsidRPr="002D4EA3">
        <w:rPr>
          <w:rFonts w:ascii="Times New Roman" w:hAnsi="Times New Roman"/>
          <w:color w:val="auto"/>
          <w:sz w:val="20"/>
          <w:szCs w:val="20"/>
          <w:lang w:val="ru-RU"/>
        </w:rPr>
        <w:t>cash repayments of borrowings;</w:t>
      </w:r>
    </w:p>
    <w:p w14:paraId="03012A52" w14:textId="77777777" w:rsidR="00286356" w:rsidRPr="007D770B" w:rsidRDefault="00286356" w:rsidP="00AE698A">
      <w:pPr>
        <w:pStyle w:val="afffc"/>
        <w:numPr>
          <w:ilvl w:val="0"/>
          <w:numId w:val="39"/>
        </w:numPr>
        <w:spacing w:before="240" w:beforeAutospacing="0" w:after="240" w:afterAutospacing="0"/>
        <w:jc w:val="both"/>
        <w:rPr>
          <w:rFonts w:ascii="Times New Roman" w:hAnsi="Times New Roman"/>
          <w:color w:val="auto"/>
          <w:sz w:val="20"/>
          <w:szCs w:val="20"/>
        </w:rPr>
      </w:pPr>
      <w:r w:rsidRPr="007D770B">
        <w:rPr>
          <w:rFonts w:ascii="Times New Roman" w:hAnsi="Times New Roman"/>
          <w:color w:val="auto"/>
          <w:sz w:val="20"/>
          <w:szCs w:val="20"/>
        </w:rPr>
        <w:t>monetary receipt of long-term borrowings from banks;</w:t>
      </w:r>
    </w:p>
    <w:p w14:paraId="5EC1499A" w14:textId="77777777" w:rsidR="00286356" w:rsidRPr="007D770B" w:rsidRDefault="00286356" w:rsidP="00AE698A">
      <w:pPr>
        <w:pStyle w:val="afffc"/>
        <w:numPr>
          <w:ilvl w:val="0"/>
          <w:numId w:val="39"/>
        </w:numPr>
        <w:spacing w:before="240" w:beforeAutospacing="0" w:after="240" w:afterAutospacing="0"/>
        <w:jc w:val="both"/>
        <w:rPr>
          <w:rFonts w:ascii="Times New Roman" w:hAnsi="Times New Roman"/>
          <w:color w:val="auto"/>
          <w:sz w:val="20"/>
          <w:szCs w:val="20"/>
        </w:rPr>
      </w:pPr>
      <w:r w:rsidRPr="007D770B">
        <w:rPr>
          <w:rFonts w:ascii="Times New Roman" w:hAnsi="Times New Roman"/>
          <w:color w:val="auto"/>
          <w:sz w:val="20"/>
          <w:szCs w:val="20"/>
        </w:rPr>
        <w:t>cash repayments of long-term borrowings from banks;</w:t>
      </w:r>
    </w:p>
    <w:p w14:paraId="38319388" w14:textId="77777777" w:rsidR="00286356" w:rsidRPr="007D770B" w:rsidRDefault="00286356" w:rsidP="00AE698A">
      <w:pPr>
        <w:pStyle w:val="afffc"/>
        <w:numPr>
          <w:ilvl w:val="0"/>
          <w:numId w:val="39"/>
        </w:numPr>
        <w:spacing w:before="240" w:beforeAutospacing="0" w:after="240" w:afterAutospacing="0"/>
        <w:jc w:val="both"/>
        <w:rPr>
          <w:rFonts w:ascii="Times New Roman" w:hAnsi="Times New Roman"/>
          <w:color w:val="auto"/>
          <w:sz w:val="20"/>
          <w:szCs w:val="20"/>
        </w:rPr>
      </w:pPr>
      <w:r w:rsidRPr="007D770B">
        <w:rPr>
          <w:rFonts w:ascii="Times New Roman" w:hAnsi="Times New Roman"/>
          <w:color w:val="auto"/>
          <w:sz w:val="20"/>
          <w:szCs w:val="20"/>
        </w:rPr>
        <w:t>other cash contributions from shareholders other than share issuance;</w:t>
      </w:r>
    </w:p>
    <w:p w14:paraId="60F5992D" w14:textId="77777777" w:rsidR="00286356" w:rsidRDefault="00286356" w:rsidP="00AE698A">
      <w:pPr>
        <w:pStyle w:val="afffc"/>
        <w:numPr>
          <w:ilvl w:val="0"/>
          <w:numId w:val="39"/>
        </w:numPr>
        <w:spacing w:before="240" w:beforeAutospacing="0" w:after="240" w:afterAutospacing="0"/>
        <w:jc w:val="both"/>
        <w:rPr>
          <w:rFonts w:ascii="Times New Roman" w:hAnsi="Times New Roman"/>
          <w:color w:val="auto"/>
          <w:sz w:val="20"/>
          <w:szCs w:val="20"/>
          <w:lang w:val="ru-RU"/>
        </w:rPr>
      </w:pPr>
      <w:r w:rsidRPr="002D4EA3">
        <w:rPr>
          <w:rFonts w:ascii="Times New Roman" w:hAnsi="Times New Roman"/>
          <w:color w:val="auto"/>
          <w:sz w:val="20"/>
          <w:szCs w:val="20"/>
          <w:lang w:val="ru-RU"/>
        </w:rPr>
        <w:t>dividends paid</w:t>
      </w:r>
      <w:r w:rsidRPr="002D4EA3">
        <w:rPr>
          <w:rFonts w:ascii="Times New Roman" w:hAnsi="Times New Roman"/>
          <w:color w:val="auto"/>
          <w:sz w:val="20"/>
          <w:szCs w:val="20"/>
          <w:lang w:val="en-GB"/>
        </w:rPr>
        <w:t>;</w:t>
      </w:r>
    </w:p>
    <w:p w14:paraId="49024C35" w14:textId="77777777" w:rsidR="00286356" w:rsidRPr="007D770B" w:rsidRDefault="00286356" w:rsidP="00AE698A">
      <w:pPr>
        <w:pStyle w:val="afffc"/>
        <w:numPr>
          <w:ilvl w:val="0"/>
          <w:numId w:val="39"/>
        </w:numPr>
        <w:spacing w:before="240" w:beforeAutospacing="0" w:after="240" w:afterAutospacing="0"/>
        <w:jc w:val="both"/>
        <w:rPr>
          <w:rFonts w:ascii="Times New Roman" w:hAnsi="Times New Roman"/>
          <w:color w:val="auto"/>
          <w:sz w:val="20"/>
          <w:szCs w:val="20"/>
        </w:rPr>
      </w:pPr>
      <w:r w:rsidRPr="007D770B">
        <w:rPr>
          <w:rFonts w:ascii="Times New Roman" w:hAnsi="Times New Roman"/>
          <w:color w:val="auto"/>
          <w:sz w:val="20"/>
          <w:szCs w:val="20"/>
        </w:rPr>
        <w:t>other distributions to shareholders other than dividends.</w:t>
      </w:r>
    </w:p>
    <w:p w14:paraId="78326691" w14:textId="77777777" w:rsidR="00286356" w:rsidRPr="007D770B" w:rsidRDefault="00286356" w:rsidP="0003429F">
      <w:pPr>
        <w:spacing w:before="240"/>
        <w:ind w:left="0"/>
        <w:rPr>
          <w:rFonts w:ascii="Times New Roman" w:hAnsi="Times New Roman"/>
          <w:b/>
          <w:i/>
          <w:lang w:val="en-US"/>
        </w:rPr>
      </w:pPr>
      <w:r w:rsidRPr="007D770B">
        <w:rPr>
          <w:rFonts w:ascii="Times New Roman" w:hAnsi="Times New Roman"/>
          <w:b/>
          <w:i/>
          <w:lang w:val="en-US"/>
        </w:rPr>
        <w:t>Dividends</w:t>
      </w:r>
    </w:p>
    <w:p w14:paraId="4095B64C" w14:textId="77777777" w:rsidR="00286356" w:rsidRPr="007D770B" w:rsidRDefault="00286356" w:rsidP="0003429F">
      <w:pPr>
        <w:spacing w:before="240"/>
        <w:ind w:left="0"/>
        <w:rPr>
          <w:rFonts w:ascii="Times New Roman" w:hAnsi="Times New Roman"/>
          <w:lang w:val="en-US"/>
        </w:rPr>
      </w:pPr>
      <w:r w:rsidRPr="007D770B">
        <w:rPr>
          <w:rFonts w:ascii="Times New Roman" w:hAnsi="Times New Roman"/>
          <w:lang w:val="en-US"/>
        </w:rPr>
        <w:t>Cash flows from dividends received and dividends paid are disclosed separately, with:</w:t>
      </w:r>
    </w:p>
    <w:p w14:paraId="4A7F518F" w14:textId="77777777" w:rsidR="00C62AFB" w:rsidRPr="007D770B" w:rsidRDefault="00C62AFB" w:rsidP="00AE698A">
      <w:pPr>
        <w:numPr>
          <w:ilvl w:val="0"/>
          <w:numId w:val="153"/>
        </w:numPr>
        <w:spacing w:before="240" w:line="240" w:lineRule="auto"/>
        <w:ind w:left="360"/>
        <w:rPr>
          <w:rFonts w:ascii="Times New Roman" w:hAnsi="Times New Roman"/>
          <w:lang w:val="en-US"/>
        </w:rPr>
      </w:pPr>
      <w:r w:rsidRPr="007D770B">
        <w:rPr>
          <w:rFonts w:ascii="Times New Roman" w:hAnsi="Times New Roman"/>
          <w:lang w:val="en-US"/>
        </w:rPr>
        <w:t>dividends received - as investment activity;</w:t>
      </w:r>
    </w:p>
    <w:p w14:paraId="1168AD86" w14:textId="77777777" w:rsidR="00C62AFB" w:rsidRPr="007D770B" w:rsidRDefault="00C62AFB" w:rsidP="00AE698A">
      <w:pPr>
        <w:numPr>
          <w:ilvl w:val="0"/>
          <w:numId w:val="153"/>
        </w:numPr>
        <w:spacing w:before="240" w:line="240" w:lineRule="auto"/>
        <w:ind w:left="360"/>
        <w:rPr>
          <w:rFonts w:ascii="Times New Roman" w:hAnsi="Times New Roman"/>
          <w:lang w:val="en-US"/>
        </w:rPr>
      </w:pPr>
      <w:r w:rsidRPr="007D770B">
        <w:rPr>
          <w:rFonts w:ascii="Times New Roman" w:hAnsi="Times New Roman"/>
          <w:lang w:val="en-US"/>
        </w:rPr>
        <w:t>dividends paid - as financing activities.</w:t>
      </w:r>
    </w:p>
    <w:p w14:paraId="5A8B8214" w14:textId="77777777" w:rsidR="00286356" w:rsidRPr="007D770B" w:rsidRDefault="00286356" w:rsidP="0003429F">
      <w:pPr>
        <w:spacing w:before="240"/>
        <w:ind w:left="0"/>
        <w:rPr>
          <w:rFonts w:ascii="Times New Roman" w:eastAsia="Times New Roman" w:hAnsi="Times New Roman"/>
          <w:b/>
          <w:i/>
          <w:lang w:val="en-US"/>
        </w:rPr>
      </w:pPr>
      <w:r w:rsidRPr="007D770B">
        <w:rPr>
          <w:rFonts w:ascii="Times New Roman" w:eastAsia="Times New Roman" w:hAnsi="Times New Roman"/>
          <w:b/>
          <w:i/>
          <w:lang w:val="en-US"/>
        </w:rPr>
        <w:t>Income tax</w:t>
      </w:r>
    </w:p>
    <w:p w14:paraId="350A2FE1" w14:textId="77777777" w:rsidR="00286356" w:rsidRPr="007D770B" w:rsidRDefault="00286356" w:rsidP="0003429F">
      <w:pPr>
        <w:spacing w:before="240"/>
        <w:ind w:left="0"/>
        <w:rPr>
          <w:rFonts w:ascii="Times New Roman" w:eastAsia="Times New Roman" w:hAnsi="Times New Roman"/>
          <w:lang w:val="en-US"/>
        </w:rPr>
      </w:pPr>
      <w:r w:rsidRPr="007D770B">
        <w:rPr>
          <w:rFonts w:ascii="Times New Roman" w:eastAsia="Times New Roman" w:hAnsi="Times New Roman"/>
          <w:lang w:val="en-US"/>
        </w:rPr>
        <w:lastRenderedPageBreak/>
        <w:t>Cash flows arising from income taxes are disclosed separately and classified as cash flows from operating activities unless they can be specifically linked to financing or investing activities.</w:t>
      </w:r>
    </w:p>
    <w:p w14:paraId="62DB92D1" w14:textId="77777777" w:rsidR="00286356" w:rsidRPr="007D770B" w:rsidRDefault="00286356" w:rsidP="0003429F">
      <w:pPr>
        <w:spacing w:before="240"/>
        <w:ind w:left="0"/>
        <w:rPr>
          <w:rFonts w:ascii="Times New Roman" w:eastAsia="Times New Roman" w:hAnsi="Times New Roman"/>
          <w:b/>
          <w:i/>
          <w:lang w:val="en-US"/>
        </w:rPr>
      </w:pPr>
      <w:r w:rsidRPr="007D770B">
        <w:rPr>
          <w:rFonts w:ascii="Times New Roman" w:eastAsia="Times New Roman" w:hAnsi="Times New Roman"/>
          <w:b/>
          <w:i/>
          <w:lang w:val="en-US"/>
        </w:rPr>
        <w:t>Non-cash transactions</w:t>
      </w:r>
    </w:p>
    <w:p w14:paraId="1C9C5217" w14:textId="77777777" w:rsidR="00286356" w:rsidRPr="007D770B" w:rsidRDefault="00286356" w:rsidP="0003429F">
      <w:pPr>
        <w:spacing w:before="240"/>
        <w:ind w:left="0"/>
        <w:rPr>
          <w:rFonts w:ascii="Times New Roman" w:eastAsia="Times New Roman" w:hAnsi="Times New Roman"/>
          <w:lang w:val="en-US"/>
        </w:rPr>
      </w:pPr>
      <w:r w:rsidRPr="007D770B">
        <w:rPr>
          <w:rFonts w:ascii="Times New Roman" w:eastAsia="Times New Roman" w:hAnsi="Times New Roman"/>
          <w:lang w:val="en-US"/>
        </w:rPr>
        <w:t>Investing and financing transactions that do not require the use of cash or cash equivalents are excluded from the statements of cash flows. Such transactions are disclosed in the financial statements in a manner that provides all relevant information about such investing and financing activities.</w:t>
      </w:r>
    </w:p>
    <w:p w14:paraId="340600FE" w14:textId="77777777" w:rsidR="00286356" w:rsidRPr="0003429F" w:rsidRDefault="00286356" w:rsidP="0003429F">
      <w:pPr>
        <w:spacing w:before="240"/>
        <w:ind w:left="0"/>
        <w:rPr>
          <w:rFonts w:ascii="Times New Roman" w:eastAsia="Times New Roman" w:hAnsi="Times New Roman"/>
        </w:rPr>
      </w:pPr>
      <w:r w:rsidRPr="007D770B">
        <w:rPr>
          <w:rFonts w:ascii="Times New Roman" w:eastAsia="Times New Roman" w:hAnsi="Times New Roman"/>
          <w:lang w:val="en-US"/>
        </w:rPr>
        <w:t xml:space="preserve">A significant portion of investing and financing activities do not have a direct impact on current cash flows, although they do affect the capital and asset structure of the Bank. The exclusion of non-cash transactions from the statement of cash flows is consistent with the objective of the statement of cash flows as these items do not give rise to cash flows in the current period. </w:t>
      </w:r>
      <w:r w:rsidRPr="0003429F">
        <w:rPr>
          <w:rFonts w:ascii="Times New Roman" w:eastAsia="Times New Roman" w:hAnsi="Times New Roman"/>
        </w:rPr>
        <w:t>Examples of non-cash transactions are:</w:t>
      </w:r>
    </w:p>
    <w:p w14:paraId="6560D26F" w14:textId="77777777" w:rsidR="00286356" w:rsidRPr="007D770B" w:rsidRDefault="00286356" w:rsidP="00AE698A">
      <w:pPr>
        <w:pStyle w:val="aa"/>
        <w:numPr>
          <w:ilvl w:val="0"/>
          <w:numId w:val="154"/>
        </w:numPr>
        <w:spacing w:before="240" w:line="240" w:lineRule="auto"/>
        <w:contextualSpacing w:val="0"/>
        <w:rPr>
          <w:rFonts w:ascii="Times New Roman" w:hAnsi="Times New Roman"/>
          <w:lang w:val="en-US"/>
        </w:rPr>
      </w:pPr>
      <w:r w:rsidRPr="007D770B">
        <w:rPr>
          <w:rFonts w:ascii="Times New Roman" w:hAnsi="Times New Roman"/>
          <w:lang w:val="en-US"/>
        </w:rPr>
        <w:t>Acquisition of assets either through direct assumption of the related liabilities or through finance leases;</w:t>
      </w:r>
    </w:p>
    <w:p w14:paraId="4E75D513" w14:textId="77777777" w:rsidR="00286356" w:rsidRPr="007D770B" w:rsidRDefault="00286356" w:rsidP="00AE698A">
      <w:pPr>
        <w:pStyle w:val="aa"/>
        <w:numPr>
          <w:ilvl w:val="0"/>
          <w:numId w:val="154"/>
        </w:numPr>
        <w:spacing w:before="240" w:line="240" w:lineRule="auto"/>
        <w:contextualSpacing w:val="0"/>
        <w:rPr>
          <w:rFonts w:ascii="Times New Roman" w:hAnsi="Times New Roman"/>
          <w:lang w:val="en-US"/>
        </w:rPr>
      </w:pPr>
      <w:r w:rsidRPr="007D770B">
        <w:rPr>
          <w:rFonts w:ascii="Times New Roman" w:hAnsi="Times New Roman"/>
          <w:lang w:val="en-US"/>
        </w:rPr>
        <w:t>acquiring a company by issuing shares; and</w:t>
      </w:r>
    </w:p>
    <w:p w14:paraId="197C1132" w14:textId="77777777" w:rsidR="00286356" w:rsidRPr="007D770B" w:rsidRDefault="00286356" w:rsidP="00AE698A">
      <w:pPr>
        <w:pStyle w:val="aa"/>
        <w:numPr>
          <w:ilvl w:val="0"/>
          <w:numId w:val="154"/>
        </w:numPr>
        <w:spacing w:before="240" w:line="240" w:lineRule="auto"/>
        <w:contextualSpacing w:val="0"/>
        <w:rPr>
          <w:rFonts w:ascii="Times New Roman" w:hAnsi="Times New Roman"/>
          <w:lang w:val="en-US"/>
        </w:rPr>
      </w:pPr>
      <w:r w:rsidRPr="007D770B">
        <w:rPr>
          <w:rFonts w:ascii="Times New Roman" w:hAnsi="Times New Roman"/>
          <w:lang w:val="en-US"/>
        </w:rPr>
        <w:t>conversion of debt obligations into shares.</w:t>
      </w:r>
    </w:p>
    <w:p w14:paraId="3E3B42C5" w14:textId="77777777" w:rsidR="00286356" w:rsidRPr="007D770B" w:rsidRDefault="00286356" w:rsidP="0003429F">
      <w:pPr>
        <w:spacing w:before="240"/>
        <w:ind w:left="0"/>
        <w:rPr>
          <w:rFonts w:ascii="Times New Roman" w:eastAsia="Times New Roman" w:hAnsi="Times New Roman"/>
          <w:b/>
          <w:i/>
          <w:lang w:val="en-US"/>
        </w:rPr>
      </w:pPr>
      <w:r w:rsidRPr="007D770B">
        <w:rPr>
          <w:rFonts w:ascii="Times New Roman" w:eastAsia="Times New Roman" w:hAnsi="Times New Roman"/>
          <w:b/>
          <w:i/>
          <w:lang w:val="en-US"/>
        </w:rPr>
        <w:t>Components of cash and cash equivalents</w:t>
      </w:r>
    </w:p>
    <w:p w14:paraId="027D676C" w14:textId="553A0D48" w:rsidR="00286356" w:rsidRPr="007D770B" w:rsidRDefault="00286356" w:rsidP="0003429F">
      <w:pPr>
        <w:spacing w:before="240"/>
        <w:ind w:left="0"/>
        <w:rPr>
          <w:rFonts w:ascii="Times New Roman" w:eastAsia="Times New Roman" w:hAnsi="Times New Roman"/>
          <w:lang w:val="en-US"/>
        </w:rPr>
      </w:pPr>
      <w:r w:rsidRPr="007D770B">
        <w:rPr>
          <w:rFonts w:ascii="Times New Roman" w:eastAsia="Times New Roman" w:hAnsi="Times New Roman"/>
          <w:lang w:val="en-US"/>
        </w:rPr>
        <w:t xml:space="preserve">The Bank discloses the composition of cash and cash equivalents in accordance with the requirements specified in section 5 </w:t>
      </w:r>
      <w:r w:rsidR="00802136" w:rsidRPr="007D770B">
        <w:rPr>
          <w:rFonts w:ascii="Times New Roman" w:eastAsia="Times New Roman" w:hAnsi="Times New Roman"/>
          <w:lang w:val="en-US"/>
        </w:rPr>
        <w:t>"</w:t>
      </w:r>
      <w:r w:rsidRPr="007D770B">
        <w:rPr>
          <w:rFonts w:ascii="Times New Roman" w:eastAsia="Times New Roman" w:hAnsi="Times New Roman"/>
          <w:lang w:val="en-US"/>
        </w:rPr>
        <w:t>Cash and cash equivalents (IAS 7)</w:t>
      </w:r>
      <w:r w:rsidR="00802136" w:rsidRPr="007D770B">
        <w:rPr>
          <w:rFonts w:ascii="Times New Roman" w:eastAsia="Times New Roman" w:hAnsi="Times New Roman"/>
          <w:lang w:val="en-US"/>
        </w:rPr>
        <w:t xml:space="preserve">" </w:t>
      </w:r>
      <w:r w:rsidRPr="007D770B">
        <w:rPr>
          <w:rFonts w:ascii="Times New Roman" w:eastAsia="Times New Roman" w:hAnsi="Times New Roman"/>
          <w:lang w:val="en-US"/>
        </w:rPr>
        <w:t>of Chapter 2 and provides a reconciliation of the amounts in the statement of cash flows to the equivalent items presented in the statement of financial position.</w:t>
      </w:r>
    </w:p>
    <w:p w14:paraId="1F48E117" w14:textId="77777777" w:rsidR="00286356" w:rsidRPr="007D770B" w:rsidRDefault="00286356" w:rsidP="0003429F">
      <w:pPr>
        <w:spacing w:before="240"/>
        <w:ind w:left="0"/>
        <w:rPr>
          <w:rFonts w:ascii="Times New Roman" w:eastAsia="Times New Roman" w:hAnsi="Times New Roman"/>
          <w:b/>
          <w:i/>
          <w:lang w:val="en-US"/>
        </w:rPr>
      </w:pPr>
      <w:r w:rsidRPr="007D770B">
        <w:rPr>
          <w:rFonts w:ascii="Times New Roman" w:eastAsia="Times New Roman" w:hAnsi="Times New Roman"/>
          <w:b/>
          <w:i/>
          <w:lang w:val="en-US"/>
        </w:rPr>
        <w:t>Other disclosures</w:t>
      </w:r>
    </w:p>
    <w:p w14:paraId="49EFE78D" w14:textId="77777777" w:rsidR="00286356" w:rsidRPr="007D770B" w:rsidRDefault="00286356" w:rsidP="0003429F">
      <w:pPr>
        <w:spacing w:before="240"/>
        <w:ind w:left="0"/>
        <w:rPr>
          <w:rFonts w:ascii="Times New Roman" w:eastAsia="Times New Roman" w:hAnsi="Times New Roman"/>
          <w:lang w:val="en-US"/>
        </w:rPr>
      </w:pPr>
      <w:r w:rsidRPr="007D770B">
        <w:rPr>
          <w:rFonts w:ascii="Times New Roman" w:eastAsia="Times New Roman" w:hAnsi="Times New Roman"/>
          <w:lang w:val="en-US"/>
        </w:rPr>
        <w:t>The Bank discloses, together with management commentary, the amount of significant cash balances and cash equivalents held but not available for use.</w:t>
      </w:r>
    </w:p>
    <w:p w14:paraId="1392EEE8" w14:textId="77777777" w:rsidR="00286356" w:rsidRPr="007D770B" w:rsidRDefault="00286356" w:rsidP="0003429F">
      <w:pPr>
        <w:spacing w:before="240"/>
        <w:ind w:left="0"/>
        <w:rPr>
          <w:rFonts w:ascii="Times New Roman" w:eastAsia="Times New Roman" w:hAnsi="Times New Roman"/>
          <w:b/>
          <w:i/>
          <w:lang w:val="en-US"/>
        </w:rPr>
      </w:pPr>
      <w:r w:rsidRPr="007D770B">
        <w:rPr>
          <w:rFonts w:ascii="Times New Roman" w:eastAsia="Times New Roman" w:hAnsi="Times New Roman"/>
          <w:b/>
          <w:i/>
          <w:lang w:val="en-US"/>
        </w:rPr>
        <w:t>Statement of changes in equity</w:t>
      </w:r>
    </w:p>
    <w:p w14:paraId="06E3F63A" w14:textId="77777777" w:rsidR="00286356" w:rsidRPr="007D770B" w:rsidRDefault="00286356" w:rsidP="0003429F">
      <w:pPr>
        <w:spacing w:before="240"/>
        <w:ind w:left="0"/>
        <w:rPr>
          <w:rFonts w:ascii="Times New Roman" w:eastAsia="Times New Roman" w:hAnsi="Times New Roman"/>
          <w:lang w:val="en-US"/>
        </w:rPr>
      </w:pPr>
      <w:r w:rsidRPr="007D770B">
        <w:rPr>
          <w:rFonts w:ascii="Times New Roman" w:eastAsia="Times New Roman" w:hAnsi="Times New Roman"/>
          <w:lang w:val="en-US"/>
        </w:rPr>
        <w:t>The statement of changes in equity discloses the change in the Bank's net assets during the reporting period, which means total gains and losses resulting from the Bank's operations during the period, as well as changes resulting from transactions with shareholders.</w:t>
      </w:r>
    </w:p>
    <w:p w14:paraId="7269CE88" w14:textId="77777777" w:rsidR="00286356" w:rsidRPr="007D770B" w:rsidRDefault="00286356" w:rsidP="0003429F">
      <w:pPr>
        <w:spacing w:before="240"/>
        <w:ind w:left="0"/>
        <w:rPr>
          <w:rFonts w:ascii="Times New Roman" w:eastAsia="Times New Roman" w:hAnsi="Times New Roman"/>
          <w:lang w:val="en-US"/>
        </w:rPr>
      </w:pPr>
      <w:r w:rsidRPr="007D770B">
        <w:rPr>
          <w:rFonts w:ascii="Times New Roman" w:eastAsia="Times New Roman" w:hAnsi="Times New Roman"/>
          <w:lang w:val="en-US"/>
        </w:rPr>
        <w:t>The Bank presents the following information in the statement of changes in equity:</w:t>
      </w:r>
    </w:p>
    <w:p w14:paraId="602531D6" w14:textId="68FAC1C3" w:rsidR="00286356" w:rsidRPr="007D770B" w:rsidRDefault="00286356" w:rsidP="00AE698A">
      <w:pPr>
        <w:pStyle w:val="aa"/>
        <w:numPr>
          <w:ilvl w:val="0"/>
          <w:numId w:val="155"/>
        </w:numPr>
        <w:spacing w:before="240" w:line="240" w:lineRule="auto"/>
        <w:contextualSpacing w:val="0"/>
        <w:rPr>
          <w:rFonts w:ascii="Times New Roman" w:eastAsia="Times New Roman" w:hAnsi="Times New Roman"/>
          <w:lang w:val="en-US"/>
        </w:rPr>
      </w:pPr>
      <w:r w:rsidRPr="007D770B">
        <w:rPr>
          <w:rFonts w:ascii="Times New Roman" w:eastAsia="Times New Roman" w:hAnsi="Times New Roman"/>
          <w:lang w:val="en-US"/>
        </w:rPr>
        <w:t>total comprehensive income or loss for the period;</w:t>
      </w:r>
    </w:p>
    <w:p w14:paraId="0DF5D774" w14:textId="77777777" w:rsidR="00286356" w:rsidRPr="007D770B" w:rsidRDefault="00286356" w:rsidP="00AE698A">
      <w:pPr>
        <w:pStyle w:val="aa"/>
        <w:numPr>
          <w:ilvl w:val="0"/>
          <w:numId w:val="155"/>
        </w:numPr>
        <w:spacing w:before="240" w:line="240" w:lineRule="auto"/>
        <w:contextualSpacing w:val="0"/>
        <w:rPr>
          <w:rFonts w:ascii="Times New Roman" w:eastAsia="Times New Roman" w:hAnsi="Times New Roman"/>
          <w:lang w:val="en-US"/>
        </w:rPr>
      </w:pPr>
      <w:r w:rsidRPr="007D770B">
        <w:rPr>
          <w:rFonts w:ascii="Times New Roman" w:eastAsia="Times New Roman" w:hAnsi="Times New Roman"/>
          <w:lang w:val="en-US"/>
        </w:rPr>
        <w:t>for each component of equity, the cumulative effect of changes in accounting policies and adjustments for significant prior period errors;</w:t>
      </w:r>
    </w:p>
    <w:p w14:paraId="2B574885" w14:textId="77777777" w:rsidR="00286356" w:rsidRPr="007D770B" w:rsidRDefault="00286356" w:rsidP="00AE698A">
      <w:pPr>
        <w:pStyle w:val="aa"/>
        <w:numPr>
          <w:ilvl w:val="0"/>
          <w:numId w:val="155"/>
        </w:numPr>
        <w:spacing w:before="240" w:line="240" w:lineRule="auto"/>
        <w:contextualSpacing w:val="0"/>
        <w:rPr>
          <w:rFonts w:ascii="Times New Roman" w:eastAsia="Times New Roman" w:hAnsi="Times New Roman"/>
          <w:lang w:val="en-US"/>
        </w:rPr>
      </w:pPr>
      <w:r w:rsidRPr="007D770B">
        <w:rPr>
          <w:rFonts w:ascii="Times New Roman" w:eastAsia="Times New Roman" w:hAnsi="Times New Roman"/>
          <w:lang w:val="en-US"/>
        </w:rPr>
        <w:t>For each component of equity, a reconciliation between the opening and closing carrying amounts, with a separate disclosure of the change attributable to:</w:t>
      </w:r>
    </w:p>
    <w:p w14:paraId="4E85E5D1" w14:textId="77777777" w:rsidR="00286356" w:rsidRPr="007D770B" w:rsidRDefault="00286356" w:rsidP="00AE698A">
      <w:pPr>
        <w:pStyle w:val="aa"/>
        <w:numPr>
          <w:ilvl w:val="0"/>
          <w:numId w:val="156"/>
        </w:numPr>
        <w:spacing w:before="240" w:line="240" w:lineRule="auto"/>
        <w:rPr>
          <w:rFonts w:ascii="Times New Roman" w:eastAsia="Times New Roman" w:hAnsi="Times New Roman"/>
          <w:lang w:val="en-US"/>
        </w:rPr>
      </w:pPr>
      <w:r w:rsidRPr="007D770B">
        <w:rPr>
          <w:rFonts w:ascii="Times New Roman" w:eastAsia="Times New Roman" w:hAnsi="Times New Roman"/>
          <w:lang w:val="en-US"/>
        </w:rPr>
        <w:t>profit or loss for the period;</w:t>
      </w:r>
    </w:p>
    <w:p w14:paraId="01CE520E" w14:textId="77777777" w:rsidR="00286356" w:rsidRPr="007D770B" w:rsidRDefault="00286356" w:rsidP="00AE698A">
      <w:pPr>
        <w:pStyle w:val="aa"/>
        <w:numPr>
          <w:ilvl w:val="0"/>
          <w:numId w:val="156"/>
        </w:numPr>
        <w:spacing w:before="240" w:line="240" w:lineRule="auto"/>
        <w:rPr>
          <w:rFonts w:ascii="Times New Roman" w:eastAsia="Times New Roman" w:hAnsi="Times New Roman"/>
          <w:lang w:val="en-US"/>
        </w:rPr>
      </w:pPr>
      <w:r w:rsidRPr="007D770B">
        <w:rPr>
          <w:rFonts w:ascii="Times New Roman" w:eastAsia="Times New Roman" w:hAnsi="Times New Roman"/>
          <w:lang w:val="en-US"/>
        </w:rPr>
        <w:t xml:space="preserve">a measure of each item of other comprehensive income, </w:t>
      </w:r>
    </w:p>
    <w:p w14:paraId="632E8F5E" w14:textId="77777777" w:rsidR="00286356" w:rsidRPr="007D770B" w:rsidRDefault="00286356" w:rsidP="00AE698A">
      <w:pPr>
        <w:pStyle w:val="aa"/>
        <w:numPr>
          <w:ilvl w:val="0"/>
          <w:numId w:val="156"/>
        </w:numPr>
        <w:spacing w:before="240" w:line="240" w:lineRule="auto"/>
        <w:rPr>
          <w:rFonts w:ascii="Times New Roman" w:eastAsia="Times New Roman" w:hAnsi="Times New Roman"/>
          <w:lang w:val="en-US"/>
        </w:rPr>
      </w:pPr>
      <w:r w:rsidRPr="007D770B">
        <w:rPr>
          <w:rFonts w:ascii="Times New Roman" w:eastAsia="Times New Roman" w:hAnsi="Times New Roman"/>
          <w:lang w:val="en-US"/>
        </w:rPr>
        <w:t xml:space="preserve">amounts of transactions with owners of </w:t>
      </w:r>
      <w:r w:rsidR="004905FB" w:rsidRPr="007D770B">
        <w:rPr>
          <w:rFonts w:ascii="Times New Roman" w:eastAsia="Times New Roman" w:hAnsi="Times New Roman"/>
          <w:lang w:val="en-US"/>
        </w:rPr>
        <w:t>the</w:t>
      </w:r>
      <w:r w:rsidRPr="007D770B">
        <w:rPr>
          <w:rFonts w:ascii="Times New Roman" w:eastAsia="Times New Roman" w:hAnsi="Times New Roman"/>
          <w:lang w:val="en-US"/>
        </w:rPr>
        <w:t xml:space="preserve"> Bank, with separate reflection of owners' contributions.</w:t>
      </w:r>
    </w:p>
    <w:p w14:paraId="0C3EF068" w14:textId="6D4DFE23" w:rsidR="00286356" w:rsidRPr="007D770B" w:rsidRDefault="00286356" w:rsidP="0003429F">
      <w:pPr>
        <w:spacing w:before="240"/>
        <w:ind w:left="0"/>
        <w:rPr>
          <w:rFonts w:ascii="Times New Roman" w:eastAsia="Times New Roman" w:hAnsi="Times New Roman"/>
          <w:lang w:val="en-US"/>
        </w:rPr>
      </w:pPr>
      <w:r w:rsidRPr="007D770B">
        <w:rPr>
          <w:rFonts w:ascii="Times New Roman" w:eastAsia="Times New Roman" w:hAnsi="Times New Roman"/>
          <w:lang w:val="en-US"/>
        </w:rPr>
        <w:t xml:space="preserve">Detailed information on disclosure in the statement of changes in equity is provided in </w:t>
      </w:r>
      <w:r w:rsidRPr="007D770B">
        <w:rPr>
          <w:rFonts w:ascii="Times New Roman" w:eastAsia="Times New Roman" w:hAnsi="Times New Roman"/>
          <w:lang w:val="en-US"/>
        </w:rPr>
        <w:br/>
        <w:t xml:space="preserve">Section </w:t>
      </w:r>
      <w:r w:rsidR="00F931DC" w:rsidRPr="007D770B">
        <w:rPr>
          <w:rFonts w:ascii="Times New Roman" w:eastAsia="Times New Roman" w:hAnsi="Times New Roman"/>
          <w:lang w:val="en-US"/>
        </w:rPr>
        <w:t xml:space="preserve">14 </w:t>
      </w:r>
      <w:r w:rsidR="00802136" w:rsidRPr="007D770B">
        <w:rPr>
          <w:rFonts w:ascii="Times New Roman" w:eastAsia="Times New Roman" w:hAnsi="Times New Roman"/>
          <w:lang w:val="en-US"/>
        </w:rPr>
        <w:t>"</w:t>
      </w:r>
      <w:r w:rsidRPr="007D770B">
        <w:rPr>
          <w:rFonts w:ascii="Times New Roman" w:eastAsia="Times New Roman" w:hAnsi="Times New Roman"/>
          <w:lang w:val="en-US"/>
        </w:rPr>
        <w:t>Equity</w:t>
      </w:r>
      <w:r w:rsidR="00802136" w:rsidRPr="007D770B">
        <w:rPr>
          <w:rFonts w:ascii="Times New Roman" w:eastAsia="Times New Roman" w:hAnsi="Times New Roman"/>
          <w:lang w:val="en-US"/>
        </w:rPr>
        <w:t xml:space="preserve">" </w:t>
      </w:r>
      <w:r w:rsidRPr="007D770B">
        <w:rPr>
          <w:rFonts w:ascii="Times New Roman" w:eastAsia="Times New Roman" w:hAnsi="Times New Roman"/>
          <w:lang w:val="en-US"/>
        </w:rPr>
        <w:t>in Chapter 2.</w:t>
      </w:r>
    </w:p>
    <w:p w14:paraId="6599756F" w14:textId="77777777" w:rsidR="00286356" w:rsidRPr="007D770B" w:rsidRDefault="00286356" w:rsidP="0003429F">
      <w:pPr>
        <w:spacing w:before="240"/>
        <w:ind w:left="0"/>
        <w:rPr>
          <w:rFonts w:ascii="Times New Roman" w:eastAsia="Times New Roman" w:hAnsi="Times New Roman"/>
          <w:b/>
          <w:i/>
          <w:lang w:val="en-US"/>
        </w:rPr>
      </w:pPr>
      <w:r w:rsidRPr="007D770B">
        <w:rPr>
          <w:rFonts w:ascii="Times New Roman" w:eastAsia="Times New Roman" w:hAnsi="Times New Roman"/>
          <w:b/>
          <w:i/>
          <w:lang w:val="en-US"/>
        </w:rPr>
        <w:t>Notes to the financial statements of the Bank:</w:t>
      </w:r>
    </w:p>
    <w:p w14:paraId="4B3B113E" w14:textId="77777777" w:rsidR="00286356" w:rsidRPr="007D770B" w:rsidRDefault="00286356" w:rsidP="00AE698A">
      <w:pPr>
        <w:pStyle w:val="aa"/>
        <w:numPr>
          <w:ilvl w:val="0"/>
          <w:numId w:val="157"/>
        </w:numPr>
        <w:spacing w:before="240" w:line="240" w:lineRule="auto"/>
        <w:contextualSpacing w:val="0"/>
        <w:rPr>
          <w:rFonts w:ascii="Times New Roman" w:hAnsi="Times New Roman"/>
          <w:lang w:val="en-US"/>
        </w:rPr>
      </w:pPr>
      <w:r w:rsidRPr="007D770B">
        <w:rPr>
          <w:rFonts w:ascii="Times New Roman" w:hAnsi="Times New Roman"/>
          <w:lang w:val="en-US"/>
        </w:rPr>
        <w:t>provide information about the basis of preparation of the financial statements and the accounting policies selected and applied by the Bank for significant transactions and events;</w:t>
      </w:r>
    </w:p>
    <w:p w14:paraId="34116345" w14:textId="77777777" w:rsidR="00286356" w:rsidRPr="007D770B" w:rsidRDefault="00286356" w:rsidP="00AE698A">
      <w:pPr>
        <w:pStyle w:val="aa"/>
        <w:numPr>
          <w:ilvl w:val="0"/>
          <w:numId w:val="157"/>
        </w:numPr>
        <w:spacing w:before="240" w:line="240" w:lineRule="auto"/>
        <w:contextualSpacing w:val="0"/>
        <w:rPr>
          <w:rFonts w:ascii="Times New Roman" w:hAnsi="Times New Roman"/>
          <w:lang w:val="en-US"/>
        </w:rPr>
      </w:pPr>
      <w:r w:rsidRPr="007D770B">
        <w:rPr>
          <w:rFonts w:ascii="Times New Roman" w:hAnsi="Times New Roman"/>
          <w:lang w:val="en-US"/>
        </w:rPr>
        <w:t xml:space="preserve">disclose information that is not presented elsewhere in the financial statements but is required by IFRS; </w:t>
      </w:r>
    </w:p>
    <w:p w14:paraId="1A1A2F8D" w14:textId="77777777" w:rsidR="00286356" w:rsidRPr="007D770B" w:rsidRDefault="00286356" w:rsidP="00AE698A">
      <w:pPr>
        <w:pStyle w:val="aa"/>
        <w:numPr>
          <w:ilvl w:val="0"/>
          <w:numId w:val="157"/>
        </w:numPr>
        <w:spacing w:before="240" w:line="240" w:lineRule="auto"/>
        <w:contextualSpacing w:val="0"/>
        <w:rPr>
          <w:rFonts w:ascii="Times New Roman" w:hAnsi="Times New Roman"/>
          <w:lang w:val="en-US"/>
        </w:rPr>
      </w:pPr>
      <w:r w:rsidRPr="007D770B">
        <w:rPr>
          <w:rFonts w:ascii="Times New Roman" w:hAnsi="Times New Roman"/>
          <w:lang w:val="en-US"/>
        </w:rPr>
        <w:lastRenderedPageBreak/>
        <w:t>provide additional information that is not presented in the financial statements themselves but is necessary for a fair presentation.</w:t>
      </w:r>
    </w:p>
    <w:p w14:paraId="799EF3C2" w14:textId="77777777" w:rsidR="00286356" w:rsidRPr="007D770B" w:rsidRDefault="00286356" w:rsidP="0003429F">
      <w:pPr>
        <w:spacing w:before="240"/>
        <w:ind w:left="0"/>
        <w:rPr>
          <w:rFonts w:ascii="Times New Roman" w:eastAsia="Times New Roman" w:hAnsi="Times New Roman"/>
          <w:lang w:val="en-US"/>
        </w:rPr>
      </w:pPr>
      <w:r w:rsidRPr="007D770B">
        <w:rPr>
          <w:rFonts w:ascii="Times New Roman" w:eastAsia="Times New Roman" w:hAnsi="Times New Roman"/>
          <w:lang w:val="en-US"/>
        </w:rPr>
        <w:t>Each line item in the statement of financial position, statement of comprehensive income, statement of cash flows and statement of changes in equity is cross-referenced to any related information in the notes to the financial statements.</w:t>
      </w:r>
    </w:p>
    <w:p w14:paraId="61FA5AE0" w14:textId="77777777" w:rsidR="00286356" w:rsidRPr="007D770B" w:rsidRDefault="00286356" w:rsidP="0003429F">
      <w:pPr>
        <w:spacing w:before="240"/>
        <w:ind w:left="0"/>
        <w:rPr>
          <w:rFonts w:ascii="Times New Roman" w:eastAsia="Times New Roman" w:hAnsi="Times New Roman"/>
          <w:lang w:val="en-US"/>
        </w:rPr>
      </w:pPr>
      <w:r w:rsidRPr="007D770B">
        <w:rPr>
          <w:rFonts w:ascii="Times New Roman" w:eastAsia="Times New Roman" w:hAnsi="Times New Roman"/>
          <w:lang w:val="en-US"/>
        </w:rPr>
        <w:t>The notes are presented in the following order to assist users in understanding the financial statements:</w:t>
      </w:r>
    </w:p>
    <w:p w14:paraId="5C7D37E3" w14:textId="77777777" w:rsidR="00286356" w:rsidRPr="007D770B" w:rsidRDefault="00286356" w:rsidP="00AE698A">
      <w:pPr>
        <w:pStyle w:val="aa"/>
        <w:numPr>
          <w:ilvl w:val="0"/>
          <w:numId w:val="158"/>
        </w:numPr>
        <w:spacing w:before="120" w:after="120" w:line="240" w:lineRule="auto"/>
        <w:contextualSpacing w:val="0"/>
        <w:rPr>
          <w:rFonts w:ascii="Times New Roman" w:hAnsi="Times New Roman"/>
          <w:lang w:val="en-US"/>
        </w:rPr>
      </w:pPr>
      <w:r w:rsidRPr="007D770B">
        <w:rPr>
          <w:rFonts w:ascii="Times New Roman" w:hAnsi="Times New Roman"/>
          <w:lang w:val="en-US"/>
        </w:rPr>
        <w:t>a statement of compliance with IFRS;</w:t>
      </w:r>
    </w:p>
    <w:p w14:paraId="4AD5EA9D" w14:textId="77777777" w:rsidR="00286356" w:rsidRPr="007D770B" w:rsidRDefault="00286356" w:rsidP="00AE698A">
      <w:pPr>
        <w:pStyle w:val="aa"/>
        <w:numPr>
          <w:ilvl w:val="0"/>
          <w:numId w:val="158"/>
        </w:numPr>
        <w:spacing w:before="120" w:after="120" w:line="240" w:lineRule="auto"/>
        <w:contextualSpacing w:val="0"/>
        <w:rPr>
          <w:rFonts w:ascii="Times New Roman" w:hAnsi="Times New Roman"/>
          <w:lang w:val="en-US"/>
        </w:rPr>
      </w:pPr>
      <w:r w:rsidRPr="007D770B">
        <w:rPr>
          <w:rFonts w:ascii="Times New Roman" w:hAnsi="Times New Roman"/>
          <w:lang w:val="en-US"/>
        </w:rPr>
        <w:t>information about the measurement basis(s) used and accounting policies for significant transactions and events;</w:t>
      </w:r>
    </w:p>
    <w:p w14:paraId="0B965923" w14:textId="77777777" w:rsidR="00286356" w:rsidRPr="007D770B" w:rsidRDefault="00286356" w:rsidP="00AE698A">
      <w:pPr>
        <w:pStyle w:val="aa"/>
        <w:numPr>
          <w:ilvl w:val="0"/>
          <w:numId w:val="158"/>
        </w:numPr>
        <w:spacing w:before="120" w:after="120" w:line="240" w:lineRule="auto"/>
        <w:contextualSpacing w:val="0"/>
        <w:rPr>
          <w:rFonts w:ascii="Times New Roman" w:hAnsi="Times New Roman"/>
          <w:lang w:val="en-US"/>
        </w:rPr>
      </w:pPr>
      <w:r w:rsidRPr="007D770B">
        <w:rPr>
          <w:rFonts w:ascii="Times New Roman" w:hAnsi="Times New Roman"/>
          <w:lang w:val="en-US"/>
        </w:rPr>
        <w:t xml:space="preserve">supporting information for the items presented in each financial statement form in the order in which each financial statement form is presented; </w:t>
      </w:r>
    </w:p>
    <w:p w14:paraId="21E64DDD" w14:textId="77777777" w:rsidR="00286356" w:rsidRDefault="00286356" w:rsidP="00AE698A">
      <w:pPr>
        <w:pStyle w:val="aa"/>
        <w:numPr>
          <w:ilvl w:val="0"/>
          <w:numId w:val="158"/>
        </w:numPr>
        <w:spacing w:before="120" w:after="120" w:line="240" w:lineRule="auto"/>
        <w:contextualSpacing w:val="0"/>
        <w:rPr>
          <w:rFonts w:ascii="Times New Roman" w:hAnsi="Times New Roman"/>
        </w:rPr>
      </w:pPr>
      <w:r w:rsidRPr="002D4EA3">
        <w:rPr>
          <w:rFonts w:ascii="Times New Roman" w:hAnsi="Times New Roman"/>
        </w:rPr>
        <w:t>other disclosures, including:</w:t>
      </w:r>
    </w:p>
    <w:p w14:paraId="1B45C8F7" w14:textId="77777777" w:rsidR="00286356" w:rsidRPr="007D770B" w:rsidRDefault="00286356" w:rsidP="00AE698A">
      <w:pPr>
        <w:pStyle w:val="aa"/>
        <w:numPr>
          <w:ilvl w:val="0"/>
          <w:numId w:val="24"/>
        </w:numPr>
        <w:spacing w:before="120" w:after="120" w:line="240" w:lineRule="auto"/>
        <w:ind w:left="1080"/>
        <w:contextualSpacing w:val="0"/>
        <w:rPr>
          <w:rFonts w:ascii="Times New Roman" w:hAnsi="Times New Roman"/>
          <w:lang w:val="en-US"/>
        </w:rPr>
      </w:pPr>
      <w:r w:rsidRPr="007D770B">
        <w:rPr>
          <w:rFonts w:ascii="Times New Roman" w:hAnsi="Times New Roman"/>
          <w:lang w:val="en-US"/>
        </w:rPr>
        <w:t xml:space="preserve">contingent liabilities and unrecognized contractual obligations to perform; </w:t>
      </w:r>
    </w:p>
    <w:p w14:paraId="5F3B6F9D" w14:textId="77777777" w:rsidR="00286356" w:rsidRPr="007D770B" w:rsidRDefault="00286356" w:rsidP="00AE698A">
      <w:pPr>
        <w:pStyle w:val="aa"/>
        <w:numPr>
          <w:ilvl w:val="0"/>
          <w:numId w:val="24"/>
        </w:numPr>
        <w:spacing w:before="120" w:after="120" w:line="240" w:lineRule="auto"/>
        <w:ind w:left="1080"/>
        <w:contextualSpacing w:val="0"/>
        <w:rPr>
          <w:rFonts w:ascii="Times New Roman" w:hAnsi="Times New Roman"/>
          <w:lang w:val="en-US"/>
        </w:rPr>
      </w:pPr>
      <w:r w:rsidRPr="007D770B">
        <w:rPr>
          <w:rFonts w:ascii="Times New Roman" w:hAnsi="Times New Roman"/>
          <w:lang w:val="en-US"/>
        </w:rPr>
        <w:t>disclosure of non-financial information.</w:t>
      </w:r>
    </w:p>
    <w:p w14:paraId="0635C99B" w14:textId="77777777" w:rsidR="00286356" w:rsidRPr="007D770B" w:rsidRDefault="00286356" w:rsidP="0003429F">
      <w:pPr>
        <w:spacing w:before="240"/>
        <w:ind w:left="0"/>
        <w:rPr>
          <w:rFonts w:ascii="Times New Roman" w:eastAsia="Times New Roman" w:hAnsi="Times New Roman"/>
          <w:b/>
          <w:i/>
          <w:lang w:val="en-US"/>
        </w:rPr>
      </w:pPr>
      <w:r w:rsidRPr="007D770B">
        <w:rPr>
          <w:rFonts w:ascii="Times New Roman" w:eastAsia="Times New Roman" w:hAnsi="Times New Roman"/>
          <w:b/>
          <w:i/>
          <w:lang w:val="en-US"/>
        </w:rPr>
        <w:t>Key sources of information for estimation under uncertainty</w:t>
      </w:r>
    </w:p>
    <w:p w14:paraId="5884048B" w14:textId="77777777" w:rsidR="00286356" w:rsidRPr="007D770B" w:rsidRDefault="00286356" w:rsidP="0003429F">
      <w:pPr>
        <w:spacing w:before="240"/>
        <w:ind w:left="0"/>
        <w:rPr>
          <w:rFonts w:ascii="Times New Roman" w:hAnsi="Times New Roman"/>
          <w:lang w:val="en-US"/>
        </w:rPr>
      </w:pPr>
      <w:r w:rsidRPr="007D770B">
        <w:rPr>
          <w:rFonts w:ascii="Times New Roman" w:hAnsi="Times New Roman"/>
          <w:lang w:val="en-US"/>
        </w:rPr>
        <w:t xml:space="preserve">The Bank discloses in the notes key assumptions concerning the future development and other sources of information that give rise to estimation uncertainty at the end of the reporting period, which has a significant risk of causing a material adjustment to the carrying amounts of assets (and liabilities) within the next financial year.  </w:t>
      </w:r>
    </w:p>
    <w:p w14:paraId="5BAF1C0A" w14:textId="77777777" w:rsidR="00286356" w:rsidRPr="007D770B" w:rsidRDefault="00286356" w:rsidP="0003429F">
      <w:pPr>
        <w:spacing w:before="240"/>
        <w:ind w:left="0"/>
        <w:rPr>
          <w:lang w:val="en-US"/>
        </w:rPr>
      </w:pPr>
      <w:r w:rsidRPr="007D770B">
        <w:rPr>
          <w:rFonts w:ascii="Times New Roman" w:hAnsi="Times New Roman"/>
          <w:lang w:val="en-US"/>
        </w:rPr>
        <w:t>For such assets (and liabilities), the notes shall contain the following information:</w:t>
      </w:r>
    </w:p>
    <w:p w14:paraId="67D399C6" w14:textId="77777777" w:rsidR="00286356" w:rsidRPr="0003429F" w:rsidRDefault="00286356" w:rsidP="00AE698A">
      <w:pPr>
        <w:numPr>
          <w:ilvl w:val="0"/>
          <w:numId w:val="159"/>
        </w:numPr>
        <w:spacing w:before="240" w:line="240" w:lineRule="auto"/>
        <w:rPr>
          <w:rFonts w:ascii="Times New Roman" w:hAnsi="Times New Roman"/>
        </w:rPr>
      </w:pPr>
      <w:r w:rsidRPr="0003429F">
        <w:rPr>
          <w:rFonts w:ascii="Times New Roman" w:hAnsi="Times New Roman"/>
        </w:rPr>
        <w:t>character;</w:t>
      </w:r>
    </w:p>
    <w:p w14:paraId="3BBF4195" w14:textId="77777777" w:rsidR="00286356" w:rsidRPr="007D770B" w:rsidRDefault="00286356" w:rsidP="00AE698A">
      <w:pPr>
        <w:numPr>
          <w:ilvl w:val="0"/>
          <w:numId w:val="159"/>
        </w:numPr>
        <w:spacing w:before="240" w:line="240" w:lineRule="auto"/>
        <w:rPr>
          <w:rFonts w:ascii="Times New Roman" w:hAnsi="Times New Roman"/>
          <w:lang w:val="en-US"/>
        </w:rPr>
      </w:pPr>
      <w:r w:rsidRPr="007D770B">
        <w:rPr>
          <w:rFonts w:ascii="Times New Roman" w:hAnsi="Times New Roman"/>
          <w:lang w:val="en-US"/>
        </w:rPr>
        <w:t>carrying amount at the end of the reporting period.</w:t>
      </w:r>
    </w:p>
    <w:p w14:paraId="3343C640" w14:textId="77777777" w:rsidR="00286356" w:rsidRPr="0003429F" w:rsidRDefault="00286356" w:rsidP="0003429F">
      <w:pPr>
        <w:spacing w:before="240"/>
        <w:ind w:left="0"/>
        <w:rPr>
          <w:rFonts w:ascii="Times New Roman" w:hAnsi="Times New Roman"/>
        </w:rPr>
      </w:pPr>
      <w:r w:rsidRPr="007D770B">
        <w:rPr>
          <w:rFonts w:ascii="Times New Roman" w:hAnsi="Times New Roman"/>
          <w:lang w:val="en-US"/>
        </w:rPr>
        <w:t xml:space="preserve">Determining the carrying amount of certain assets (and liabilities) requires an estimate at the end of the reporting period of the effect of uncertain future events on those assets (and liabilities). </w:t>
      </w:r>
      <w:r w:rsidRPr="0003429F">
        <w:rPr>
          <w:rFonts w:ascii="Times New Roman" w:hAnsi="Times New Roman"/>
        </w:rPr>
        <w:t xml:space="preserve">Estimates may be required, for example, when determining: </w:t>
      </w:r>
    </w:p>
    <w:p w14:paraId="4A1945EA" w14:textId="77777777" w:rsidR="00286356" w:rsidRPr="007D770B" w:rsidRDefault="00286356" w:rsidP="00AE698A">
      <w:pPr>
        <w:numPr>
          <w:ilvl w:val="0"/>
          <w:numId w:val="160"/>
        </w:numPr>
        <w:spacing w:before="240" w:line="240" w:lineRule="auto"/>
        <w:rPr>
          <w:rFonts w:ascii="Times New Roman" w:hAnsi="Times New Roman"/>
          <w:lang w:val="en-US"/>
        </w:rPr>
      </w:pPr>
      <w:r w:rsidRPr="007D770B">
        <w:rPr>
          <w:rFonts w:ascii="Times New Roman" w:hAnsi="Times New Roman"/>
          <w:lang w:val="en-US"/>
        </w:rPr>
        <w:t>classification of assets as financial assets held to maturity;</w:t>
      </w:r>
    </w:p>
    <w:p w14:paraId="469BF27B" w14:textId="77777777" w:rsidR="00286356" w:rsidRPr="007D770B" w:rsidRDefault="00286356" w:rsidP="00AE698A">
      <w:pPr>
        <w:numPr>
          <w:ilvl w:val="0"/>
          <w:numId w:val="160"/>
        </w:numPr>
        <w:spacing w:before="240" w:line="240" w:lineRule="auto"/>
        <w:rPr>
          <w:rFonts w:ascii="Times New Roman" w:hAnsi="Times New Roman"/>
          <w:lang w:val="en-US"/>
        </w:rPr>
      </w:pPr>
      <w:r w:rsidRPr="007D770B">
        <w:rPr>
          <w:rFonts w:ascii="Times New Roman" w:hAnsi="Times New Roman"/>
          <w:lang w:val="en-US"/>
        </w:rPr>
        <w:t>impairment of available-for-sale equity investments;</w:t>
      </w:r>
    </w:p>
    <w:p w14:paraId="67B235AB" w14:textId="77777777" w:rsidR="00286356" w:rsidRPr="007D770B" w:rsidRDefault="00286356" w:rsidP="00AE698A">
      <w:pPr>
        <w:numPr>
          <w:ilvl w:val="0"/>
          <w:numId w:val="160"/>
        </w:numPr>
        <w:spacing w:before="240" w:line="240" w:lineRule="auto"/>
        <w:rPr>
          <w:rFonts w:ascii="Times New Roman" w:hAnsi="Times New Roman"/>
          <w:lang w:val="en-US"/>
        </w:rPr>
      </w:pPr>
      <w:r w:rsidRPr="007D770B">
        <w:rPr>
          <w:rFonts w:ascii="Times New Roman" w:hAnsi="Times New Roman"/>
          <w:lang w:val="en-US"/>
        </w:rPr>
        <w:t>impairment losses on loans and advances;</w:t>
      </w:r>
    </w:p>
    <w:p w14:paraId="3AC1CAEC" w14:textId="77777777" w:rsidR="00286356" w:rsidRPr="0003429F" w:rsidRDefault="00286356" w:rsidP="00AE698A">
      <w:pPr>
        <w:numPr>
          <w:ilvl w:val="0"/>
          <w:numId w:val="160"/>
        </w:numPr>
        <w:spacing w:before="240" w:line="240" w:lineRule="auto"/>
        <w:rPr>
          <w:rFonts w:ascii="Times New Roman" w:hAnsi="Times New Roman"/>
        </w:rPr>
      </w:pPr>
      <w:r w:rsidRPr="0003429F">
        <w:rPr>
          <w:rFonts w:ascii="Times New Roman" w:hAnsi="Times New Roman"/>
        </w:rPr>
        <w:t>reversal of impairment allowance;</w:t>
      </w:r>
    </w:p>
    <w:p w14:paraId="3792857E" w14:textId="77777777" w:rsidR="00286356" w:rsidRPr="007D770B" w:rsidRDefault="00286356" w:rsidP="00AE698A">
      <w:pPr>
        <w:numPr>
          <w:ilvl w:val="0"/>
          <w:numId w:val="160"/>
        </w:numPr>
        <w:spacing w:before="240" w:line="240" w:lineRule="auto"/>
        <w:rPr>
          <w:rFonts w:ascii="Times New Roman" w:hAnsi="Times New Roman"/>
          <w:lang w:val="en-US"/>
        </w:rPr>
      </w:pPr>
      <w:r w:rsidRPr="007D770B">
        <w:rPr>
          <w:rFonts w:ascii="Times New Roman" w:hAnsi="Times New Roman"/>
          <w:lang w:val="en-US"/>
        </w:rPr>
        <w:t xml:space="preserve">recognition of a deferred tax asset; </w:t>
      </w:r>
    </w:p>
    <w:p w14:paraId="0B1810BD" w14:textId="77777777" w:rsidR="00286356" w:rsidRPr="007D770B" w:rsidRDefault="00286356" w:rsidP="00AE698A">
      <w:pPr>
        <w:numPr>
          <w:ilvl w:val="0"/>
          <w:numId w:val="160"/>
        </w:numPr>
        <w:spacing w:before="240" w:line="240" w:lineRule="auto"/>
        <w:rPr>
          <w:rFonts w:ascii="Times New Roman" w:hAnsi="Times New Roman"/>
          <w:lang w:val="en-US"/>
        </w:rPr>
      </w:pPr>
      <w:r w:rsidRPr="007D770B">
        <w:rPr>
          <w:rFonts w:ascii="Times New Roman" w:hAnsi="Times New Roman"/>
          <w:lang w:val="en-US"/>
        </w:rPr>
        <w:t>the recoverable amount by category of property, plant and equipment;</w:t>
      </w:r>
    </w:p>
    <w:p w14:paraId="3546CD98" w14:textId="77777777" w:rsidR="00286356" w:rsidRPr="007D770B" w:rsidRDefault="00286356" w:rsidP="00AE698A">
      <w:pPr>
        <w:numPr>
          <w:ilvl w:val="0"/>
          <w:numId w:val="160"/>
        </w:numPr>
        <w:spacing w:before="240" w:line="240" w:lineRule="auto"/>
        <w:rPr>
          <w:rFonts w:ascii="Times New Roman" w:hAnsi="Times New Roman"/>
          <w:lang w:val="en-US"/>
        </w:rPr>
      </w:pPr>
      <w:r w:rsidRPr="007D770B">
        <w:rPr>
          <w:rFonts w:ascii="Times New Roman" w:hAnsi="Times New Roman"/>
          <w:lang w:val="en-US"/>
        </w:rPr>
        <w:t xml:space="preserve">provisions for the costs of litigation.  </w:t>
      </w:r>
    </w:p>
    <w:p w14:paraId="784A1D20" w14:textId="77777777" w:rsidR="00286356" w:rsidRPr="007D770B" w:rsidRDefault="00286356" w:rsidP="0003429F">
      <w:pPr>
        <w:spacing w:before="240"/>
        <w:ind w:left="0"/>
        <w:rPr>
          <w:rFonts w:ascii="Times New Roman" w:hAnsi="Times New Roman"/>
          <w:lang w:val="en-US"/>
        </w:rPr>
      </w:pPr>
      <w:r w:rsidRPr="007D770B">
        <w:rPr>
          <w:rFonts w:ascii="Times New Roman" w:hAnsi="Times New Roman"/>
          <w:lang w:val="en-US"/>
        </w:rPr>
        <w:t>The time value of money and other risk factors are taken into account in determining the valuation.</w:t>
      </w:r>
    </w:p>
    <w:p w14:paraId="4E4C5DD1" w14:textId="77777777" w:rsidR="00286356" w:rsidRPr="007D770B" w:rsidRDefault="00286356" w:rsidP="0003429F">
      <w:pPr>
        <w:spacing w:before="240"/>
        <w:ind w:left="0"/>
        <w:rPr>
          <w:rFonts w:ascii="Times New Roman" w:hAnsi="Times New Roman"/>
          <w:lang w:val="en-US"/>
        </w:rPr>
      </w:pPr>
      <w:r w:rsidRPr="007D770B">
        <w:rPr>
          <w:rFonts w:ascii="Times New Roman" w:hAnsi="Times New Roman"/>
          <w:lang w:val="en-US"/>
        </w:rPr>
        <w:t xml:space="preserve">Such disclosures are not required for assets (or liabilities) that are at risk of significant changes in their carrying amount within the next financial year if, at the end of the reporting period, they were measured at fair value based on recent market prices. </w:t>
      </w:r>
    </w:p>
    <w:p w14:paraId="62B80B3E" w14:textId="76A1BD4F" w:rsidR="00286356" w:rsidRPr="007D770B" w:rsidRDefault="00286356" w:rsidP="0003429F">
      <w:pPr>
        <w:spacing w:before="240"/>
        <w:ind w:left="0"/>
        <w:rPr>
          <w:rFonts w:ascii="Times New Roman" w:hAnsi="Times New Roman"/>
          <w:lang w:val="en-US"/>
        </w:rPr>
      </w:pPr>
      <w:r w:rsidRPr="007D770B">
        <w:rPr>
          <w:rFonts w:ascii="Times New Roman" w:hAnsi="Times New Roman"/>
          <w:lang w:val="en-US"/>
        </w:rPr>
        <w:t xml:space="preserve">The required disclosures are made in a manner that helps users understand the logic behind management's professional judgments about future events and other bases for estimation under uncertainty.   </w:t>
      </w:r>
    </w:p>
    <w:p w14:paraId="49942E14" w14:textId="77777777" w:rsidR="00286356" w:rsidRPr="0003429F" w:rsidRDefault="00286356" w:rsidP="0003429F">
      <w:pPr>
        <w:spacing w:before="240"/>
        <w:ind w:left="0"/>
        <w:rPr>
          <w:rFonts w:ascii="Times New Roman" w:hAnsi="Times New Roman"/>
        </w:rPr>
      </w:pPr>
      <w:r w:rsidRPr="007D770B">
        <w:rPr>
          <w:rFonts w:ascii="Times New Roman" w:hAnsi="Times New Roman"/>
          <w:lang w:val="en-US"/>
        </w:rPr>
        <w:t xml:space="preserve">The nature and level of detail of the information provided depends on the nature of the assumptions and other circumstances. </w:t>
      </w:r>
      <w:r w:rsidRPr="0003429F">
        <w:rPr>
          <w:rFonts w:ascii="Times New Roman" w:hAnsi="Times New Roman"/>
        </w:rPr>
        <w:t>Examples of such disclosures are set out below:</w:t>
      </w:r>
    </w:p>
    <w:p w14:paraId="54B885F6" w14:textId="77777777" w:rsidR="00286356" w:rsidRPr="007D770B" w:rsidRDefault="00286356" w:rsidP="00AE698A">
      <w:pPr>
        <w:numPr>
          <w:ilvl w:val="0"/>
          <w:numId w:val="164"/>
        </w:numPr>
        <w:spacing w:before="240" w:line="240" w:lineRule="auto"/>
        <w:rPr>
          <w:rFonts w:ascii="Times New Roman" w:hAnsi="Times New Roman"/>
          <w:lang w:val="en-US"/>
        </w:rPr>
      </w:pPr>
      <w:r w:rsidRPr="007D770B">
        <w:rPr>
          <w:rFonts w:ascii="Times New Roman" w:hAnsi="Times New Roman"/>
          <w:lang w:val="en-US"/>
        </w:rPr>
        <w:t xml:space="preserve">the nature of the assumption or other characterization of the uncertainty in the estimate; </w:t>
      </w:r>
    </w:p>
    <w:p w14:paraId="45F82042" w14:textId="77777777" w:rsidR="00286356" w:rsidRPr="007D770B" w:rsidRDefault="00286356" w:rsidP="00AE698A">
      <w:pPr>
        <w:numPr>
          <w:ilvl w:val="0"/>
          <w:numId w:val="164"/>
        </w:numPr>
        <w:spacing w:before="240" w:line="240" w:lineRule="auto"/>
        <w:rPr>
          <w:rFonts w:ascii="Times New Roman" w:hAnsi="Times New Roman"/>
          <w:lang w:val="en-US"/>
        </w:rPr>
      </w:pPr>
      <w:r w:rsidRPr="007D770B">
        <w:rPr>
          <w:rFonts w:ascii="Times New Roman" w:hAnsi="Times New Roman"/>
          <w:lang w:val="en-US"/>
        </w:rPr>
        <w:lastRenderedPageBreak/>
        <w:t>the extent to which the carrying amount is dependent on the methods, assumptions and estimates underlying its calculation, including the reasons for such dependence;</w:t>
      </w:r>
    </w:p>
    <w:p w14:paraId="5AFA6169" w14:textId="77777777" w:rsidR="00286356" w:rsidRPr="007D770B" w:rsidRDefault="00286356" w:rsidP="00AE698A">
      <w:pPr>
        <w:numPr>
          <w:ilvl w:val="0"/>
          <w:numId w:val="164"/>
        </w:numPr>
        <w:spacing w:before="240" w:line="240" w:lineRule="auto"/>
        <w:rPr>
          <w:rFonts w:ascii="Times New Roman" w:hAnsi="Times New Roman"/>
          <w:lang w:val="en-US"/>
        </w:rPr>
      </w:pPr>
      <w:r w:rsidRPr="007D770B">
        <w:rPr>
          <w:rFonts w:ascii="Times New Roman" w:hAnsi="Times New Roman"/>
          <w:lang w:val="en-US"/>
        </w:rPr>
        <w:t>the expected outcome and range of possible outcomes within the next financial year that could affect the carrying amount of assets (and liabilities);</w:t>
      </w:r>
    </w:p>
    <w:p w14:paraId="5277E664" w14:textId="77777777" w:rsidR="00286356" w:rsidRPr="007D770B" w:rsidRDefault="00286356" w:rsidP="00AE698A">
      <w:pPr>
        <w:numPr>
          <w:ilvl w:val="0"/>
          <w:numId w:val="164"/>
        </w:numPr>
        <w:spacing w:before="240" w:line="240" w:lineRule="auto"/>
        <w:rPr>
          <w:rFonts w:ascii="Times New Roman" w:hAnsi="Times New Roman"/>
          <w:lang w:val="en-US"/>
        </w:rPr>
      </w:pPr>
      <w:r w:rsidRPr="007D770B">
        <w:rPr>
          <w:rFonts w:ascii="Times New Roman" w:hAnsi="Times New Roman"/>
          <w:lang w:val="en-US"/>
        </w:rPr>
        <w:t>An explanation of changes in previously made assumptions about assets and liabilities for which estimation uncertainty remains.</w:t>
      </w:r>
    </w:p>
    <w:p w14:paraId="73EE626A" w14:textId="77777777" w:rsidR="00286356" w:rsidRPr="007D770B" w:rsidRDefault="00286356" w:rsidP="00E00046">
      <w:pPr>
        <w:spacing w:before="240"/>
        <w:ind w:left="0"/>
        <w:rPr>
          <w:rFonts w:ascii="Times New Roman" w:eastAsia="Times New Roman" w:hAnsi="Times New Roman"/>
          <w:b/>
          <w:i/>
          <w:lang w:val="en-US"/>
        </w:rPr>
      </w:pPr>
      <w:r w:rsidRPr="007D770B">
        <w:rPr>
          <w:rFonts w:ascii="Times New Roman" w:eastAsia="Times New Roman" w:hAnsi="Times New Roman"/>
          <w:b/>
          <w:i/>
          <w:lang w:val="en-US"/>
        </w:rPr>
        <w:t>Capital</w:t>
      </w:r>
    </w:p>
    <w:p w14:paraId="1B425F0B" w14:textId="77777777" w:rsidR="00286356" w:rsidRPr="007D770B" w:rsidRDefault="00286356" w:rsidP="0003429F">
      <w:pPr>
        <w:spacing w:before="240"/>
        <w:ind w:left="0"/>
        <w:rPr>
          <w:rFonts w:ascii="Times New Roman" w:hAnsi="Times New Roman"/>
          <w:lang w:val="en-US"/>
        </w:rPr>
      </w:pPr>
      <w:r w:rsidRPr="007D770B">
        <w:rPr>
          <w:rFonts w:ascii="Times New Roman" w:hAnsi="Times New Roman"/>
          <w:lang w:val="en-US"/>
        </w:rPr>
        <w:t xml:space="preserve">The Bank discloses information that would enable users to evaluate the Bank's objectives, policies and processes for monitoring and managing capital. </w:t>
      </w:r>
    </w:p>
    <w:p w14:paraId="5C44D713" w14:textId="77777777" w:rsidR="00286356" w:rsidRPr="007D770B" w:rsidRDefault="00286356" w:rsidP="0003429F">
      <w:pPr>
        <w:spacing w:before="240"/>
        <w:ind w:left="0"/>
        <w:rPr>
          <w:rFonts w:ascii="Times New Roman" w:hAnsi="Times New Roman"/>
          <w:lang w:val="en-US"/>
        </w:rPr>
      </w:pPr>
      <w:r w:rsidRPr="007D770B">
        <w:rPr>
          <w:rFonts w:ascii="Times New Roman" w:hAnsi="Times New Roman"/>
          <w:lang w:val="en-US"/>
        </w:rPr>
        <w:t xml:space="preserve">The Bank discloses the following: </w:t>
      </w:r>
    </w:p>
    <w:p w14:paraId="57FBE8F0" w14:textId="77777777" w:rsidR="00286356" w:rsidRPr="007D770B" w:rsidRDefault="00286356" w:rsidP="00AE698A">
      <w:pPr>
        <w:pStyle w:val="aa"/>
        <w:numPr>
          <w:ilvl w:val="0"/>
          <w:numId w:val="161"/>
        </w:numPr>
        <w:spacing w:before="240" w:line="240" w:lineRule="auto"/>
        <w:contextualSpacing w:val="0"/>
        <w:rPr>
          <w:rFonts w:ascii="Times New Roman" w:hAnsi="Times New Roman"/>
          <w:lang w:val="en-US"/>
        </w:rPr>
      </w:pPr>
      <w:r w:rsidRPr="007D770B">
        <w:rPr>
          <w:rFonts w:ascii="Times New Roman" w:hAnsi="Times New Roman"/>
          <w:lang w:val="en-US"/>
        </w:rPr>
        <w:t>Qualitative information about the organization's objectives, accounting policies, and process for controlling and managing capital, including:</w:t>
      </w:r>
    </w:p>
    <w:p w14:paraId="762434BF" w14:textId="77777777" w:rsidR="00286356" w:rsidRPr="007D770B" w:rsidRDefault="00286356" w:rsidP="00AE698A">
      <w:pPr>
        <w:pStyle w:val="aa"/>
        <w:numPr>
          <w:ilvl w:val="0"/>
          <w:numId w:val="25"/>
        </w:numPr>
        <w:spacing w:before="240" w:line="240" w:lineRule="auto"/>
        <w:ind w:left="1080"/>
        <w:rPr>
          <w:rFonts w:ascii="Times New Roman" w:hAnsi="Times New Roman"/>
          <w:lang w:val="en-US"/>
        </w:rPr>
      </w:pPr>
      <w:r w:rsidRPr="007D770B">
        <w:rPr>
          <w:rFonts w:ascii="Times New Roman" w:hAnsi="Times New Roman"/>
          <w:lang w:val="en-US"/>
        </w:rPr>
        <w:t>a description of what the Bank considers to be capital;</w:t>
      </w:r>
    </w:p>
    <w:p w14:paraId="6608835D" w14:textId="77777777" w:rsidR="00286356" w:rsidRPr="007D770B" w:rsidRDefault="00286356" w:rsidP="00AE698A">
      <w:pPr>
        <w:pStyle w:val="aa"/>
        <w:numPr>
          <w:ilvl w:val="0"/>
          <w:numId w:val="25"/>
        </w:numPr>
        <w:spacing w:before="240" w:line="240" w:lineRule="auto"/>
        <w:ind w:left="1080"/>
        <w:rPr>
          <w:rFonts w:ascii="Times New Roman" w:hAnsi="Times New Roman"/>
          <w:lang w:val="en-US"/>
        </w:rPr>
      </w:pPr>
      <w:r w:rsidRPr="007D770B">
        <w:rPr>
          <w:rFonts w:ascii="Times New Roman" w:hAnsi="Times New Roman"/>
          <w:lang w:val="en-US"/>
        </w:rPr>
        <w:t>When the Bank is subject to externally imposed mandatory capital requirements, the nature of those requirements and how those requirements are managed; and</w:t>
      </w:r>
    </w:p>
    <w:p w14:paraId="6FA469EA" w14:textId="77777777" w:rsidR="00286356" w:rsidRPr="007D770B" w:rsidRDefault="00286356" w:rsidP="00AE698A">
      <w:pPr>
        <w:pStyle w:val="aa"/>
        <w:numPr>
          <w:ilvl w:val="0"/>
          <w:numId w:val="25"/>
        </w:numPr>
        <w:spacing w:before="240" w:line="240" w:lineRule="auto"/>
        <w:ind w:left="1080"/>
        <w:contextualSpacing w:val="0"/>
        <w:rPr>
          <w:rFonts w:ascii="Times New Roman" w:hAnsi="Times New Roman"/>
          <w:lang w:val="en-US"/>
        </w:rPr>
      </w:pPr>
      <w:r w:rsidRPr="007D770B">
        <w:rPr>
          <w:rFonts w:ascii="Times New Roman" w:hAnsi="Times New Roman"/>
          <w:lang w:val="en-US"/>
        </w:rPr>
        <w:t xml:space="preserve">how the Bank implements its capital management objectives. </w:t>
      </w:r>
    </w:p>
    <w:p w14:paraId="11801BC3" w14:textId="77777777" w:rsidR="00286356" w:rsidRPr="007D770B" w:rsidRDefault="00286356" w:rsidP="00AE698A">
      <w:pPr>
        <w:pStyle w:val="aa"/>
        <w:numPr>
          <w:ilvl w:val="0"/>
          <w:numId w:val="162"/>
        </w:numPr>
        <w:spacing w:before="240" w:line="240" w:lineRule="auto"/>
        <w:contextualSpacing w:val="0"/>
        <w:rPr>
          <w:rFonts w:ascii="Times New Roman" w:hAnsi="Times New Roman"/>
          <w:lang w:val="en-US"/>
        </w:rPr>
      </w:pPr>
      <w:r w:rsidRPr="007D770B">
        <w:rPr>
          <w:rFonts w:ascii="Times New Roman" w:hAnsi="Times New Roman"/>
          <w:lang w:val="en-US"/>
        </w:rPr>
        <w:t xml:space="preserve">summarized quantitative information about what constitutes capital. </w:t>
      </w:r>
    </w:p>
    <w:p w14:paraId="7AB5D516" w14:textId="77777777" w:rsidR="00286356" w:rsidRPr="007D770B" w:rsidRDefault="00286356" w:rsidP="00AE698A">
      <w:pPr>
        <w:pStyle w:val="aa"/>
        <w:numPr>
          <w:ilvl w:val="0"/>
          <w:numId w:val="162"/>
        </w:numPr>
        <w:spacing w:before="240" w:line="240" w:lineRule="auto"/>
        <w:contextualSpacing w:val="0"/>
        <w:rPr>
          <w:rFonts w:ascii="Times New Roman" w:hAnsi="Times New Roman"/>
          <w:lang w:val="en-US"/>
        </w:rPr>
      </w:pPr>
      <w:r w:rsidRPr="007D770B">
        <w:rPr>
          <w:rFonts w:ascii="Times New Roman" w:hAnsi="Times New Roman"/>
          <w:lang w:val="en-US"/>
        </w:rPr>
        <w:t>any changes in (1) and (2) from the previous period;</w:t>
      </w:r>
    </w:p>
    <w:p w14:paraId="2CBCB79C" w14:textId="77777777" w:rsidR="00286356" w:rsidRPr="007D770B" w:rsidRDefault="00286356" w:rsidP="00AE698A">
      <w:pPr>
        <w:pStyle w:val="aa"/>
        <w:numPr>
          <w:ilvl w:val="0"/>
          <w:numId w:val="162"/>
        </w:numPr>
        <w:spacing w:before="240" w:line="240" w:lineRule="auto"/>
        <w:contextualSpacing w:val="0"/>
        <w:rPr>
          <w:rFonts w:ascii="Times New Roman" w:hAnsi="Times New Roman"/>
          <w:lang w:val="en-US"/>
        </w:rPr>
      </w:pPr>
      <w:r w:rsidRPr="007D770B">
        <w:rPr>
          <w:rFonts w:ascii="Times New Roman" w:hAnsi="Times New Roman"/>
          <w:lang w:val="en-US"/>
        </w:rPr>
        <w:t>whether the Bank has complied with externally imposed mandatory capital requirements;</w:t>
      </w:r>
    </w:p>
    <w:p w14:paraId="5EDCB702" w14:textId="77777777" w:rsidR="00286356" w:rsidRPr="007D770B" w:rsidRDefault="00286356" w:rsidP="00AE698A">
      <w:pPr>
        <w:pStyle w:val="aa"/>
        <w:numPr>
          <w:ilvl w:val="0"/>
          <w:numId w:val="162"/>
        </w:numPr>
        <w:spacing w:before="240" w:line="240" w:lineRule="auto"/>
        <w:rPr>
          <w:rFonts w:ascii="Times New Roman" w:hAnsi="Times New Roman"/>
          <w:lang w:val="en-US"/>
        </w:rPr>
      </w:pPr>
      <w:r w:rsidRPr="007D770B">
        <w:rPr>
          <w:rFonts w:ascii="Times New Roman" w:hAnsi="Times New Roman"/>
          <w:lang w:val="en-US"/>
        </w:rPr>
        <w:t>consequences of non-compliance if the Bank has not complied with the specified capital requirements.</w:t>
      </w:r>
    </w:p>
    <w:p w14:paraId="5465B1AD" w14:textId="77777777" w:rsidR="00286356" w:rsidRPr="007D770B" w:rsidRDefault="00286356" w:rsidP="00E00046">
      <w:pPr>
        <w:spacing w:before="240"/>
        <w:ind w:left="0"/>
        <w:rPr>
          <w:rFonts w:ascii="Times New Roman" w:hAnsi="Times New Roman"/>
          <w:lang w:val="en-US"/>
        </w:rPr>
      </w:pPr>
      <w:r w:rsidRPr="007D770B">
        <w:rPr>
          <w:rFonts w:ascii="Times New Roman" w:hAnsi="Times New Roman"/>
          <w:lang w:val="en-US"/>
        </w:rPr>
        <w:t>Such disclosures should be based on internal information that is provided to the Bank's management.</w:t>
      </w:r>
    </w:p>
    <w:p w14:paraId="5C5E0D8B" w14:textId="77777777" w:rsidR="00286356" w:rsidRPr="007D770B" w:rsidRDefault="00286356" w:rsidP="00E00046">
      <w:pPr>
        <w:spacing w:before="240"/>
        <w:ind w:left="0"/>
        <w:rPr>
          <w:rFonts w:ascii="Times New Roman" w:hAnsi="Times New Roman"/>
          <w:lang w:val="en-US"/>
        </w:rPr>
      </w:pPr>
      <w:r w:rsidRPr="007D770B">
        <w:rPr>
          <w:rFonts w:ascii="Times New Roman" w:hAnsi="Times New Roman"/>
          <w:lang w:val="en-US"/>
        </w:rPr>
        <w:t xml:space="preserve">The Bank manages capital in a number of ways and may have to comply with different capital requirements and restrictions. </w:t>
      </w:r>
    </w:p>
    <w:p w14:paraId="1F3A6337" w14:textId="77777777" w:rsidR="00286356" w:rsidRPr="007D770B" w:rsidRDefault="00286356" w:rsidP="00E00046">
      <w:pPr>
        <w:spacing w:before="240"/>
        <w:ind w:left="0"/>
        <w:rPr>
          <w:rFonts w:ascii="Times New Roman" w:hAnsi="Times New Roman"/>
          <w:lang w:val="en-US"/>
        </w:rPr>
      </w:pPr>
      <w:r w:rsidRPr="007D770B">
        <w:rPr>
          <w:rFonts w:ascii="Times New Roman" w:hAnsi="Times New Roman"/>
          <w:lang w:val="en-US"/>
        </w:rPr>
        <w:t>The Bank discloses separately for each capital requirement (rather than in aggregate) with which it is subject, where this is likely to assist users' understanding of the financial statements.</w:t>
      </w:r>
    </w:p>
    <w:p w14:paraId="1DFD0708" w14:textId="77777777" w:rsidR="00286356" w:rsidRPr="007D770B" w:rsidRDefault="00286356" w:rsidP="00E00046">
      <w:pPr>
        <w:spacing w:before="240"/>
        <w:ind w:left="0"/>
        <w:rPr>
          <w:rFonts w:ascii="Times New Roman" w:eastAsia="Times New Roman" w:hAnsi="Times New Roman"/>
          <w:b/>
          <w:i/>
          <w:lang w:val="en-US"/>
        </w:rPr>
      </w:pPr>
      <w:r w:rsidRPr="007D770B">
        <w:rPr>
          <w:rFonts w:ascii="Times New Roman" w:eastAsia="Times New Roman" w:hAnsi="Times New Roman"/>
          <w:b/>
          <w:i/>
          <w:lang w:val="en-US"/>
        </w:rPr>
        <w:t xml:space="preserve">Disclosure of other information </w:t>
      </w:r>
    </w:p>
    <w:p w14:paraId="0F036D6A" w14:textId="77777777" w:rsidR="00286356" w:rsidRPr="007D770B" w:rsidRDefault="00286356" w:rsidP="0098643C">
      <w:pPr>
        <w:spacing w:before="240"/>
        <w:ind w:left="0"/>
        <w:rPr>
          <w:rFonts w:ascii="Times New Roman" w:hAnsi="Times New Roman"/>
          <w:lang w:val="en-US"/>
        </w:rPr>
      </w:pPr>
      <w:r w:rsidRPr="007D770B">
        <w:rPr>
          <w:rFonts w:ascii="Times New Roman" w:hAnsi="Times New Roman"/>
          <w:lang w:val="en-US"/>
        </w:rPr>
        <w:t>The Bank discloses the following information if it has not been disclosed elsewhere in the financial statements:</w:t>
      </w:r>
    </w:p>
    <w:p w14:paraId="11893521" w14:textId="77777777" w:rsidR="00286356" w:rsidRPr="00E00046" w:rsidRDefault="00286356" w:rsidP="00AE698A">
      <w:pPr>
        <w:numPr>
          <w:ilvl w:val="0"/>
          <w:numId w:val="165"/>
        </w:numPr>
        <w:spacing w:before="240" w:line="240" w:lineRule="auto"/>
        <w:rPr>
          <w:rFonts w:ascii="Times New Roman" w:hAnsi="Times New Roman"/>
        </w:rPr>
      </w:pPr>
      <w:r w:rsidRPr="00E00046">
        <w:rPr>
          <w:rFonts w:ascii="Times New Roman" w:hAnsi="Times New Roman"/>
        </w:rPr>
        <w:t>name of the Bank;</w:t>
      </w:r>
    </w:p>
    <w:p w14:paraId="57C8009D" w14:textId="77777777" w:rsidR="00286356" w:rsidRPr="007D770B" w:rsidRDefault="00286356" w:rsidP="00AE698A">
      <w:pPr>
        <w:numPr>
          <w:ilvl w:val="0"/>
          <w:numId w:val="163"/>
        </w:numPr>
        <w:spacing w:before="240" w:line="240" w:lineRule="auto"/>
        <w:ind w:left="720"/>
        <w:rPr>
          <w:rFonts w:ascii="Times New Roman" w:hAnsi="Times New Roman"/>
          <w:lang w:val="en-US"/>
        </w:rPr>
      </w:pPr>
      <w:r w:rsidRPr="007D770B">
        <w:rPr>
          <w:rFonts w:ascii="Times New Roman" w:hAnsi="Times New Roman"/>
          <w:lang w:val="en-US"/>
        </w:rPr>
        <w:t>legal address, legal form of the Bank, country of incorporation (or country being the principal place of business, if different from the legal address);</w:t>
      </w:r>
    </w:p>
    <w:p w14:paraId="2ECC67C5" w14:textId="77777777" w:rsidR="00286356" w:rsidRPr="007D770B" w:rsidRDefault="00286356" w:rsidP="00AE698A">
      <w:pPr>
        <w:numPr>
          <w:ilvl w:val="0"/>
          <w:numId w:val="163"/>
        </w:numPr>
        <w:spacing w:before="240" w:line="240" w:lineRule="auto"/>
        <w:ind w:left="720"/>
        <w:rPr>
          <w:rFonts w:ascii="Times New Roman" w:hAnsi="Times New Roman"/>
          <w:lang w:val="en-US"/>
        </w:rPr>
      </w:pPr>
      <w:r w:rsidRPr="007D770B">
        <w:rPr>
          <w:rFonts w:ascii="Times New Roman" w:hAnsi="Times New Roman"/>
          <w:lang w:val="en-US"/>
        </w:rPr>
        <w:t>a description of the nature of the Bank's business and its principal activities;</w:t>
      </w:r>
    </w:p>
    <w:p w14:paraId="72B5B725" w14:textId="77777777" w:rsidR="00286356" w:rsidRPr="007D770B" w:rsidRDefault="00286356" w:rsidP="00AE698A">
      <w:pPr>
        <w:numPr>
          <w:ilvl w:val="0"/>
          <w:numId w:val="163"/>
        </w:numPr>
        <w:spacing w:before="240" w:line="240" w:lineRule="auto"/>
        <w:ind w:left="720"/>
        <w:rPr>
          <w:rFonts w:ascii="Times New Roman" w:hAnsi="Times New Roman"/>
          <w:lang w:val="en-US"/>
        </w:rPr>
      </w:pPr>
      <w:r w:rsidRPr="007D770B">
        <w:rPr>
          <w:rFonts w:ascii="Times New Roman" w:hAnsi="Times New Roman"/>
          <w:lang w:val="en-US"/>
        </w:rPr>
        <w:t>the name of the parent company and the actual parent company of the group.</w:t>
      </w:r>
    </w:p>
    <w:p w14:paraId="40400AB1" w14:textId="749BCA0C" w:rsidR="00286356" w:rsidRPr="007D770B" w:rsidRDefault="00286356" w:rsidP="00E61D21">
      <w:pPr>
        <w:pStyle w:val="3"/>
        <w:rPr>
          <w:lang w:val="en-US"/>
        </w:rPr>
      </w:pPr>
      <w:bookmarkStart w:id="24" w:name="_Toc270435401"/>
      <w:bookmarkStart w:id="25" w:name="_Toc273020248"/>
      <w:bookmarkStart w:id="26" w:name="_Toc278120853"/>
      <w:bookmarkStart w:id="27" w:name="_Toc168502007"/>
      <w:r w:rsidRPr="007D770B">
        <w:rPr>
          <w:lang w:val="en-US"/>
        </w:rPr>
        <w:t>1.5 Elements of financial reporting</w:t>
      </w:r>
      <w:bookmarkEnd w:id="24"/>
      <w:bookmarkEnd w:id="25"/>
      <w:bookmarkEnd w:id="26"/>
      <w:bookmarkEnd w:id="27"/>
    </w:p>
    <w:p w14:paraId="73E6F2B4" w14:textId="77777777" w:rsidR="00286356" w:rsidRPr="007D770B" w:rsidRDefault="00286356" w:rsidP="00E00046">
      <w:pPr>
        <w:spacing w:before="240"/>
        <w:ind w:left="0"/>
        <w:rPr>
          <w:rFonts w:ascii="Times New Roman" w:hAnsi="Times New Roman"/>
          <w:lang w:val="en-US"/>
        </w:rPr>
      </w:pPr>
      <w:r w:rsidRPr="007D770B">
        <w:rPr>
          <w:rFonts w:ascii="Times New Roman" w:hAnsi="Times New Roman"/>
          <w:lang w:val="en-US"/>
        </w:rPr>
        <w:t>Financial statements present the financial results of transactions and other events by grouping them into major categories according to their economic characteristics. These major categories are called financial reporting elements. There are two classes of financial reporting elements:</w:t>
      </w:r>
    </w:p>
    <w:p w14:paraId="7DF9CB63" w14:textId="77777777" w:rsidR="00286356" w:rsidRPr="00E00046" w:rsidRDefault="00286356" w:rsidP="00AE698A">
      <w:pPr>
        <w:numPr>
          <w:ilvl w:val="0"/>
          <w:numId w:val="23"/>
        </w:numPr>
        <w:spacing w:before="240" w:line="240" w:lineRule="auto"/>
        <w:rPr>
          <w:rFonts w:ascii="Times New Roman" w:hAnsi="Times New Roman"/>
        </w:rPr>
      </w:pPr>
      <w:r w:rsidRPr="00E00046">
        <w:rPr>
          <w:rFonts w:ascii="Times New Roman" w:hAnsi="Times New Roman"/>
        </w:rPr>
        <w:t>assets, liabilities and equity;</w:t>
      </w:r>
    </w:p>
    <w:p w14:paraId="72FC99A9" w14:textId="77777777" w:rsidR="00286356" w:rsidRPr="00E00046" w:rsidRDefault="00286356" w:rsidP="00AE698A">
      <w:pPr>
        <w:numPr>
          <w:ilvl w:val="0"/>
          <w:numId w:val="23"/>
        </w:numPr>
        <w:spacing w:before="240" w:line="240" w:lineRule="auto"/>
        <w:rPr>
          <w:rFonts w:ascii="Times New Roman" w:hAnsi="Times New Roman"/>
        </w:rPr>
      </w:pPr>
      <w:r w:rsidRPr="00E00046">
        <w:rPr>
          <w:rFonts w:ascii="Times New Roman" w:hAnsi="Times New Roman"/>
        </w:rPr>
        <w:t>revenues and expenses.</w:t>
      </w:r>
    </w:p>
    <w:p w14:paraId="5F9FDC9B" w14:textId="77777777" w:rsidR="00286356" w:rsidRPr="007D770B" w:rsidRDefault="00286356" w:rsidP="00E00046">
      <w:pPr>
        <w:spacing w:before="240"/>
        <w:ind w:left="0"/>
        <w:rPr>
          <w:rFonts w:ascii="Times New Roman" w:hAnsi="Times New Roman"/>
          <w:lang w:val="en-US"/>
        </w:rPr>
      </w:pPr>
      <w:r w:rsidRPr="007D770B">
        <w:rPr>
          <w:rFonts w:ascii="Times New Roman" w:hAnsi="Times New Roman"/>
          <w:lang w:val="en-US"/>
        </w:rPr>
        <w:lastRenderedPageBreak/>
        <w:t>Assets, liabilities and equity are elements in the statement of financial position that are directly relevant to the measurement of financial position. Income and expenses are elements in the statement of comprehensive income and measure the results of operations.</w:t>
      </w:r>
    </w:p>
    <w:p w14:paraId="12DF1C06" w14:textId="77777777" w:rsidR="00286356" w:rsidRPr="007D770B" w:rsidRDefault="00286356" w:rsidP="00E00046">
      <w:pPr>
        <w:spacing w:before="240"/>
        <w:ind w:left="0"/>
        <w:rPr>
          <w:rFonts w:ascii="Times New Roman" w:hAnsi="Times New Roman"/>
          <w:lang w:val="en-US"/>
        </w:rPr>
      </w:pPr>
      <w:r w:rsidRPr="007D770B">
        <w:rPr>
          <w:rFonts w:ascii="Times New Roman" w:hAnsi="Times New Roman"/>
          <w:lang w:val="en-US"/>
        </w:rPr>
        <w:t>The statement of financial position and statement of comprehensive income provides for the creation of subclasses of reporting elements according to the nature and function of assets and liabilities, income and expenses.</w:t>
      </w:r>
    </w:p>
    <w:p w14:paraId="1442D35F" w14:textId="77777777" w:rsidR="00286356" w:rsidRPr="007D770B" w:rsidRDefault="00286356" w:rsidP="00E00046">
      <w:pPr>
        <w:spacing w:before="240"/>
        <w:ind w:left="0"/>
        <w:rPr>
          <w:rFonts w:ascii="Times New Roman" w:hAnsi="Times New Roman"/>
          <w:b/>
          <w:lang w:val="en-US"/>
        </w:rPr>
      </w:pPr>
      <w:r w:rsidRPr="007D770B">
        <w:rPr>
          <w:rFonts w:ascii="Times New Roman" w:hAnsi="Times New Roman"/>
          <w:b/>
          <w:lang w:val="en-US"/>
        </w:rPr>
        <w:t>Assets</w:t>
      </w:r>
    </w:p>
    <w:p w14:paraId="62B39809" w14:textId="77777777" w:rsidR="00286356" w:rsidRPr="007D770B" w:rsidRDefault="00286356" w:rsidP="00E00046">
      <w:pPr>
        <w:spacing w:before="240"/>
        <w:ind w:left="0"/>
        <w:rPr>
          <w:rFonts w:ascii="Times New Roman" w:hAnsi="Times New Roman"/>
          <w:lang w:val="en-US"/>
        </w:rPr>
      </w:pPr>
      <w:r w:rsidRPr="007D770B">
        <w:rPr>
          <w:rFonts w:ascii="Times New Roman" w:hAnsi="Times New Roman"/>
          <w:lang w:val="en-US"/>
        </w:rPr>
        <w:t>Assets are resources controlled by the Bank arising from past events from which the Bank expects future economic benefits.</w:t>
      </w:r>
    </w:p>
    <w:p w14:paraId="1EDC77C6" w14:textId="77777777" w:rsidR="00286356" w:rsidRPr="007D770B" w:rsidRDefault="00286356" w:rsidP="00E00046">
      <w:pPr>
        <w:spacing w:before="240"/>
        <w:ind w:left="0"/>
        <w:rPr>
          <w:rFonts w:ascii="Times New Roman" w:hAnsi="Times New Roman"/>
          <w:lang w:val="en-US"/>
        </w:rPr>
      </w:pPr>
      <w:r w:rsidRPr="007D770B">
        <w:rPr>
          <w:rFonts w:ascii="Times New Roman" w:hAnsi="Times New Roman"/>
          <w:lang w:val="en-US"/>
        </w:rPr>
        <w:t>Future economic benefits embodied in the asset refer to the Bank's ability to generate cash and cash equivalents. This ability forms part of the Bank's operating performance and may take the form of convertibility into cash or cash equivalents or the ability to reduce cash outflows.</w:t>
      </w:r>
    </w:p>
    <w:p w14:paraId="0AEBACFE" w14:textId="77777777" w:rsidR="00286356" w:rsidRPr="00E00046" w:rsidRDefault="00286356" w:rsidP="00E00046">
      <w:pPr>
        <w:spacing w:before="240"/>
        <w:ind w:left="0"/>
        <w:rPr>
          <w:rFonts w:ascii="Times New Roman" w:hAnsi="Times New Roman"/>
        </w:rPr>
      </w:pPr>
      <w:r w:rsidRPr="007D770B">
        <w:rPr>
          <w:rFonts w:ascii="Times New Roman" w:hAnsi="Times New Roman"/>
          <w:lang w:val="en-US"/>
        </w:rPr>
        <w:t xml:space="preserve">Future economic benefits embodied in an asset may flow to the Bank in a variety of ways. </w:t>
      </w:r>
      <w:r w:rsidRPr="00E00046">
        <w:rPr>
          <w:rFonts w:ascii="Times New Roman" w:hAnsi="Times New Roman"/>
        </w:rPr>
        <w:t>An asset may be:</w:t>
      </w:r>
    </w:p>
    <w:p w14:paraId="0E583962" w14:textId="77777777" w:rsidR="00286356" w:rsidRPr="007D770B" w:rsidRDefault="00286356" w:rsidP="00AE698A">
      <w:pPr>
        <w:numPr>
          <w:ilvl w:val="0"/>
          <w:numId w:val="250"/>
        </w:numPr>
        <w:spacing w:before="240" w:line="240" w:lineRule="auto"/>
        <w:rPr>
          <w:rFonts w:ascii="Times New Roman" w:hAnsi="Times New Roman"/>
          <w:lang w:val="en-US"/>
        </w:rPr>
      </w:pPr>
      <w:r w:rsidRPr="007D770B">
        <w:rPr>
          <w:rFonts w:ascii="Times New Roman" w:hAnsi="Times New Roman"/>
          <w:lang w:val="en-US"/>
        </w:rPr>
        <w:t>used alone or in combination with other assets in the production of goods, works and services sold by the Bank;</w:t>
      </w:r>
    </w:p>
    <w:p w14:paraId="699E256A" w14:textId="77777777" w:rsidR="00286356" w:rsidRPr="00E00046" w:rsidRDefault="00286356" w:rsidP="00AE698A">
      <w:pPr>
        <w:numPr>
          <w:ilvl w:val="0"/>
          <w:numId w:val="250"/>
        </w:numPr>
        <w:spacing w:before="240" w:line="240" w:lineRule="auto"/>
        <w:rPr>
          <w:rFonts w:ascii="Times New Roman" w:hAnsi="Times New Roman"/>
        </w:rPr>
      </w:pPr>
      <w:r w:rsidRPr="00E00046">
        <w:rPr>
          <w:rFonts w:ascii="Times New Roman" w:hAnsi="Times New Roman"/>
        </w:rPr>
        <w:t>exchanged for other assets;</w:t>
      </w:r>
    </w:p>
    <w:p w14:paraId="730E31EA" w14:textId="77777777" w:rsidR="00286356" w:rsidRPr="007D770B" w:rsidRDefault="00286356" w:rsidP="00AE698A">
      <w:pPr>
        <w:numPr>
          <w:ilvl w:val="0"/>
          <w:numId w:val="250"/>
        </w:numPr>
        <w:spacing w:before="240" w:line="240" w:lineRule="auto"/>
        <w:rPr>
          <w:rFonts w:ascii="Times New Roman" w:hAnsi="Times New Roman"/>
          <w:lang w:val="en-US"/>
        </w:rPr>
      </w:pPr>
      <w:r w:rsidRPr="007D770B">
        <w:rPr>
          <w:rFonts w:ascii="Times New Roman" w:hAnsi="Times New Roman"/>
          <w:lang w:val="en-US"/>
        </w:rPr>
        <w:t>used to settle the obligation;</w:t>
      </w:r>
    </w:p>
    <w:p w14:paraId="029DD91E" w14:textId="77777777" w:rsidR="00286356" w:rsidRPr="007D770B" w:rsidRDefault="00286356" w:rsidP="00AE698A">
      <w:pPr>
        <w:numPr>
          <w:ilvl w:val="0"/>
          <w:numId w:val="250"/>
        </w:numPr>
        <w:spacing w:before="240" w:line="240" w:lineRule="auto"/>
        <w:rPr>
          <w:rFonts w:ascii="Times New Roman" w:hAnsi="Times New Roman"/>
          <w:lang w:val="en-US"/>
        </w:rPr>
      </w:pPr>
      <w:r w:rsidRPr="007D770B">
        <w:rPr>
          <w:rFonts w:ascii="Times New Roman" w:hAnsi="Times New Roman"/>
          <w:lang w:val="en-US"/>
        </w:rPr>
        <w:t>distributed among the owners of the Bank.</w:t>
      </w:r>
    </w:p>
    <w:p w14:paraId="7C9F1828" w14:textId="77777777" w:rsidR="00286356" w:rsidRPr="007D770B" w:rsidRDefault="00286356" w:rsidP="00E00046">
      <w:pPr>
        <w:spacing w:before="240"/>
        <w:ind w:left="0"/>
        <w:rPr>
          <w:rFonts w:ascii="Times New Roman" w:hAnsi="Times New Roman"/>
          <w:b/>
          <w:lang w:val="en-US"/>
        </w:rPr>
      </w:pPr>
      <w:r w:rsidRPr="007D770B">
        <w:rPr>
          <w:rFonts w:ascii="Times New Roman" w:hAnsi="Times New Roman"/>
          <w:b/>
          <w:lang w:val="en-US"/>
        </w:rPr>
        <w:t>Obligations</w:t>
      </w:r>
    </w:p>
    <w:p w14:paraId="7E6EA294" w14:textId="77777777" w:rsidR="00286356" w:rsidRPr="007D770B" w:rsidRDefault="00286356" w:rsidP="00E00046">
      <w:pPr>
        <w:spacing w:before="240"/>
        <w:ind w:left="0"/>
        <w:rPr>
          <w:rFonts w:ascii="Times New Roman" w:hAnsi="Times New Roman"/>
          <w:lang w:val="en-US"/>
        </w:rPr>
      </w:pPr>
      <w:r w:rsidRPr="007D770B">
        <w:rPr>
          <w:rFonts w:ascii="Times New Roman" w:hAnsi="Times New Roman"/>
          <w:lang w:val="en-US"/>
        </w:rPr>
        <w:t>A liability represents a present obligation of the Bank as a result of past events, the settlement of which would result in an outflow of resources embodying economic benefits to satisfy the claims of another party.</w:t>
      </w:r>
    </w:p>
    <w:p w14:paraId="755FF5D5" w14:textId="05E491CA" w:rsidR="00286356" w:rsidRPr="007D770B" w:rsidRDefault="00286356" w:rsidP="00E00046">
      <w:pPr>
        <w:spacing w:before="240"/>
        <w:ind w:left="0"/>
        <w:rPr>
          <w:rFonts w:ascii="Times New Roman" w:hAnsi="Times New Roman"/>
          <w:lang w:val="en-US"/>
        </w:rPr>
      </w:pPr>
      <w:r w:rsidRPr="007D770B">
        <w:rPr>
          <w:rFonts w:ascii="Times New Roman" w:hAnsi="Times New Roman"/>
          <w:lang w:val="en-US"/>
        </w:rPr>
        <w:t xml:space="preserve">Debt refers to a duty or obligation to </w:t>
      </w:r>
      <w:r w:rsidR="003A3F3F" w:rsidRPr="007D770B">
        <w:rPr>
          <w:rFonts w:ascii="Times New Roman" w:hAnsi="Times New Roman"/>
          <w:lang w:val="en-US"/>
        </w:rPr>
        <w:t xml:space="preserve">act </w:t>
      </w:r>
      <w:r w:rsidRPr="007D770B">
        <w:rPr>
          <w:rFonts w:ascii="Times New Roman" w:hAnsi="Times New Roman"/>
          <w:lang w:val="en-US"/>
        </w:rPr>
        <w:t>or do something in a certain way. A debt may be legally enforceable as a consequence of a binding contract or legal requirement, or it may arise out of normal business practice.</w:t>
      </w:r>
    </w:p>
    <w:p w14:paraId="7D66E622" w14:textId="77777777" w:rsidR="00286356" w:rsidRPr="007D770B" w:rsidRDefault="00286356" w:rsidP="00E00046">
      <w:pPr>
        <w:spacing w:before="240"/>
        <w:ind w:left="0"/>
        <w:rPr>
          <w:rFonts w:ascii="Times New Roman" w:hAnsi="Times New Roman"/>
          <w:b/>
          <w:lang w:val="en-US"/>
        </w:rPr>
      </w:pPr>
      <w:r w:rsidRPr="007D770B">
        <w:rPr>
          <w:rFonts w:ascii="Times New Roman" w:hAnsi="Times New Roman"/>
          <w:b/>
          <w:lang w:val="en-US"/>
        </w:rPr>
        <w:t>Capital</w:t>
      </w:r>
    </w:p>
    <w:p w14:paraId="6F97ACFF" w14:textId="77777777" w:rsidR="00286356" w:rsidRPr="007D770B" w:rsidRDefault="00286356" w:rsidP="00E00046">
      <w:pPr>
        <w:spacing w:before="240"/>
        <w:ind w:left="0"/>
        <w:rPr>
          <w:rFonts w:ascii="Times New Roman" w:hAnsi="Times New Roman"/>
          <w:lang w:val="en-US"/>
        </w:rPr>
      </w:pPr>
      <w:r w:rsidRPr="007D770B">
        <w:rPr>
          <w:rFonts w:ascii="Times New Roman" w:hAnsi="Times New Roman"/>
          <w:lang w:val="en-US"/>
        </w:rPr>
        <w:t>Equity represents the Bank's residual interest in the Bank's assets after deducting all of its liabilities (the balancing amount).</w:t>
      </w:r>
    </w:p>
    <w:p w14:paraId="28D49C36" w14:textId="09E77540" w:rsidR="00286356" w:rsidRPr="007D770B" w:rsidRDefault="00286356" w:rsidP="00E00046">
      <w:pPr>
        <w:spacing w:before="240"/>
        <w:ind w:left="0"/>
        <w:rPr>
          <w:rFonts w:ascii="Times New Roman" w:hAnsi="Times New Roman"/>
          <w:lang w:val="en-US"/>
        </w:rPr>
      </w:pPr>
      <w:r w:rsidRPr="007D770B">
        <w:rPr>
          <w:rFonts w:ascii="Times New Roman" w:hAnsi="Times New Roman"/>
          <w:lang w:val="en-US"/>
        </w:rPr>
        <w:t xml:space="preserve">Details of the classification of capital, its accounting principles and disclosures are presented in Chapter 2, Section </w:t>
      </w:r>
      <w:r w:rsidR="00F931DC" w:rsidRPr="007D770B">
        <w:rPr>
          <w:rFonts w:ascii="Times New Roman" w:hAnsi="Times New Roman"/>
          <w:lang w:val="en-US"/>
        </w:rPr>
        <w:t>14</w:t>
      </w:r>
      <w:r w:rsidR="00802136" w:rsidRPr="007D770B">
        <w:rPr>
          <w:rFonts w:ascii="Times New Roman" w:hAnsi="Times New Roman"/>
          <w:lang w:val="en-US"/>
        </w:rPr>
        <w:t xml:space="preserve">, </w:t>
      </w:r>
      <w:r w:rsidRPr="007D770B">
        <w:rPr>
          <w:rFonts w:ascii="Times New Roman" w:hAnsi="Times New Roman"/>
          <w:lang w:val="en-US"/>
        </w:rPr>
        <w:t xml:space="preserve">Capital. </w:t>
      </w:r>
    </w:p>
    <w:p w14:paraId="7F799AE8" w14:textId="77777777" w:rsidR="00286356" w:rsidRPr="007D770B" w:rsidRDefault="00286356" w:rsidP="00E00046">
      <w:pPr>
        <w:spacing w:before="240"/>
        <w:ind w:left="0"/>
        <w:rPr>
          <w:rFonts w:ascii="Times New Roman" w:hAnsi="Times New Roman"/>
          <w:b/>
          <w:lang w:val="en-US"/>
        </w:rPr>
      </w:pPr>
      <w:r w:rsidRPr="007D770B">
        <w:rPr>
          <w:rFonts w:ascii="Times New Roman" w:hAnsi="Times New Roman"/>
          <w:b/>
          <w:lang w:val="en-US"/>
        </w:rPr>
        <w:t>Results of the Bank's operations</w:t>
      </w:r>
    </w:p>
    <w:p w14:paraId="7738A792" w14:textId="77777777" w:rsidR="00286356" w:rsidRPr="007D770B" w:rsidRDefault="00286356" w:rsidP="00E00046">
      <w:pPr>
        <w:spacing w:before="240"/>
        <w:ind w:left="0"/>
        <w:rPr>
          <w:rFonts w:ascii="Times New Roman" w:hAnsi="Times New Roman"/>
          <w:lang w:val="en-US"/>
        </w:rPr>
      </w:pPr>
      <w:r w:rsidRPr="007D770B">
        <w:rPr>
          <w:rFonts w:ascii="Times New Roman" w:hAnsi="Times New Roman"/>
          <w:lang w:val="en-US"/>
        </w:rPr>
        <w:t xml:space="preserve">Net income (profit) is often used to measure the performance of the Bank or to determine the basis of calculation for other measures (e.g. return on investment or earnings per share). The elements directly related to the measurement of profit are revenues and expenses. </w:t>
      </w:r>
    </w:p>
    <w:p w14:paraId="53817E74" w14:textId="77777777" w:rsidR="00286356" w:rsidRPr="007D770B" w:rsidRDefault="00286356" w:rsidP="00E00046">
      <w:pPr>
        <w:spacing w:before="240"/>
        <w:ind w:left="0"/>
        <w:rPr>
          <w:rFonts w:ascii="Times New Roman" w:hAnsi="Times New Roman"/>
          <w:lang w:val="en-US"/>
        </w:rPr>
      </w:pPr>
      <w:r w:rsidRPr="007D770B">
        <w:rPr>
          <w:rFonts w:ascii="Times New Roman" w:hAnsi="Times New Roman"/>
          <w:lang w:val="en-US"/>
        </w:rPr>
        <w:t xml:space="preserve">Income and expenses are presented in the statement of comprehensive income. Items of income and expense that arise in the normal course of business are presented separately from items that do not arise in the normal course of business. </w:t>
      </w:r>
    </w:p>
    <w:p w14:paraId="29DD1011" w14:textId="77777777" w:rsidR="00286356" w:rsidRPr="007D770B" w:rsidRDefault="00286356" w:rsidP="00E00046">
      <w:pPr>
        <w:spacing w:before="240"/>
        <w:ind w:left="0"/>
        <w:rPr>
          <w:rFonts w:ascii="Times New Roman" w:hAnsi="Times New Roman"/>
          <w:b/>
          <w:lang w:val="en-US"/>
        </w:rPr>
      </w:pPr>
      <w:r w:rsidRPr="007D770B">
        <w:rPr>
          <w:rFonts w:ascii="Times New Roman" w:hAnsi="Times New Roman"/>
          <w:b/>
          <w:lang w:val="en-US"/>
        </w:rPr>
        <w:t>Revenues</w:t>
      </w:r>
    </w:p>
    <w:p w14:paraId="20BE338B" w14:textId="239773BE" w:rsidR="00286356" w:rsidRPr="007D770B" w:rsidRDefault="00286356" w:rsidP="00E00046">
      <w:pPr>
        <w:spacing w:before="240"/>
        <w:ind w:left="0"/>
        <w:rPr>
          <w:rFonts w:ascii="Times New Roman" w:hAnsi="Times New Roman"/>
          <w:lang w:val="en-US"/>
        </w:rPr>
      </w:pPr>
      <w:r w:rsidRPr="007D770B">
        <w:rPr>
          <w:rFonts w:ascii="Times New Roman" w:hAnsi="Times New Roman"/>
          <w:lang w:val="en-US"/>
        </w:rPr>
        <w:t xml:space="preserve">Income represents an increase in economic benefits during the reporting period in the form of an inflow or an increase in </w:t>
      </w:r>
      <w:r w:rsidR="003A3F3F" w:rsidRPr="007D770B">
        <w:rPr>
          <w:rFonts w:ascii="Times New Roman" w:hAnsi="Times New Roman"/>
          <w:lang w:val="en-US"/>
        </w:rPr>
        <w:t xml:space="preserve">assets </w:t>
      </w:r>
      <w:r w:rsidRPr="007D770B">
        <w:rPr>
          <w:rFonts w:ascii="Times New Roman" w:hAnsi="Times New Roman"/>
          <w:lang w:val="en-US"/>
        </w:rPr>
        <w:t>or a decrease in liabilities that results in an increase in equity, other than an increase attributable to contributions from equity participants.</w:t>
      </w:r>
    </w:p>
    <w:p w14:paraId="3BCC2D65" w14:textId="77777777" w:rsidR="00286356" w:rsidRPr="007D770B" w:rsidRDefault="00286356" w:rsidP="00E00046">
      <w:pPr>
        <w:spacing w:before="240"/>
        <w:ind w:left="0"/>
        <w:rPr>
          <w:rFonts w:ascii="Times New Roman" w:hAnsi="Times New Roman"/>
          <w:lang w:val="en-US"/>
        </w:rPr>
      </w:pPr>
      <w:r w:rsidRPr="007D770B">
        <w:rPr>
          <w:rFonts w:ascii="Times New Roman" w:hAnsi="Times New Roman"/>
          <w:lang w:val="en-US"/>
        </w:rPr>
        <w:t xml:space="preserve">Revenue includes both operating income and other income. </w:t>
      </w:r>
    </w:p>
    <w:p w14:paraId="22F643A0" w14:textId="77777777" w:rsidR="00286356" w:rsidRPr="007D770B" w:rsidRDefault="00286356" w:rsidP="00E00046">
      <w:pPr>
        <w:spacing w:before="240"/>
        <w:ind w:left="0"/>
        <w:rPr>
          <w:rFonts w:ascii="Times New Roman" w:hAnsi="Times New Roman"/>
          <w:lang w:val="en-US"/>
        </w:rPr>
      </w:pPr>
      <w:r w:rsidRPr="007D770B">
        <w:rPr>
          <w:rFonts w:ascii="Times New Roman" w:hAnsi="Times New Roman"/>
          <w:lang w:val="en-US"/>
        </w:rPr>
        <w:t xml:space="preserve">Operating income arises in the ordinary course of the Bank's business and includes revenues from services rendered, sales, fees, interest, dividends, royalties and rentals. Other income represents other items that meet the definition of </w:t>
      </w:r>
      <w:r w:rsidRPr="007D770B">
        <w:rPr>
          <w:rFonts w:ascii="Times New Roman" w:hAnsi="Times New Roman"/>
          <w:lang w:val="en-US"/>
        </w:rPr>
        <w:lastRenderedPageBreak/>
        <w:t>income and may or may not arise in the normal course of business. They represent increases in economic benefits and are not different in nature from operating income. The definition of income also includes unrealized gains (for example, gains arising from the revaluation of marketable securities).</w:t>
      </w:r>
    </w:p>
    <w:p w14:paraId="5C8D12FC" w14:textId="77777777" w:rsidR="00286356" w:rsidRPr="007D770B" w:rsidRDefault="00286356" w:rsidP="00E00046">
      <w:pPr>
        <w:spacing w:before="240"/>
        <w:ind w:left="0"/>
        <w:rPr>
          <w:rFonts w:ascii="Times New Roman" w:hAnsi="Times New Roman"/>
          <w:lang w:val="en-US"/>
        </w:rPr>
      </w:pPr>
      <w:r w:rsidRPr="007D770B">
        <w:rPr>
          <w:rFonts w:ascii="Times New Roman" w:hAnsi="Times New Roman"/>
          <w:lang w:val="en-US"/>
        </w:rPr>
        <w:t>Other income is presented separately in the statement of comprehensive income because information about its amount is useful for making economic decisions.</w:t>
      </w:r>
    </w:p>
    <w:p w14:paraId="0025AB2F" w14:textId="69AD3230" w:rsidR="00176C28" w:rsidRPr="007D770B" w:rsidRDefault="00286356" w:rsidP="00176C28">
      <w:pPr>
        <w:widowControl w:val="0"/>
        <w:tabs>
          <w:tab w:val="left" w:pos="0"/>
        </w:tabs>
        <w:spacing w:line="240" w:lineRule="auto"/>
        <w:ind w:left="0"/>
        <w:rPr>
          <w:rFonts w:ascii="Times New Roman" w:eastAsia="Times New Roman" w:hAnsi="Times New Roman"/>
          <w:i/>
          <w:snapToGrid w:val="0"/>
          <w:color w:val="3366FF"/>
          <w:szCs w:val="22"/>
          <w:lang w:val="en-US" w:eastAsia="ru-RU"/>
        </w:rPr>
      </w:pPr>
      <w:r w:rsidRPr="007D770B">
        <w:rPr>
          <w:rFonts w:ascii="Times New Roman" w:hAnsi="Times New Roman"/>
          <w:lang w:val="en-US"/>
        </w:rPr>
        <w:t xml:space="preserve">More details on revenue items, classification, accounting principles and disclosure are described in </w:t>
      </w:r>
      <w:r w:rsidRPr="007D770B">
        <w:rPr>
          <w:rFonts w:ascii="Times New Roman" w:hAnsi="Times New Roman"/>
          <w:lang w:val="en-US"/>
        </w:rPr>
        <w:br/>
        <w:t xml:space="preserve">Section </w:t>
      </w:r>
      <w:r w:rsidR="00AE5865" w:rsidRPr="007D770B">
        <w:rPr>
          <w:rFonts w:ascii="Times New Roman" w:hAnsi="Times New Roman"/>
          <w:lang w:val="en-US"/>
        </w:rPr>
        <w:t xml:space="preserve">9 </w:t>
      </w:r>
      <w:r w:rsidR="00802136" w:rsidRPr="007D770B">
        <w:rPr>
          <w:rFonts w:ascii="Times New Roman" w:hAnsi="Times New Roman"/>
          <w:lang w:val="en-US"/>
        </w:rPr>
        <w:t>"</w:t>
      </w:r>
      <w:r w:rsidR="00AE5865" w:rsidRPr="007D770B">
        <w:rPr>
          <w:rFonts w:ascii="Times New Roman" w:hAnsi="Times New Roman"/>
          <w:lang w:val="en-US" w:eastAsia="ru-RU"/>
        </w:rPr>
        <w:t xml:space="preserve">Revenue from contracts with customers </w:t>
      </w:r>
      <w:r w:rsidRPr="007D770B">
        <w:rPr>
          <w:rFonts w:ascii="Times New Roman" w:hAnsi="Times New Roman"/>
          <w:lang w:val="en-US"/>
        </w:rPr>
        <w:t>(</w:t>
      </w:r>
      <w:r w:rsidR="001563F5" w:rsidRPr="007D770B">
        <w:rPr>
          <w:rFonts w:ascii="Times New Roman" w:hAnsi="Times New Roman"/>
          <w:lang w:val="en-US"/>
        </w:rPr>
        <w:t>IFRS 15</w:t>
      </w:r>
      <w:r w:rsidRPr="007D770B">
        <w:rPr>
          <w:rFonts w:ascii="Times New Roman" w:hAnsi="Times New Roman"/>
          <w:lang w:val="en-US"/>
        </w:rPr>
        <w:t>)</w:t>
      </w:r>
      <w:r w:rsidR="00802136" w:rsidRPr="007D770B">
        <w:rPr>
          <w:rFonts w:ascii="Times New Roman" w:hAnsi="Times New Roman"/>
          <w:lang w:val="en-US"/>
        </w:rPr>
        <w:t xml:space="preserve">" </w:t>
      </w:r>
      <w:r w:rsidRPr="007D770B">
        <w:rPr>
          <w:rFonts w:ascii="Times New Roman" w:hAnsi="Times New Roman"/>
          <w:lang w:val="en-US"/>
        </w:rPr>
        <w:t xml:space="preserve">of Chapter 2. </w:t>
      </w:r>
      <w:r w:rsidR="00176C28" w:rsidRPr="007D770B">
        <w:rPr>
          <w:rFonts w:ascii="Times New Roman" w:eastAsia="Times New Roman" w:hAnsi="Times New Roman"/>
          <w:i/>
          <w:snapToGrid w:val="0"/>
          <w:color w:val="3366FF"/>
          <w:szCs w:val="22"/>
          <w:lang w:val="en-US" w:eastAsia="ru-RU"/>
        </w:rPr>
        <w:t xml:space="preserve">(The subparagraph </w:t>
      </w:r>
      <w:r w:rsidR="00EB4392" w:rsidRPr="007D770B">
        <w:rPr>
          <w:rFonts w:ascii="Times New Roman" w:eastAsia="Times New Roman" w:hAnsi="Times New Roman"/>
          <w:i/>
          <w:snapToGrid w:val="0"/>
          <w:color w:val="3366FF"/>
          <w:szCs w:val="22"/>
          <w:lang w:val="en-US" w:eastAsia="ru-RU"/>
        </w:rPr>
        <w:t xml:space="preserve">"Revenue" of paragraph 1.5. </w:t>
      </w:r>
      <w:r w:rsidR="00176C28" w:rsidRPr="007D770B">
        <w:rPr>
          <w:rFonts w:ascii="Times New Roman" w:eastAsia="Times New Roman" w:hAnsi="Times New Roman"/>
          <w:i/>
          <w:snapToGrid w:val="0"/>
          <w:color w:val="3366FF"/>
          <w:szCs w:val="22"/>
          <w:lang w:val="en-US" w:eastAsia="ru-RU"/>
        </w:rPr>
        <w:t xml:space="preserve">was changed by the decision of the Board of Directors dated </w:t>
      </w:r>
      <w:r w:rsidR="00EA4D1F" w:rsidRPr="007D770B">
        <w:rPr>
          <w:rFonts w:ascii="Times New Roman" w:eastAsia="Times New Roman" w:hAnsi="Times New Roman"/>
          <w:i/>
          <w:snapToGrid w:val="0"/>
          <w:color w:val="3366FF"/>
          <w:szCs w:val="22"/>
          <w:lang w:val="en-US" w:eastAsia="ru-RU"/>
        </w:rPr>
        <w:t>31</w:t>
      </w:r>
      <w:r w:rsidR="00EB4392" w:rsidRPr="007D770B">
        <w:rPr>
          <w:rFonts w:ascii="Times New Roman" w:eastAsia="Times New Roman" w:hAnsi="Times New Roman"/>
          <w:i/>
          <w:snapToGrid w:val="0"/>
          <w:color w:val="3366FF"/>
          <w:szCs w:val="22"/>
          <w:lang w:val="en-US" w:eastAsia="ru-RU"/>
        </w:rPr>
        <w:t>.</w:t>
      </w:r>
      <w:r w:rsidR="00EA4D1F" w:rsidRPr="007D770B">
        <w:rPr>
          <w:rFonts w:ascii="Times New Roman" w:eastAsia="Times New Roman" w:hAnsi="Times New Roman"/>
          <w:i/>
          <w:snapToGrid w:val="0"/>
          <w:color w:val="3366FF"/>
          <w:szCs w:val="22"/>
          <w:lang w:val="en-US" w:eastAsia="ru-RU"/>
        </w:rPr>
        <w:t>10</w:t>
      </w:r>
      <w:r w:rsidR="00176C28" w:rsidRPr="007D770B">
        <w:rPr>
          <w:rFonts w:ascii="Times New Roman" w:eastAsia="Times New Roman" w:hAnsi="Times New Roman"/>
          <w:i/>
          <w:snapToGrid w:val="0"/>
          <w:color w:val="3366FF"/>
          <w:szCs w:val="22"/>
          <w:lang w:val="en-US" w:eastAsia="ru-RU"/>
        </w:rPr>
        <w:t>.</w:t>
      </w:r>
      <w:r w:rsidR="00EB4392" w:rsidRPr="007D770B">
        <w:rPr>
          <w:rFonts w:ascii="Times New Roman" w:eastAsia="Times New Roman" w:hAnsi="Times New Roman"/>
          <w:i/>
          <w:snapToGrid w:val="0"/>
          <w:color w:val="3366FF"/>
          <w:szCs w:val="22"/>
          <w:lang w:val="en-US" w:eastAsia="ru-RU"/>
        </w:rPr>
        <w:t xml:space="preserve">2019 </w:t>
      </w:r>
      <w:r w:rsidR="00176C28" w:rsidRPr="007D770B">
        <w:rPr>
          <w:rFonts w:ascii="Times New Roman" w:eastAsia="Times New Roman" w:hAnsi="Times New Roman"/>
          <w:i/>
          <w:snapToGrid w:val="0"/>
          <w:color w:val="3366FF"/>
          <w:szCs w:val="22"/>
          <w:lang w:val="en-US" w:eastAsia="ru-RU"/>
        </w:rPr>
        <w:t xml:space="preserve">(Minutes No. </w:t>
      </w:r>
      <w:r w:rsidR="00EA4D1F" w:rsidRPr="007D770B">
        <w:rPr>
          <w:rFonts w:ascii="Times New Roman" w:eastAsia="Times New Roman" w:hAnsi="Times New Roman"/>
          <w:i/>
          <w:snapToGrid w:val="0"/>
          <w:color w:val="3366FF"/>
          <w:szCs w:val="22"/>
          <w:lang w:val="en-US" w:eastAsia="ru-RU"/>
        </w:rPr>
        <w:t>13</w:t>
      </w:r>
      <w:r w:rsidR="00176C28" w:rsidRPr="007D770B">
        <w:rPr>
          <w:rFonts w:ascii="Times New Roman" w:eastAsia="Times New Roman" w:hAnsi="Times New Roman"/>
          <w:i/>
          <w:snapToGrid w:val="0"/>
          <w:color w:val="3366FF"/>
          <w:szCs w:val="22"/>
          <w:lang w:val="en-US" w:eastAsia="ru-RU"/>
        </w:rPr>
        <w:t>)</w:t>
      </w:r>
      <w:r w:rsidR="00EB4392" w:rsidRPr="007D770B">
        <w:rPr>
          <w:rFonts w:ascii="Times New Roman" w:eastAsia="Times New Roman" w:hAnsi="Times New Roman"/>
          <w:i/>
          <w:snapToGrid w:val="0"/>
          <w:color w:val="3366FF"/>
          <w:szCs w:val="22"/>
          <w:lang w:val="en-US" w:eastAsia="ru-RU"/>
        </w:rPr>
        <w:t>.</w:t>
      </w:r>
    </w:p>
    <w:p w14:paraId="42A846CC" w14:textId="77777777" w:rsidR="00286356" w:rsidRPr="007D770B" w:rsidRDefault="00286356" w:rsidP="00E00046">
      <w:pPr>
        <w:spacing w:before="240"/>
        <w:ind w:left="0"/>
        <w:rPr>
          <w:rFonts w:ascii="Times New Roman" w:hAnsi="Times New Roman"/>
          <w:b/>
          <w:lang w:val="en-US"/>
        </w:rPr>
      </w:pPr>
      <w:r w:rsidRPr="007D770B">
        <w:rPr>
          <w:rFonts w:ascii="Times New Roman" w:hAnsi="Times New Roman"/>
          <w:b/>
          <w:lang w:val="en-US"/>
        </w:rPr>
        <w:t>Expenses</w:t>
      </w:r>
    </w:p>
    <w:p w14:paraId="4CB0C98A" w14:textId="28E39CF4" w:rsidR="00286356" w:rsidRPr="007D770B" w:rsidRDefault="00286356" w:rsidP="00E00046">
      <w:pPr>
        <w:spacing w:before="240"/>
        <w:ind w:left="0"/>
        <w:rPr>
          <w:rFonts w:ascii="Times New Roman" w:hAnsi="Times New Roman"/>
          <w:lang w:val="en-US"/>
        </w:rPr>
      </w:pPr>
      <w:r w:rsidRPr="007D770B">
        <w:rPr>
          <w:rFonts w:ascii="Times New Roman" w:hAnsi="Times New Roman"/>
          <w:lang w:val="en-US"/>
        </w:rPr>
        <w:t xml:space="preserve">Expenses represent a decrease in economic benefits during the reporting period in the form of outflows or decreases </w:t>
      </w:r>
      <w:r w:rsidR="003A3F3F" w:rsidRPr="007D770B">
        <w:rPr>
          <w:rFonts w:ascii="Times New Roman" w:hAnsi="Times New Roman"/>
          <w:lang w:val="en-US"/>
        </w:rPr>
        <w:t xml:space="preserve">in assets </w:t>
      </w:r>
      <w:r w:rsidRPr="007D770B">
        <w:rPr>
          <w:rFonts w:ascii="Times New Roman" w:hAnsi="Times New Roman"/>
          <w:lang w:val="en-US"/>
        </w:rPr>
        <w:t>or incurrence of liabilities that result in a decrease in equity, other than a decrease related to distributions to equity holders.</w:t>
      </w:r>
    </w:p>
    <w:p w14:paraId="35308D46" w14:textId="77777777" w:rsidR="00286356" w:rsidRPr="007D770B" w:rsidRDefault="00286356" w:rsidP="00E00046">
      <w:pPr>
        <w:spacing w:before="240"/>
        <w:ind w:left="0"/>
        <w:rPr>
          <w:rFonts w:ascii="Times New Roman" w:hAnsi="Times New Roman"/>
          <w:lang w:val="en-US"/>
        </w:rPr>
      </w:pPr>
      <w:r w:rsidRPr="007D770B">
        <w:rPr>
          <w:rFonts w:ascii="Times New Roman" w:hAnsi="Times New Roman"/>
          <w:lang w:val="en-US"/>
        </w:rPr>
        <w:t xml:space="preserve">Expenses are losses as well as expenses arising in the ordinary course of the Bank's business. Expenses generally take the form of outflows or decreases in assets, such as cash or cash equivalents, inventories, property, plant and equipment. </w:t>
      </w:r>
    </w:p>
    <w:p w14:paraId="22A87D9D" w14:textId="77777777" w:rsidR="00286356" w:rsidRPr="007D770B" w:rsidRDefault="00286356" w:rsidP="00E00046">
      <w:pPr>
        <w:spacing w:before="240"/>
        <w:ind w:left="0"/>
        <w:rPr>
          <w:rFonts w:ascii="Times New Roman" w:hAnsi="Times New Roman"/>
          <w:lang w:val="en-US"/>
        </w:rPr>
      </w:pPr>
      <w:r w:rsidRPr="007D770B">
        <w:rPr>
          <w:rFonts w:ascii="Times New Roman" w:hAnsi="Times New Roman"/>
          <w:lang w:val="en-US"/>
        </w:rPr>
        <w:t>Other losses represent other items that qualify as expenses and may or may not arise in the normal course of the Bank's business. Losses represent a reduction in economic benefits and therefore are not distinguishable in nature from other expenses.</w:t>
      </w:r>
    </w:p>
    <w:p w14:paraId="34E7B8F1" w14:textId="77777777" w:rsidR="00286356" w:rsidRPr="007D770B" w:rsidRDefault="00286356" w:rsidP="00E00046">
      <w:pPr>
        <w:spacing w:before="240"/>
        <w:ind w:left="0"/>
        <w:rPr>
          <w:rFonts w:ascii="Times New Roman" w:hAnsi="Times New Roman"/>
          <w:lang w:val="en-US"/>
        </w:rPr>
      </w:pPr>
      <w:r w:rsidRPr="007D770B">
        <w:rPr>
          <w:rFonts w:ascii="Times New Roman" w:hAnsi="Times New Roman"/>
          <w:lang w:val="en-US"/>
        </w:rPr>
        <w:t>Upon recognition, other losses are presented separately in the statement of comprehensive income because information about them is useful for economic decision-making purposes. The Bank discloses only significant losses, and in all other cases losses are recognized on a net basis (net of related income).</w:t>
      </w:r>
    </w:p>
    <w:p w14:paraId="38AEC546" w14:textId="0C70008A" w:rsidR="00286356" w:rsidRPr="007D770B" w:rsidRDefault="00286356" w:rsidP="00E00046">
      <w:pPr>
        <w:spacing w:before="240"/>
        <w:ind w:left="0"/>
        <w:rPr>
          <w:rFonts w:ascii="Times New Roman" w:hAnsi="Times New Roman"/>
          <w:lang w:val="en-US"/>
        </w:rPr>
      </w:pPr>
      <w:r w:rsidRPr="007D770B">
        <w:rPr>
          <w:rFonts w:ascii="Times New Roman" w:hAnsi="Times New Roman"/>
          <w:lang w:val="en-US"/>
        </w:rPr>
        <w:t xml:space="preserve">The classification, accounting policies and disclosure of expenses are presented in </w:t>
      </w:r>
      <w:r w:rsidRPr="007D770B">
        <w:rPr>
          <w:rFonts w:ascii="Times New Roman" w:hAnsi="Times New Roman"/>
          <w:lang w:val="en-US"/>
        </w:rPr>
        <w:br/>
        <w:t xml:space="preserve">Chapter 2, Section </w:t>
      </w:r>
      <w:r w:rsidR="0035602C" w:rsidRPr="007D770B">
        <w:rPr>
          <w:rFonts w:ascii="Times New Roman" w:hAnsi="Times New Roman"/>
          <w:lang w:val="en-US"/>
        </w:rPr>
        <w:t>10</w:t>
      </w:r>
      <w:r w:rsidRPr="007D770B">
        <w:rPr>
          <w:rFonts w:ascii="Times New Roman" w:hAnsi="Times New Roman"/>
          <w:lang w:val="en-US"/>
        </w:rPr>
        <w:t>, Expenses.</w:t>
      </w:r>
    </w:p>
    <w:p w14:paraId="23D2F276" w14:textId="77777777" w:rsidR="00286356" w:rsidRPr="007D770B" w:rsidRDefault="00286356" w:rsidP="00E00046">
      <w:pPr>
        <w:spacing w:before="240"/>
        <w:ind w:left="0"/>
        <w:rPr>
          <w:rFonts w:ascii="Times New Roman" w:hAnsi="Times New Roman"/>
          <w:b/>
          <w:lang w:val="en-US"/>
        </w:rPr>
      </w:pPr>
      <w:r w:rsidRPr="007D770B">
        <w:rPr>
          <w:rFonts w:ascii="Times New Roman" w:hAnsi="Times New Roman"/>
          <w:b/>
          <w:lang w:val="en-US"/>
        </w:rPr>
        <w:t>Recognition of elements of financial statements</w:t>
      </w:r>
    </w:p>
    <w:p w14:paraId="6EAC5F26" w14:textId="77777777" w:rsidR="00286356" w:rsidRPr="007D770B" w:rsidRDefault="00286356" w:rsidP="00E00046">
      <w:pPr>
        <w:spacing w:before="240"/>
        <w:ind w:left="0"/>
        <w:rPr>
          <w:rFonts w:ascii="Times New Roman" w:hAnsi="Times New Roman"/>
          <w:lang w:val="en-US"/>
        </w:rPr>
      </w:pPr>
      <w:r w:rsidRPr="007D770B">
        <w:rPr>
          <w:rFonts w:ascii="Times New Roman" w:hAnsi="Times New Roman"/>
          <w:lang w:val="en-US"/>
        </w:rPr>
        <w:t>Recognition refers to the process of including in the statement of financial position or statement of comprehensive income items that qualify as an element of the financial statements and meet the recognition criteria below. Recognition involves the verbal description of items and their monetary amounts, and the inclusion of those amounts in the statement of financial position or statement of comprehensive income. Items that meet the recognition criteria shall be recognized in the statement of financial position or statement of comprehensive income. Failure to recognize such items is not offset by disclosure of the accounting policies used or the notes.</w:t>
      </w:r>
    </w:p>
    <w:p w14:paraId="65CB1D2E" w14:textId="77777777" w:rsidR="00286356" w:rsidRPr="007D770B" w:rsidRDefault="00286356" w:rsidP="00E00046">
      <w:pPr>
        <w:spacing w:before="240"/>
        <w:ind w:left="0"/>
        <w:rPr>
          <w:rFonts w:ascii="Times New Roman" w:hAnsi="Times New Roman"/>
          <w:lang w:val="en-US"/>
        </w:rPr>
      </w:pPr>
      <w:r w:rsidRPr="007D770B">
        <w:rPr>
          <w:rFonts w:ascii="Times New Roman" w:hAnsi="Times New Roman"/>
          <w:lang w:val="en-US"/>
        </w:rPr>
        <w:t>An item that meets the definition of a financial reporting element should be recognized if:</w:t>
      </w:r>
    </w:p>
    <w:p w14:paraId="3C2B4899" w14:textId="77777777" w:rsidR="00286356" w:rsidRPr="007D770B" w:rsidRDefault="00286356" w:rsidP="00AE698A">
      <w:pPr>
        <w:pStyle w:val="aa"/>
        <w:numPr>
          <w:ilvl w:val="0"/>
          <w:numId w:val="166"/>
        </w:numPr>
        <w:spacing w:before="240" w:line="240" w:lineRule="auto"/>
        <w:contextualSpacing w:val="0"/>
        <w:rPr>
          <w:rFonts w:ascii="Times New Roman" w:hAnsi="Times New Roman"/>
          <w:lang w:val="en-US"/>
        </w:rPr>
      </w:pPr>
      <w:r w:rsidRPr="007D770B">
        <w:rPr>
          <w:rFonts w:ascii="Times New Roman" w:hAnsi="Times New Roman"/>
          <w:lang w:val="en-US"/>
        </w:rPr>
        <w:t>it is probable that any future economic benefits associated with the item will be realized or lost by the Bank;</w:t>
      </w:r>
    </w:p>
    <w:p w14:paraId="638CFC15" w14:textId="77777777" w:rsidR="00286356" w:rsidRPr="007D770B" w:rsidRDefault="00286356" w:rsidP="00AE698A">
      <w:pPr>
        <w:pStyle w:val="aa"/>
        <w:numPr>
          <w:ilvl w:val="0"/>
          <w:numId w:val="166"/>
        </w:numPr>
        <w:spacing w:before="240" w:line="240" w:lineRule="auto"/>
        <w:rPr>
          <w:rFonts w:ascii="Times New Roman" w:hAnsi="Times New Roman"/>
          <w:lang w:val="en-US"/>
        </w:rPr>
      </w:pPr>
      <w:r w:rsidRPr="007D770B">
        <w:rPr>
          <w:rFonts w:ascii="Times New Roman" w:hAnsi="Times New Roman"/>
          <w:lang w:val="en-US"/>
        </w:rPr>
        <w:t>the value of the element can be reliably measured or estimated.</w:t>
      </w:r>
    </w:p>
    <w:p w14:paraId="32AF9E0D" w14:textId="7193C849" w:rsidR="00286356" w:rsidRPr="007D770B" w:rsidRDefault="00286356" w:rsidP="00E00046">
      <w:pPr>
        <w:spacing w:before="240"/>
        <w:ind w:left="0"/>
        <w:rPr>
          <w:rFonts w:ascii="Times New Roman" w:hAnsi="Times New Roman"/>
          <w:lang w:val="en-US"/>
        </w:rPr>
      </w:pPr>
      <w:r w:rsidRPr="007D770B">
        <w:rPr>
          <w:rFonts w:ascii="Times New Roman" w:hAnsi="Times New Roman"/>
          <w:lang w:val="en-US"/>
        </w:rPr>
        <w:t xml:space="preserve">The interrelationship between elements of financial statements means that an item that meets the definition and recognition criteria for a particular element, </w:t>
      </w:r>
      <w:r w:rsidR="003A3F3F" w:rsidRPr="007D770B">
        <w:rPr>
          <w:rFonts w:ascii="Times New Roman" w:hAnsi="Times New Roman"/>
          <w:lang w:val="en-US"/>
        </w:rPr>
        <w:t xml:space="preserve">such as an </w:t>
      </w:r>
      <w:r w:rsidRPr="007D770B">
        <w:rPr>
          <w:rFonts w:ascii="Times New Roman" w:hAnsi="Times New Roman"/>
          <w:lang w:val="en-US"/>
        </w:rPr>
        <w:t>asset, automatically requires recognition of another element, such as income or a liability.</w:t>
      </w:r>
    </w:p>
    <w:p w14:paraId="164F2C32" w14:textId="77777777" w:rsidR="00286356" w:rsidRPr="007D770B" w:rsidRDefault="00286356" w:rsidP="00E00046">
      <w:pPr>
        <w:spacing w:before="240"/>
        <w:ind w:left="0"/>
        <w:rPr>
          <w:rFonts w:ascii="Times New Roman" w:hAnsi="Times New Roman"/>
          <w:lang w:val="en-US"/>
        </w:rPr>
      </w:pPr>
      <w:r w:rsidRPr="007D770B">
        <w:rPr>
          <w:rFonts w:ascii="Times New Roman" w:hAnsi="Times New Roman"/>
          <w:lang w:val="en-US"/>
        </w:rPr>
        <w:t>In assessing whether an element meets these criteria and, therefore, whether it can be recognized in the financial statements, a materiality factor must be considered.</w:t>
      </w:r>
    </w:p>
    <w:p w14:paraId="765F3AF9" w14:textId="77777777" w:rsidR="00286356" w:rsidRPr="007D770B" w:rsidRDefault="00286356" w:rsidP="00E00046">
      <w:pPr>
        <w:spacing w:before="240"/>
        <w:ind w:left="0"/>
        <w:rPr>
          <w:rFonts w:ascii="Times New Roman" w:hAnsi="Times New Roman"/>
          <w:b/>
          <w:i/>
          <w:lang w:val="en-US"/>
        </w:rPr>
      </w:pPr>
      <w:r w:rsidRPr="007D770B">
        <w:rPr>
          <w:rFonts w:ascii="Times New Roman" w:hAnsi="Times New Roman"/>
          <w:b/>
          <w:i/>
          <w:lang w:val="en-US"/>
        </w:rPr>
        <w:t xml:space="preserve">Probability of future economic benefit </w:t>
      </w:r>
    </w:p>
    <w:p w14:paraId="3E66673B" w14:textId="77777777" w:rsidR="00286356" w:rsidRPr="007D770B" w:rsidRDefault="00286356" w:rsidP="00E00046">
      <w:pPr>
        <w:spacing w:before="240"/>
        <w:ind w:left="0"/>
        <w:rPr>
          <w:rFonts w:ascii="Times New Roman" w:hAnsi="Times New Roman"/>
          <w:lang w:val="en-US"/>
        </w:rPr>
      </w:pPr>
      <w:r w:rsidRPr="007D770B">
        <w:rPr>
          <w:rFonts w:ascii="Times New Roman" w:hAnsi="Times New Roman"/>
          <w:lang w:val="en-US"/>
        </w:rPr>
        <w:t>The concept of probability relates to the degree of uncertainty about the inflow (or outflow) to the Bank of economic benefits arising from an item. The assessment of the degree of certainty of flows of economic benefits is made in the preparation of the financial statements on the basis of the available evidence at the time of such preparation.</w:t>
      </w:r>
    </w:p>
    <w:p w14:paraId="7993172D" w14:textId="77777777" w:rsidR="00286356" w:rsidRPr="007D770B" w:rsidRDefault="00286356" w:rsidP="00E00046">
      <w:pPr>
        <w:spacing w:before="240"/>
        <w:ind w:left="0"/>
        <w:rPr>
          <w:rFonts w:ascii="Times New Roman" w:hAnsi="Times New Roman"/>
          <w:lang w:val="en-US"/>
        </w:rPr>
      </w:pPr>
      <w:r w:rsidRPr="007D770B">
        <w:rPr>
          <w:rFonts w:ascii="Times New Roman" w:hAnsi="Times New Roman"/>
          <w:lang w:val="en-US"/>
        </w:rPr>
        <w:t xml:space="preserve">For example, if collection of the receivable is probable, recording the receivable as an asset is justified. When the amount of receivables is significant, it is probable that some portion of the receivables will not be collected and, </w:t>
      </w:r>
      <w:r w:rsidRPr="007D770B">
        <w:rPr>
          <w:rFonts w:ascii="Times New Roman" w:hAnsi="Times New Roman"/>
          <w:lang w:val="en-US"/>
        </w:rPr>
        <w:lastRenderedPageBreak/>
        <w:t>accordingly, an allowance for doubtful debts should be recognized to reflect the estimated reduction in economic benefits.</w:t>
      </w:r>
    </w:p>
    <w:p w14:paraId="1AED03E6" w14:textId="77777777" w:rsidR="00286356" w:rsidRPr="007D770B" w:rsidRDefault="00286356" w:rsidP="00E00046">
      <w:pPr>
        <w:spacing w:before="240"/>
        <w:ind w:left="0"/>
        <w:rPr>
          <w:rFonts w:ascii="Times New Roman" w:hAnsi="Times New Roman"/>
          <w:b/>
          <w:i/>
          <w:lang w:val="en-US"/>
        </w:rPr>
      </w:pPr>
      <w:r w:rsidRPr="007D770B">
        <w:rPr>
          <w:rFonts w:ascii="Times New Roman" w:hAnsi="Times New Roman"/>
          <w:b/>
          <w:i/>
          <w:lang w:val="en-US"/>
        </w:rPr>
        <w:t xml:space="preserve">Reliability of the assessment </w:t>
      </w:r>
    </w:p>
    <w:p w14:paraId="11BB4D6C" w14:textId="77777777" w:rsidR="00286356" w:rsidRPr="007D770B" w:rsidRDefault="00286356" w:rsidP="00E00046">
      <w:pPr>
        <w:spacing w:before="240"/>
        <w:ind w:left="0"/>
        <w:rPr>
          <w:rFonts w:ascii="Times New Roman" w:hAnsi="Times New Roman"/>
          <w:lang w:val="en-US"/>
        </w:rPr>
      </w:pPr>
      <w:r w:rsidRPr="007D770B">
        <w:rPr>
          <w:rFonts w:ascii="Times New Roman" w:hAnsi="Times New Roman"/>
          <w:lang w:val="en-US"/>
        </w:rPr>
        <w:t xml:space="preserve">The second recognition criterion assumes that the item has a value that can be calculated with a reasonable degree of reliability. The cost (or value) of an item can be determined by estimation, which does not detract from its reliability. If the item cannot be measured, it is not recognized in the statement of financial position (or statement of comprehensive income). </w:t>
      </w:r>
    </w:p>
    <w:p w14:paraId="5995EAEB" w14:textId="77777777" w:rsidR="00286356" w:rsidRPr="007D770B" w:rsidRDefault="00286356" w:rsidP="00E00046">
      <w:pPr>
        <w:spacing w:before="240"/>
        <w:ind w:left="0"/>
        <w:rPr>
          <w:rFonts w:ascii="Times New Roman" w:hAnsi="Times New Roman"/>
          <w:lang w:val="en-US"/>
        </w:rPr>
      </w:pPr>
      <w:r w:rsidRPr="007D770B">
        <w:rPr>
          <w:rFonts w:ascii="Times New Roman" w:hAnsi="Times New Roman"/>
          <w:lang w:val="en-US"/>
        </w:rPr>
        <w:t>For example, the estimated proceeds from a court judgment may meet the definition of both an asset and income and meet the criterion of probability established for recognition purposes. However, if the amount of the claim cannot be determined at the time of reporting, it should not be recognized as either an asset or income; the claim should be disclosed in the notes to the financial statements.</w:t>
      </w:r>
    </w:p>
    <w:p w14:paraId="67622C89" w14:textId="77777777" w:rsidR="00286356" w:rsidRPr="007D770B" w:rsidRDefault="00286356" w:rsidP="00E00046">
      <w:pPr>
        <w:spacing w:before="240"/>
        <w:ind w:left="0"/>
        <w:rPr>
          <w:rFonts w:ascii="Times New Roman" w:hAnsi="Times New Roman"/>
          <w:lang w:val="en-US"/>
        </w:rPr>
      </w:pPr>
      <w:r w:rsidRPr="007D770B">
        <w:rPr>
          <w:rFonts w:ascii="Times New Roman" w:hAnsi="Times New Roman"/>
          <w:lang w:val="en-US"/>
        </w:rPr>
        <w:t xml:space="preserve">An article that initially does not meet the criteria may, as a result of subsequent events, become eligible for recognition. </w:t>
      </w:r>
    </w:p>
    <w:p w14:paraId="3C536494" w14:textId="77777777" w:rsidR="00286356" w:rsidRPr="007D770B" w:rsidRDefault="00286356" w:rsidP="00E00046">
      <w:pPr>
        <w:spacing w:before="240"/>
        <w:ind w:left="0"/>
        <w:rPr>
          <w:rFonts w:ascii="Times New Roman" w:hAnsi="Times New Roman"/>
          <w:lang w:val="en-US"/>
        </w:rPr>
      </w:pPr>
      <w:r w:rsidRPr="007D770B">
        <w:rPr>
          <w:rFonts w:ascii="Times New Roman" w:hAnsi="Times New Roman"/>
          <w:lang w:val="en-US"/>
        </w:rPr>
        <w:t>An item that has the characteristics of an element but does not meet the recognition criteria may be disclosed in the notes. This is appropriate when the disclosure of the item is useful in assessing the Bank's financial position, performance and changes in financial position.</w:t>
      </w:r>
    </w:p>
    <w:p w14:paraId="66464F50" w14:textId="77777777" w:rsidR="00286356" w:rsidRPr="007D770B" w:rsidRDefault="00286356" w:rsidP="00E00046">
      <w:pPr>
        <w:spacing w:before="240"/>
        <w:ind w:left="0"/>
        <w:rPr>
          <w:rFonts w:ascii="Times New Roman" w:hAnsi="Times New Roman"/>
          <w:b/>
          <w:i/>
          <w:lang w:val="en-US"/>
        </w:rPr>
      </w:pPr>
      <w:r w:rsidRPr="007D770B">
        <w:rPr>
          <w:rFonts w:ascii="Times New Roman" w:hAnsi="Times New Roman"/>
          <w:b/>
          <w:i/>
          <w:lang w:val="en-US"/>
        </w:rPr>
        <w:t>Asset recognition</w:t>
      </w:r>
    </w:p>
    <w:p w14:paraId="325DB031" w14:textId="77777777" w:rsidR="00286356" w:rsidRPr="007D770B" w:rsidRDefault="00286356" w:rsidP="00E00046">
      <w:pPr>
        <w:spacing w:before="240"/>
        <w:ind w:left="0"/>
        <w:rPr>
          <w:rFonts w:ascii="Times New Roman" w:hAnsi="Times New Roman"/>
          <w:lang w:val="en-US"/>
        </w:rPr>
      </w:pPr>
      <w:r w:rsidRPr="007D770B">
        <w:rPr>
          <w:rFonts w:ascii="Times New Roman" w:hAnsi="Times New Roman"/>
          <w:lang w:val="en-US"/>
        </w:rPr>
        <w:t xml:space="preserve">An asset is recognized when it is probable that the economic benefits will flow to the Bank and the asset has a cost (or value) that can be measured reliably. </w:t>
      </w:r>
    </w:p>
    <w:p w14:paraId="4F3D1281" w14:textId="7F1F6F0D" w:rsidR="00286356" w:rsidRPr="007D770B" w:rsidRDefault="00286356" w:rsidP="00E00046">
      <w:pPr>
        <w:spacing w:before="240"/>
        <w:ind w:left="0"/>
        <w:rPr>
          <w:rFonts w:ascii="Times New Roman" w:hAnsi="Times New Roman"/>
          <w:lang w:val="en-US"/>
        </w:rPr>
      </w:pPr>
      <w:r w:rsidRPr="007D770B">
        <w:rPr>
          <w:rFonts w:ascii="Times New Roman" w:hAnsi="Times New Roman"/>
          <w:lang w:val="en-US"/>
        </w:rPr>
        <w:t xml:space="preserve">An asset is not recognized when costs are incurred but it is unlikely that the economic </w:t>
      </w:r>
      <w:r w:rsidR="003A3F3F" w:rsidRPr="007D770B">
        <w:rPr>
          <w:rFonts w:ascii="Times New Roman" w:hAnsi="Times New Roman"/>
          <w:lang w:val="en-US"/>
        </w:rPr>
        <w:t xml:space="preserve">benefits associated with the </w:t>
      </w:r>
      <w:r w:rsidRPr="007D770B">
        <w:rPr>
          <w:rFonts w:ascii="Times New Roman" w:hAnsi="Times New Roman"/>
          <w:lang w:val="en-US"/>
        </w:rPr>
        <w:t>expenditure will flow to the Group in the current reporting period. This results in the recognition of an expense in the statement of comprehensive income.</w:t>
      </w:r>
    </w:p>
    <w:p w14:paraId="74FBBC5F" w14:textId="77777777" w:rsidR="00286356" w:rsidRPr="007D770B" w:rsidRDefault="00286356" w:rsidP="00E00046">
      <w:pPr>
        <w:spacing w:before="240"/>
        <w:ind w:left="0"/>
        <w:rPr>
          <w:rFonts w:ascii="Times New Roman" w:hAnsi="Times New Roman"/>
          <w:b/>
          <w:i/>
          <w:lang w:val="en-US"/>
        </w:rPr>
      </w:pPr>
      <w:r w:rsidRPr="007D770B">
        <w:rPr>
          <w:rFonts w:ascii="Times New Roman" w:hAnsi="Times New Roman"/>
          <w:b/>
          <w:i/>
          <w:lang w:val="en-US"/>
        </w:rPr>
        <w:t>Recognition of liabilities</w:t>
      </w:r>
    </w:p>
    <w:p w14:paraId="78767CB9" w14:textId="77777777" w:rsidR="00286356" w:rsidRPr="007D770B" w:rsidRDefault="00286356" w:rsidP="00E00046">
      <w:pPr>
        <w:spacing w:before="240"/>
        <w:ind w:left="0"/>
        <w:rPr>
          <w:rFonts w:ascii="Times New Roman" w:hAnsi="Times New Roman"/>
          <w:lang w:val="en-US"/>
        </w:rPr>
      </w:pPr>
      <w:r w:rsidRPr="007D770B">
        <w:rPr>
          <w:rFonts w:ascii="Times New Roman" w:hAnsi="Times New Roman"/>
          <w:lang w:val="en-US"/>
        </w:rPr>
        <w:t>A liability is recognized when it is probable that an outflow of resources will be required to settle the obligation and the amount of the outflow can be reliably estimated.</w:t>
      </w:r>
    </w:p>
    <w:p w14:paraId="749BBAEB" w14:textId="77777777" w:rsidR="00286356" w:rsidRPr="007D770B" w:rsidRDefault="00286356" w:rsidP="00E43CD5">
      <w:pPr>
        <w:spacing w:before="240"/>
        <w:ind w:left="0"/>
        <w:rPr>
          <w:rFonts w:ascii="Times New Roman" w:hAnsi="Times New Roman"/>
          <w:b/>
          <w:i/>
          <w:lang w:val="en-US"/>
        </w:rPr>
      </w:pPr>
      <w:r w:rsidRPr="007D770B">
        <w:rPr>
          <w:rFonts w:ascii="Times New Roman" w:hAnsi="Times New Roman"/>
          <w:b/>
          <w:i/>
          <w:lang w:val="en-US"/>
        </w:rPr>
        <w:t>Revenue recognition</w:t>
      </w:r>
    </w:p>
    <w:p w14:paraId="155EB100" w14:textId="77777777" w:rsidR="00286356" w:rsidRPr="007D770B" w:rsidRDefault="00286356" w:rsidP="00E43CD5">
      <w:pPr>
        <w:spacing w:before="240"/>
        <w:ind w:left="0"/>
        <w:rPr>
          <w:rFonts w:ascii="Times New Roman" w:hAnsi="Times New Roman"/>
          <w:lang w:val="en-US"/>
        </w:rPr>
      </w:pPr>
      <w:r w:rsidRPr="007D770B">
        <w:rPr>
          <w:rFonts w:ascii="Times New Roman" w:hAnsi="Times New Roman"/>
          <w:lang w:val="en-US"/>
        </w:rPr>
        <w:t xml:space="preserve">Revenue is recognized when there is an increase in economic benefits in the form of an increase in an asset (or decrease in a liability) and the amount of the increase can be measured reliably. </w:t>
      </w:r>
    </w:p>
    <w:p w14:paraId="6CB90891" w14:textId="77777777" w:rsidR="00286356" w:rsidRPr="007D770B" w:rsidRDefault="00286356" w:rsidP="00E43CD5">
      <w:pPr>
        <w:spacing w:before="240"/>
        <w:ind w:left="0"/>
        <w:rPr>
          <w:rFonts w:ascii="Times New Roman" w:hAnsi="Times New Roman"/>
          <w:lang w:val="en-US"/>
        </w:rPr>
      </w:pPr>
      <w:r w:rsidRPr="007D770B">
        <w:rPr>
          <w:rFonts w:ascii="Times New Roman" w:hAnsi="Times New Roman"/>
          <w:lang w:val="en-US"/>
        </w:rPr>
        <w:t xml:space="preserve">Revenue recognition occurs simultaneously with the recognition of an increase in assets (or decrease in liabilities). Examples include: a net increase in assets arising from the sale of goods (or services) or a decrease in liabilities as a result of a debt waiver. </w:t>
      </w:r>
    </w:p>
    <w:p w14:paraId="118A8C07" w14:textId="77777777" w:rsidR="00286356" w:rsidRPr="007D770B" w:rsidRDefault="00286356" w:rsidP="00E43CD5">
      <w:pPr>
        <w:spacing w:before="240"/>
        <w:ind w:left="0"/>
        <w:rPr>
          <w:rFonts w:ascii="Times New Roman" w:hAnsi="Times New Roman"/>
          <w:lang w:val="en-US"/>
        </w:rPr>
      </w:pPr>
      <w:r w:rsidRPr="007D770B">
        <w:rPr>
          <w:rFonts w:ascii="Times New Roman" w:hAnsi="Times New Roman"/>
          <w:lang w:val="en-US"/>
        </w:rPr>
        <w:t>Revenue recognition is limited to those that can be measured reliably and are characterized by a reasonable degree of certainty.</w:t>
      </w:r>
    </w:p>
    <w:p w14:paraId="0B2AAB02" w14:textId="77777777" w:rsidR="00286356" w:rsidRPr="007D770B" w:rsidRDefault="00286356" w:rsidP="00E43CD5">
      <w:pPr>
        <w:spacing w:before="240"/>
        <w:ind w:left="0"/>
        <w:rPr>
          <w:rFonts w:ascii="Times New Roman" w:hAnsi="Times New Roman"/>
          <w:b/>
          <w:i/>
          <w:lang w:val="en-US"/>
        </w:rPr>
      </w:pPr>
      <w:r w:rsidRPr="007D770B">
        <w:rPr>
          <w:rFonts w:ascii="Times New Roman" w:hAnsi="Times New Roman"/>
          <w:b/>
          <w:i/>
          <w:lang w:val="en-US"/>
        </w:rPr>
        <w:t>Recognition of expenses</w:t>
      </w:r>
    </w:p>
    <w:p w14:paraId="7EEF239F" w14:textId="77777777" w:rsidR="00286356" w:rsidRPr="007D770B" w:rsidRDefault="00286356" w:rsidP="00E43CD5">
      <w:pPr>
        <w:spacing w:before="240"/>
        <w:ind w:left="0"/>
        <w:rPr>
          <w:rFonts w:ascii="Times New Roman" w:hAnsi="Times New Roman"/>
          <w:lang w:val="en-US"/>
        </w:rPr>
      </w:pPr>
      <w:r w:rsidRPr="007D770B">
        <w:rPr>
          <w:rFonts w:ascii="Times New Roman" w:hAnsi="Times New Roman"/>
          <w:lang w:val="en-US"/>
        </w:rPr>
        <w:t xml:space="preserve">Expenses are recognized when there is a decrease in economic benefits (expressed as a decrease in an asset or an increase in a liability) and when the amount of the decrease can be measured reliably. </w:t>
      </w:r>
    </w:p>
    <w:p w14:paraId="373677EF" w14:textId="77777777" w:rsidR="00286356" w:rsidRPr="007D770B" w:rsidRDefault="00286356" w:rsidP="00E43CD5">
      <w:pPr>
        <w:spacing w:before="240"/>
        <w:ind w:left="0"/>
        <w:rPr>
          <w:rFonts w:ascii="Times New Roman" w:hAnsi="Times New Roman"/>
          <w:lang w:val="en-US"/>
        </w:rPr>
      </w:pPr>
      <w:r w:rsidRPr="007D770B">
        <w:rPr>
          <w:rFonts w:ascii="Times New Roman" w:hAnsi="Times New Roman"/>
          <w:lang w:val="en-US"/>
        </w:rPr>
        <w:t xml:space="preserve">The recognition of expenses occurs in conjunction with the recognition of an increase in liabilities or a decrease in assets (e.g., an increase in liabilities when payroll is charged or a decrease in assets when equipment is depreciated). </w:t>
      </w:r>
    </w:p>
    <w:p w14:paraId="3FA3D854" w14:textId="77777777" w:rsidR="00286356" w:rsidRPr="007D770B" w:rsidRDefault="00286356" w:rsidP="00E43CD5">
      <w:pPr>
        <w:spacing w:before="240"/>
        <w:ind w:left="0"/>
        <w:rPr>
          <w:rFonts w:ascii="Times New Roman" w:hAnsi="Times New Roman"/>
          <w:lang w:val="en-US"/>
        </w:rPr>
      </w:pPr>
      <w:r w:rsidRPr="007D770B">
        <w:rPr>
          <w:rFonts w:ascii="Times New Roman" w:hAnsi="Times New Roman"/>
          <w:lang w:val="en-US"/>
        </w:rPr>
        <w:t>Expenses are recognized based on the direct linkage of costs incurred and revenues earned. This linkage is consistent with the matching of costs and revenues, which implies simultaneous recognition of revenues and expenses that are the direct joint result of the same transactions.</w:t>
      </w:r>
    </w:p>
    <w:p w14:paraId="0BAED374" w14:textId="77777777" w:rsidR="00286356" w:rsidRPr="007D770B" w:rsidRDefault="00286356" w:rsidP="00E43CD5">
      <w:pPr>
        <w:spacing w:before="240"/>
        <w:ind w:left="0"/>
        <w:rPr>
          <w:rFonts w:ascii="Times New Roman" w:hAnsi="Times New Roman"/>
          <w:lang w:val="en-US"/>
        </w:rPr>
      </w:pPr>
      <w:r w:rsidRPr="007D770B">
        <w:rPr>
          <w:rFonts w:ascii="Times New Roman" w:hAnsi="Times New Roman"/>
          <w:lang w:val="en-US"/>
        </w:rPr>
        <w:t>The various components of expenses are recognized at the same point in time as income received from the sale of goods (work, services). The application of the matching principle does not permit the recognition of items in the statement of financial position that do not meet the definition of assets or liabilities.</w:t>
      </w:r>
    </w:p>
    <w:p w14:paraId="4CF2C0D0" w14:textId="77777777" w:rsidR="00286356" w:rsidRPr="007D770B" w:rsidRDefault="00286356" w:rsidP="00E43CD5">
      <w:pPr>
        <w:spacing w:before="240"/>
        <w:ind w:left="0"/>
        <w:rPr>
          <w:rFonts w:ascii="Times New Roman" w:hAnsi="Times New Roman"/>
          <w:lang w:val="en-US"/>
        </w:rPr>
      </w:pPr>
      <w:r w:rsidRPr="007D770B">
        <w:rPr>
          <w:rFonts w:ascii="Times New Roman" w:hAnsi="Times New Roman"/>
          <w:lang w:val="en-US"/>
        </w:rPr>
        <w:lastRenderedPageBreak/>
        <w:t>When economic benefits arise over several reporting periods and the relationship between income and expenses can be determined only broadly, expenses are recognized in the statement of comprehensive income according to their systematic (and proportional) allocation to the reporting periods. This approach is applied when accounting for expenses associated with the use of assets such as property, plant and equipment and intangible assets with a finite useful life. Such expenses are called depreciation expenses. The pattern of allocation of depreciation expense (depreciation charge) corresponds to the pattern of obtaining economic benefits from the use of the asset.</w:t>
      </w:r>
    </w:p>
    <w:p w14:paraId="17DBC3D5" w14:textId="77777777" w:rsidR="00286356" w:rsidRPr="007D770B" w:rsidRDefault="00286356" w:rsidP="00E43CD5">
      <w:pPr>
        <w:spacing w:before="240"/>
        <w:ind w:left="0"/>
        <w:rPr>
          <w:rFonts w:ascii="Times New Roman" w:hAnsi="Times New Roman"/>
          <w:lang w:val="en-US"/>
        </w:rPr>
      </w:pPr>
      <w:r w:rsidRPr="007D770B">
        <w:rPr>
          <w:rFonts w:ascii="Times New Roman" w:hAnsi="Times New Roman"/>
          <w:lang w:val="en-US"/>
        </w:rPr>
        <w:t>Costs that do not result in an inflow of economic benefits are recognized in the statement of comprehensive income immediately.</w:t>
      </w:r>
    </w:p>
    <w:p w14:paraId="64F474CE" w14:textId="77777777" w:rsidR="00286356" w:rsidRPr="007D770B" w:rsidRDefault="00286356" w:rsidP="00E43CD5">
      <w:pPr>
        <w:spacing w:before="240"/>
        <w:ind w:left="0"/>
        <w:rPr>
          <w:rFonts w:ascii="Times New Roman" w:hAnsi="Times New Roman"/>
          <w:lang w:val="en-US"/>
        </w:rPr>
      </w:pPr>
      <w:r w:rsidRPr="007D770B">
        <w:rPr>
          <w:rFonts w:ascii="Times New Roman" w:hAnsi="Times New Roman"/>
          <w:lang w:val="en-US"/>
        </w:rPr>
        <w:t>An expense is also recognized when a liability is incurred without recognizing an asset.</w:t>
      </w:r>
    </w:p>
    <w:p w14:paraId="1131E60B" w14:textId="242F7AE0" w:rsidR="00286356" w:rsidRPr="007D770B" w:rsidRDefault="00286356" w:rsidP="00E61D21">
      <w:pPr>
        <w:pStyle w:val="3"/>
        <w:rPr>
          <w:lang w:val="en-US"/>
        </w:rPr>
      </w:pPr>
      <w:bookmarkStart w:id="28" w:name="_Toc270435402"/>
      <w:bookmarkStart w:id="29" w:name="_Toc273020249"/>
      <w:bookmarkStart w:id="30" w:name="_Toc278120854"/>
      <w:bookmarkStart w:id="31" w:name="_Toc168502008"/>
      <w:r w:rsidRPr="007D770B">
        <w:rPr>
          <w:lang w:val="en-US"/>
        </w:rPr>
        <w:t>1.6 Functional and presentation currency</w:t>
      </w:r>
      <w:bookmarkEnd w:id="28"/>
      <w:bookmarkEnd w:id="29"/>
      <w:bookmarkEnd w:id="30"/>
      <w:bookmarkEnd w:id="31"/>
    </w:p>
    <w:p w14:paraId="4252FA5B" w14:textId="7F227049" w:rsidR="00286356" w:rsidRPr="007D770B" w:rsidRDefault="00286356" w:rsidP="00286356">
      <w:pPr>
        <w:pStyle w:val="aff5"/>
        <w:spacing w:before="240" w:line="240" w:lineRule="auto"/>
        <w:ind w:left="0"/>
        <w:rPr>
          <w:rFonts w:ascii="Times New Roman" w:hAnsi="Times New Roman"/>
          <w:bCs/>
          <w:lang w:val="en-US"/>
        </w:rPr>
      </w:pPr>
      <w:r w:rsidRPr="007D770B">
        <w:rPr>
          <w:rFonts w:ascii="Times New Roman" w:eastAsia="Calibri" w:hAnsi="Times New Roman"/>
          <w:bCs/>
          <w:lang w:val="en-US"/>
        </w:rPr>
        <w:t xml:space="preserve">In </w:t>
      </w:r>
      <w:r w:rsidRPr="007D770B">
        <w:rPr>
          <w:rFonts w:ascii="Times New Roman" w:hAnsi="Times New Roman"/>
          <w:bCs/>
          <w:lang w:val="en-US"/>
        </w:rPr>
        <w:t xml:space="preserve">accordance with </w:t>
      </w:r>
      <w:r w:rsidRPr="007D770B">
        <w:rPr>
          <w:rFonts w:ascii="Times New Roman" w:eastAsia="Calibri" w:hAnsi="Times New Roman"/>
          <w:bCs/>
          <w:lang w:val="en-US"/>
        </w:rPr>
        <w:t>Chapter 3</w:t>
      </w:r>
      <w:r w:rsidR="00802136" w:rsidRPr="007D770B">
        <w:rPr>
          <w:rFonts w:ascii="Times New Roman" w:eastAsia="Calibri" w:hAnsi="Times New Roman"/>
          <w:bCs/>
          <w:lang w:val="en-US"/>
        </w:rPr>
        <w:t>,</w:t>
      </w:r>
      <w:r w:rsidRPr="007D770B">
        <w:rPr>
          <w:rFonts w:ascii="Times New Roman" w:eastAsia="Calibri" w:hAnsi="Times New Roman"/>
          <w:bCs/>
          <w:lang w:val="en-US"/>
        </w:rPr>
        <w:t xml:space="preserve"> Section 1, The Effects of Changes in Foreign Exchange Rates (IAS 21)</w:t>
      </w:r>
      <w:r w:rsidR="00802136" w:rsidRPr="007D770B">
        <w:rPr>
          <w:rFonts w:ascii="Times New Roman" w:eastAsia="Calibri" w:hAnsi="Times New Roman"/>
          <w:bCs/>
          <w:lang w:val="en-US"/>
        </w:rPr>
        <w:t xml:space="preserve">, </w:t>
      </w:r>
      <w:r w:rsidRPr="007D770B">
        <w:rPr>
          <w:rFonts w:ascii="Times New Roman" w:hAnsi="Times New Roman"/>
          <w:bCs/>
          <w:lang w:val="en-US"/>
        </w:rPr>
        <w:t xml:space="preserve">the Bank maintains </w:t>
      </w:r>
      <w:r w:rsidR="003A3F3F" w:rsidRPr="007D770B">
        <w:rPr>
          <w:rFonts w:ascii="Times New Roman" w:hAnsi="Times New Roman"/>
          <w:bCs/>
          <w:lang w:val="en-US"/>
        </w:rPr>
        <w:t xml:space="preserve">its accounting records in its </w:t>
      </w:r>
      <w:r w:rsidRPr="007D770B">
        <w:rPr>
          <w:rFonts w:ascii="Times New Roman" w:hAnsi="Times New Roman"/>
          <w:bCs/>
          <w:lang w:val="en-US"/>
        </w:rPr>
        <w:t xml:space="preserve">functional currency. The functional currency of </w:t>
      </w:r>
      <w:r w:rsidRPr="007D770B">
        <w:rPr>
          <w:rFonts w:ascii="Times New Roman" w:hAnsi="Times New Roman"/>
          <w:lang w:val="en-US"/>
        </w:rPr>
        <w:t xml:space="preserve">the Bank </w:t>
      </w:r>
      <w:r w:rsidRPr="007D770B">
        <w:rPr>
          <w:rFonts w:ascii="Times New Roman" w:hAnsi="Times New Roman"/>
          <w:bCs/>
          <w:lang w:val="en-US"/>
        </w:rPr>
        <w:t xml:space="preserve">is the currency of the primary economic environment in which it operates. In determining its functional currency, the </w:t>
      </w:r>
      <w:r w:rsidRPr="007D770B">
        <w:rPr>
          <w:rFonts w:ascii="Times New Roman" w:hAnsi="Times New Roman"/>
          <w:lang w:val="en-US"/>
        </w:rPr>
        <w:t xml:space="preserve">Bank </w:t>
      </w:r>
      <w:r w:rsidRPr="007D770B">
        <w:rPr>
          <w:rFonts w:ascii="Times New Roman" w:hAnsi="Times New Roman"/>
          <w:bCs/>
          <w:lang w:val="en-US"/>
        </w:rPr>
        <w:t>considers the following primary indicators:</w:t>
      </w:r>
    </w:p>
    <w:p w14:paraId="045B3E0B" w14:textId="77777777" w:rsidR="00286356" w:rsidRPr="007D770B" w:rsidRDefault="00286356" w:rsidP="00AE698A">
      <w:pPr>
        <w:pStyle w:val="aff5"/>
        <w:numPr>
          <w:ilvl w:val="0"/>
          <w:numId w:val="167"/>
        </w:numPr>
        <w:tabs>
          <w:tab w:val="clear" w:pos="3345"/>
        </w:tabs>
        <w:spacing w:before="240" w:line="240" w:lineRule="auto"/>
        <w:rPr>
          <w:rFonts w:ascii="Times New Roman" w:hAnsi="Times New Roman"/>
          <w:bCs/>
          <w:iCs/>
          <w:lang w:val="en-US"/>
        </w:rPr>
      </w:pPr>
      <w:r w:rsidRPr="007D770B">
        <w:rPr>
          <w:rFonts w:ascii="Times New Roman" w:hAnsi="Times New Roman"/>
          <w:bCs/>
          <w:iCs/>
          <w:lang w:val="en-US"/>
        </w:rPr>
        <w:t>currency, which mainly affects the pricing of services rendered;</w:t>
      </w:r>
    </w:p>
    <w:p w14:paraId="3B67DC53" w14:textId="77777777" w:rsidR="00286356" w:rsidRPr="007D770B" w:rsidRDefault="00286356" w:rsidP="00AE698A">
      <w:pPr>
        <w:pStyle w:val="aff5"/>
        <w:numPr>
          <w:ilvl w:val="0"/>
          <w:numId w:val="167"/>
        </w:numPr>
        <w:tabs>
          <w:tab w:val="clear" w:pos="3345"/>
        </w:tabs>
        <w:spacing w:before="240" w:line="240" w:lineRule="auto"/>
        <w:rPr>
          <w:rFonts w:ascii="Times New Roman" w:hAnsi="Times New Roman"/>
          <w:bCs/>
          <w:iCs/>
          <w:lang w:val="en-US"/>
        </w:rPr>
      </w:pPr>
      <w:r w:rsidRPr="007D770B">
        <w:rPr>
          <w:rFonts w:ascii="Times New Roman" w:hAnsi="Times New Roman"/>
          <w:bCs/>
          <w:iCs/>
          <w:lang w:val="en-US"/>
        </w:rPr>
        <w:t>the currency of the country whose legislation and market conditions are determinant in the formation of prices for goods and services;</w:t>
      </w:r>
    </w:p>
    <w:p w14:paraId="1A7C3C10" w14:textId="77777777" w:rsidR="00286356" w:rsidRPr="007D770B" w:rsidRDefault="00286356" w:rsidP="00AE698A">
      <w:pPr>
        <w:pStyle w:val="aff5"/>
        <w:numPr>
          <w:ilvl w:val="0"/>
          <w:numId w:val="167"/>
        </w:numPr>
        <w:tabs>
          <w:tab w:val="clear" w:pos="3345"/>
        </w:tabs>
        <w:spacing w:before="240" w:line="240" w:lineRule="auto"/>
        <w:rPr>
          <w:rFonts w:ascii="Times New Roman" w:hAnsi="Times New Roman"/>
          <w:bCs/>
          <w:iCs/>
          <w:lang w:val="en-US"/>
        </w:rPr>
      </w:pPr>
      <w:r w:rsidRPr="007D770B">
        <w:rPr>
          <w:rFonts w:ascii="Times New Roman" w:hAnsi="Times New Roman"/>
          <w:bCs/>
          <w:iCs/>
          <w:lang w:val="en-US"/>
        </w:rPr>
        <w:t>currency, which mainly affects the amount of labor, materials and other components of the cost of services rendered.</w:t>
      </w:r>
    </w:p>
    <w:p w14:paraId="2B18F879" w14:textId="77777777" w:rsidR="00286356" w:rsidRPr="007D770B" w:rsidRDefault="00286356" w:rsidP="00286356">
      <w:pPr>
        <w:pStyle w:val="aff5"/>
        <w:spacing w:before="240" w:line="240" w:lineRule="auto"/>
        <w:ind w:left="0"/>
        <w:rPr>
          <w:rFonts w:ascii="Times New Roman" w:hAnsi="Times New Roman"/>
          <w:bCs/>
          <w:iCs/>
          <w:lang w:val="en-US"/>
        </w:rPr>
      </w:pPr>
      <w:r w:rsidRPr="007D770B">
        <w:rPr>
          <w:rFonts w:ascii="Times New Roman" w:hAnsi="Times New Roman"/>
          <w:bCs/>
          <w:iCs/>
          <w:lang w:val="en-US"/>
        </w:rPr>
        <w:t>The following indicators should also be considered to determine the functional currency:</w:t>
      </w:r>
    </w:p>
    <w:p w14:paraId="7800F872" w14:textId="77777777" w:rsidR="00286356" w:rsidRPr="007D770B" w:rsidRDefault="00286356" w:rsidP="00AE698A">
      <w:pPr>
        <w:pStyle w:val="aff5"/>
        <w:numPr>
          <w:ilvl w:val="0"/>
          <w:numId w:val="168"/>
        </w:numPr>
        <w:tabs>
          <w:tab w:val="clear" w:pos="3345"/>
        </w:tabs>
        <w:spacing w:before="240" w:line="240" w:lineRule="auto"/>
        <w:rPr>
          <w:rFonts w:ascii="Times New Roman" w:hAnsi="Times New Roman"/>
          <w:bCs/>
          <w:iCs/>
          <w:lang w:val="en-US"/>
        </w:rPr>
      </w:pPr>
      <w:r w:rsidRPr="007D770B">
        <w:rPr>
          <w:rFonts w:ascii="Times New Roman" w:hAnsi="Times New Roman"/>
          <w:bCs/>
          <w:iCs/>
          <w:lang w:val="en-US"/>
        </w:rPr>
        <w:t>currency in which cash flows from financing activities are generated (issuance of debt and equity instruments - shares, loans, bonds);</w:t>
      </w:r>
    </w:p>
    <w:p w14:paraId="584819FC" w14:textId="77777777" w:rsidR="00286356" w:rsidRPr="007D770B" w:rsidRDefault="00286356" w:rsidP="00AE698A">
      <w:pPr>
        <w:pStyle w:val="aff5"/>
        <w:numPr>
          <w:ilvl w:val="0"/>
          <w:numId w:val="168"/>
        </w:numPr>
        <w:tabs>
          <w:tab w:val="clear" w:pos="3345"/>
        </w:tabs>
        <w:spacing w:before="240" w:line="240" w:lineRule="auto"/>
        <w:rPr>
          <w:rFonts w:ascii="Times New Roman" w:hAnsi="Times New Roman"/>
          <w:bCs/>
          <w:iCs/>
          <w:lang w:val="en-US"/>
        </w:rPr>
      </w:pPr>
      <w:r w:rsidRPr="007D770B">
        <w:rPr>
          <w:rFonts w:ascii="Times New Roman" w:hAnsi="Times New Roman"/>
          <w:bCs/>
          <w:iCs/>
          <w:lang w:val="en-US"/>
        </w:rPr>
        <w:t>the currency in which cash flows from operating activities are accumulated.</w:t>
      </w:r>
    </w:p>
    <w:p w14:paraId="6119BA07" w14:textId="77777777" w:rsidR="00286356" w:rsidRPr="007D770B" w:rsidRDefault="00286356" w:rsidP="00E43CD5">
      <w:pPr>
        <w:spacing w:before="240"/>
        <w:ind w:left="0"/>
        <w:rPr>
          <w:rFonts w:ascii="Times New Roman" w:eastAsia="Times New Roman" w:hAnsi="Times New Roman"/>
          <w:bCs/>
          <w:iCs/>
          <w:lang w:val="en-US"/>
        </w:rPr>
      </w:pPr>
      <w:r w:rsidRPr="007D770B">
        <w:rPr>
          <w:rFonts w:ascii="Times New Roman" w:eastAsia="Times New Roman" w:hAnsi="Times New Roman"/>
          <w:bCs/>
          <w:iCs/>
          <w:lang w:val="en-US"/>
        </w:rPr>
        <w:t>The functional currency of the Bank reflects the underlying transactions, events and conditions that are relevant to it. Accordingly, once determined, the functional currency cannot be substituted for another currency</w:t>
      </w:r>
      <w:r w:rsidR="00E43CD5" w:rsidRPr="007D770B">
        <w:rPr>
          <w:rFonts w:ascii="Times New Roman" w:eastAsia="Times New Roman" w:hAnsi="Times New Roman"/>
          <w:bCs/>
          <w:iCs/>
          <w:lang w:val="en-US"/>
        </w:rPr>
        <w:t>.</w:t>
      </w:r>
    </w:p>
    <w:p w14:paraId="33028472" w14:textId="0EFCC7A1" w:rsidR="00286356" w:rsidRPr="007D770B" w:rsidRDefault="00286356" w:rsidP="00286356">
      <w:pPr>
        <w:pStyle w:val="aff5"/>
        <w:spacing w:before="240" w:line="240" w:lineRule="auto"/>
        <w:ind w:left="0"/>
        <w:rPr>
          <w:rFonts w:ascii="Times New Roman" w:hAnsi="Times New Roman"/>
          <w:bCs/>
          <w:iCs/>
          <w:lang w:val="en-US"/>
        </w:rPr>
      </w:pPr>
      <w:r w:rsidRPr="007D770B">
        <w:rPr>
          <w:rFonts w:ascii="Times New Roman" w:hAnsi="Times New Roman"/>
          <w:bCs/>
          <w:iCs/>
          <w:lang w:val="en-US"/>
        </w:rPr>
        <w:t xml:space="preserve">Based on the above indicators, the </w:t>
      </w:r>
      <w:r w:rsidRPr="007D770B">
        <w:rPr>
          <w:rFonts w:ascii="Times New Roman" w:hAnsi="Times New Roman"/>
          <w:lang w:val="en-US"/>
        </w:rPr>
        <w:t xml:space="preserve">Bank </w:t>
      </w:r>
      <w:r w:rsidRPr="007D770B">
        <w:rPr>
          <w:rFonts w:ascii="Times New Roman" w:hAnsi="Times New Roman"/>
          <w:bCs/>
          <w:iCs/>
          <w:lang w:val="en-US"/>
        </w:rPr>
        <w:t>uses the Kazakhstani Tenge (</w:t>
      </w:r>
      <w:r w:rsidR="00802136" w:rsidRPr="007D770B">
        <w:rPr>
          <w:rFonts w:ascii="Times New Roman" w:hAnsi="Times New Roman"/>
          <w:bCs/>
          <w:iCs/>
          <w:lang w:val="en-US"/>
        </w:rPr>
        <w:t>"</w:t>
      </w:r>
      <w:r w:rsidRPr="007D770B">
        <w:rPr>
          <w:rFonts w:ascii="Times New Roman" w:hAnsi="Times New Roman"/>
          <w:bCs/>
          <w:iCs/>
          <w:lang w:val="en-US"/>
        </w:rPr>
        <w:t>KZT</w:t>
      </w:r>
      <w:r w:rsidR="00802136" w:rsidRPr="007D770B">
        <w:rPr>
          <w:rFonts w:ascii="Times New Roman" w:hAnsi="Times New Roman"/>
          <w:bCs/>
          <w:iCs/>
          <w:lang w:val="en-US"/>
        </w:rPr>
        <w:t xml:space="preserve">" </w:t>
      </w:r>
      <w:r w:rsidRPr="007D770B">
        <w:rPr>
          <w:rFonts w:ascii="Times New Roman" w:hAnsi="Times New Roman"/>
          <w:bCs/>
          <w:iCs/>
          <w:lang w:val="en-US"/>
        </w:rPr>
        <w:t xml:space="preserve">or </w:t>
      </w:r>
      <w:r w:rsidR="00802136" w:rsidRPr="007D770B">
        <w:rPr>
          <w:rFonts w:ascii="Times New Roman" w:hAnsi="Times New Roman"/>
          <w:bCs/>
          <w:iCs/>
          <w:lang w:val="en-US"/>
        </w:rPr>
        <w:t>"</w:t>
      </w:r>
      <w:r w:rsidRPr="007D770B">
        <w:rPr>
          <w:rFonts w:ascii="Times New Roman" w:hAnsi="Times New Roman"/>
          <w:bCs/>
          <w:iCs/>
          <w:lang w:val="en-US"/>
        </w:rPr>
        <w:t>KZT</w:t>
      </w:r>
      <w:r w:rsidR="00802136" w:rsidRPr="007D770B">
        <w:rPr>
          <w:rFonts w:ascii="Times New Roman" w:hAnsi="Times New Roman"/>
          <w:bCs/>
          <w:iCs/>
          <w:lang w:val="en-US"/>
        </w:rPr>
        <w:t>"</w:t>
      </w:r>
      <w:r w:rsidRPr="007D770B">
        <w:rPr>
          <w:rFonts w:ascii="Times New Roman" w:hAnsi="Times New Roman"/>
          <w:bCs/>
          <w:iCs/>
          <w:lang w:val="en-US"/>
        </w:rPr>
        <w:t>) as its functional currency, which most fairly reflects the economic effects of the transactions.</w:t>
      </w:r>
    </w:p>
    <w:p w14:paraId="029FE475" w14:textId="4E80B649" w:rsidR="00286356" w:rsidRPr="007D770B" w:rsidRDefault="00286356" w:rsidP="00286356">
      <w:pPr>
        <w:pStyle w:val="aff5"/>
        <w:spacing w:before="240" w:line="240" w:lineRule="auto"/>
        <w:ind w:left="0"/>
        <w:rPr>
          <w:rFonts w:ascii="Times New Roman" w:hAnsi="Times New Roman"/>
          <w:bCs/>
          <w:iCs/>
          <w:lang w:val="en-US"/>
        </w:rPr>
      </w:pPr>
      <w:r w:rsidRPr="007D770B">
        <w:rPr>
          <w:rFonts w:ascii="Times New Roman" w:hAnsi="Times New Roman"/>
          <w:bCs/>
          <w:iCs/>
          <w:lang w:val="en-US"/>
        </w:rPr>
        <w:t xml:space="preserve">Details of the functional and reporting currencies are provided in </w:t>
      </w:r>
      <w:r w:rsidRPr="007D770B">
        <w:rPr>
          <w:rFonts w:ascii="Times New Roman" w:eastAsia="Calibri" w:hAnsi="Times New Roman"/>
          <w:bCs/>
          <w:iCs/>
          <w:lang w:val="en-US"/>
        </w:rPr>
        <w:t xml:space="preserve">Section 1 </w:t>
      </w:r>
      <w:r w:rsidRPr="007D770B">
        <w:rPr>
          <w:rFonts w:ascii="Times New Roman" w:eastAsia="Calibri" w:hAnsi="Times New Roman"/>
          <w:bCs/>
          <w:iCs/>
          <w:lang w:val="en-US"/>
        </w:rPr>
        <w:br/>
      </w:r>
      <w:r w:rsidR="00802136" w:rsidRPr="007D770B">
        <w:rPr>
          <w:rFonts w:ascii="Times New Roman" w:eastAsia="Calibri" w:hAnsi="Times New Roman"/>
          <w:bCs/>
          <w:iCs/>
          <w:lang w:val="en-US"/>
        </w:rPr>
        <w:t>"</w:t>
      </w:r>
      <w:r w:rsidRPr="007D770B">
        <w:rPr>
          <w:rFonts w:ascii="Times New Roman" w:eastAsia="Calibri" w:hAnsi="Times New Roman"/>
          <w:bCs/>
          <w:iCs/>
          <w:lang w:val="en-US"/>
        </w:rPr>
        <w:t>Effects of Changes in Foreign Exchange Rates (IAS 21)</w:t>
      </w:r>
      <w:r w:rsidR="00802136" w:rsidRPr="007D770B">
        <w:rPr>
          <w:rFonts w:ascii="Times New Roman" w:eastAsia="Calibri" w:hAnsi="Times New Roman"/>
          <w:bCs/>
          <w:iCs/>
          <w:lang w:val="en-US"/>
        </w:rPr>
        <w:t xml:space="preserve">" </w:t>
      </w:r>
      <w:r w:rsidRPr="007D770B">
        <w:rPr>
          <w:rFonts w:ascii="Times New Roman" w:eastAsia="Calibri" w:hAnsi="Times New Roman"/>
          <w:bCs/>
          <w:iCs/>
          <w:lang w:val="en-US"/>
        </w:rPr>
        <w:t>in Chapter 3.</w:t>
      </w:r>
    </w:p>
    <w:p w14:paraId="4B0C0437" w14:textId="4C93E160" w:rsidR="00286356" w:rsidRPr="007D770B" w:rsidRDefault="00286356" w:rsidP="00E61D21">
      <w:pPr>
        <w:pStyle w:val="3"/>
        <w:rPr>
          <w:lang w:val="en-US"/>
        </w:rPr>
      </w:pPr>
      <w:bookmarkStart w:id="32" w:name="_Toc270435403"/>
      <w:bookmarkStart w:id="33" w:name="_Toc273020250"/>
      <w:bookmarkStart w:id="34" w:name="_Toc278120855"/>
      <w:bookmarkStart w:id="35" w:name="_Toc168502009"/>
      <w:r w:rsidRPr="007D770B">
        <w:rPr>
          <w:lang w:val="en-US"/>
        </w:rPr>
        <w:t xml:space="preserve">1.7 Interim financial statements </w:t>
      </w:r>
      <w:bookmarkEnd w:id="32"/>
      <w:bookmarkEnd w:id="33"/>
      <w:bookmarkEnd w:id="34"/>
      <w:bookmarkEnd w:id="35"/>
    </w:p>
    <w:p w14:paraId="270A962A" w14:textId="77777777" w:rsidR="00286356" w:rsidRPr="007D770B" w:rsidRDefault="00286356" w:rsidP="00E43CD5">
      <w:pPr>
        <w:spacing w:before="240"/>
        <w:ind w:left="0"/>
        <w:rPr>
          <w:rFonts w:ascii="Times New Roman" w:hAnsi="Times New Roman"/>
          <w:bCs/>
          <w:iCs/>
          <w:lang w:val="en-US"/>
        </w:rPr>
      </w:pPr>
      <w:r w:rsidRPr="007D770B">
        <w:rPr>
          <w:rFonts w:ascii="Times New Roman" w:hAnsi="Times New Roman"/>
          <w:bCs/>
          <w:iCs/>
          <w:lang w:val="en-US"/>
        </w:rPr>
        <w:t>This section of the Bank's accounting policies establishes:</w:t>
      </w:r>
    </w:p>
    <w:p w14:paraId="5C2F8E1E" w14:textId="77777777" w:rsidR="00286356" w:rsidRPr="007D770B" w:rsidRDefault="00286356" w:rsidP="00AE698A">
      <w:pPr>
        <w:pStyle w:val="aa"/>
        <w:numPr>
          <w:ilvl w:val="0"/>
          <w:numId w:val="169"/>
        </w:numPr>
        <w:spacing w:before="240" w:line="240" w:lineRule="auto"/>
        <w:contextualSpacing w:val="0"/>
        <w:rPr>
          <w:rFonts w:ascii="Times New Roman" w:hAnsi="Times New Roman"/>
          <w:lang w:val="en-US"/>
        </w:rPr>
      </w:pPr>
      <w:r w:rsidRPr="007D770B">
        <w:rPr>
          <w:rFonts w:ascii="Times New Roman" w:hAnsi="Times New Roman"/>
          <w:lang w:val="en-US"/>
        </w:rPr>
        <w:t>the minimum content of the interim financial statements, including disclosure requirements;</w:t>
      </w:r>
    </w:p>
    <w:p w14:paraId="276BEBF8" w14:textId="77777777" w:rsidR="00286356" w:rsidRPr="007D770B" w:rsidRDefault="00286356" w:rsidP="00AE698A">
      <w:pPr>
        <w:pStyle w:val="aa"/>
        <w:numPr>
          <w:ilvl w:val="0"/>
          <w:numId w:val="169"/>
        </w:numPr>
        <w:spacing w:before="240" w:line="240" w:lineRule="auto"/>
        <w:rPr>
          <w:rFonts w:ascii="Times New Roman" w:hAnsi="Times New Roman"/>
          <w:lang w:val="en-US"/>
        </w:rPr>
      </w:pPr>
      <w:r w:rsidRPr="007D770B">
        <w:rPr>
          <w:rFonts w:ascii="Times New Roman" w:hAnsi="Times New Roman"/>
          <w:lang w:val="en-US"/>
        </w:rPr>
        <w:t>accounting recognition and measurement principles to be applied in the interim financial statements.</w:t>
      </w:r>
    </w:p>
    <w:p w14:paraId="72483F1D" w14:textId="77777777" w:rsidR="00286356" w:rsidRPr="007D770B" w:rsidRDefault="00286356" w:rsidP="00E43CD5">
      <w:pPr>
        <w:spacing w:before="240"/>
        <w:ind w:left="0"/>
        <w:rPr>
          <w:rFonts w:ascii="Times New Roman" w:eastAsia="Times New Roman" w:hAnsi="Times New Roman"/>
          <w:bCs/>
          <w:iCs/>
          <w:lang w:val="en-US"/>
        </w:rPr>
      </w:pPr>
      <w:r w:rsidRPr="007D770B">
        <w:rPr>
          <w:rFonts w:ascii="Times New Roman" w:eastAsia="Times New Roman" w:hAnsi="Times New Roman"/>
          <w:bCs/>
          <w:iCs/>
          <w:lang w:val="en-US"/>
        </w:rPr>
        <w:t>This section applies if the Bank is required to publish, or elects to publish, interim financial statements in accordance with IFRS.</w:t>
      </w:r>
    </w:p>
    <w:p w14:paraId="58AA3A50" w14:textId="4CA54871" w:rsidR="00286356" w:rsidRPr="007D770B" w:rsidRDefault="00286356" w:rsidP="00E43CD5">
      <w:pPr>
        <w:spacing w:before="240"/>
        <w:ind w:left="0"/>
        <w:rPr>
          <w:rFonts w:ascii="Times New Roman" w:eastAsia="Times New Roman" w:hAnsi="Times New Roman"/>
          <w:bCs/>
          <w:iCs/>
          <w:lang w:val="en-US"/>
        </w:rPr>
      </w:pPr>
      <w:r w:rsidRPr="007D770B">
        <w:rPr>
          <w:rFonts w:ascii="Times New Roman" w:eastAsia="Times New Roman" w:hAnsi="Times New Roman"/>
          <w:bCs/>
          <w:iCs/>
          <w:lang w:val="en-US"/>
        </w:rPr>
        <w:t xml:space="preserve">During a calendar year, if </w:t>
      </w:r>
      <w:r w:rsidR="003A3F3F" w:rsidRPr="007D770B">
        <w:rPr>
          <w:rFonts w:ascii="Times New Roman" w:eastAsia="Times New Roman" w:hAnsi="Times New Roman"/>
          <w:bCs/>
          <w:iCs/>
          <w:lang w:val="en-US"/>
        </w:rPr>
        <w:t xml:space="preserve">interim financial </w:t>
      </w:r>
      <w:r w:rsidRPr="007D770B">
        <w:rPr>
          <w:rFonts w:ascii="Times New Roman" w:eastAsia="Times New Roman" w:hAnsi="Times New Roman"/>
          <w:bCs/>
          <w:iCs/>
          <w:lang w:val="en-US"/>
        </w:rPr>
        <w:t xml:space="preserve">statements are prepared, the Bank may prepare either a complete set of financial statements or a condensed set of financial statements prepared for the interim period. </w:t>
      </w:r>
    </w:p>
    <w:p w14:paraId="158BF5CB" w14:textId="77777777" w:rsidR="00286356" w:rsidRPr="007D770B" w:rsidRDefault="00286356" w:rsidP="00E43CD5">
      <w:pPr>
        <w:spacing w:before="240"/>
        <w:ind w:left="0"/>
        <w:rPr>
          <w:rFonts w:ascii="Times New Roman" w:eastAsia="Times New Roman" w:hAnsi="Times New Roman"/>
          <w:bCs/>
          <w:iCs/>
          <w:lang w:val="en-US"/>
        </w:rPr>
      </w:pPr>
      <w:r w:rsidRPr="007D770B">
        <w:rPr>
          <w:rFonts w:ascii="Times New Roman" w:eastAsia="Times New Roman" w:hAnsi="Times New Roman"/>
          <w:bCs/>
          <w:iCs/>
          <w:lang w:val="en-US"/>
        </w:rPr>
        <w:t>If the Bank prepares a condensed version of its financial statements, the condensed interim financial statements shall, at a minimum, include each heading and subtotal included in its most recent annual financial statements and selected explanatory notes described below. Additional items or notes shall be included if, in their absence, the condensed interim financial statements would be misleading to users.</w:t>
      </w:r>
    </w:p>
    <w:p w14:paraId="35612159" w14:textId="77777777" w:rsidR="00286356" w:rsidRPr="007D770B" w:rsidRDefault="00286356" w:rsidP="00E43CD5">
      <w:pPr>
        <w:spacing w:before="240"/>
        <w:ind w:left="0"/>
        <w:rPr>
          <w:rFonts w:ascii="Times New Roman" w:eastAsia="Times New Roman" w:hAnsi="Times New Roman"/>
          <w:bCs/>
          <w:iCs/>
          <w:lang w:val="en-US"/>
        </w:rPr>
      </w:pPr>
      <w:r w:rsidRPr="007D770B">
        <w:rPr>
          <w:rFonts w:ascii="Times New Roman" w:eastAsia="Times New Roman" w:hAnsi="Times New Roman"/>
          <w:bCs/>
          <w:iCs/>
          <w:lang w:val="en-US"/>
        </w:rPr>
        <w:lastRenderedPageBreak/>
        <w:t>The condensed version of the interim financial statements shall contain an indication that it is to be used only in conjunction with the full version of the financial statements for the previous reporting financial year. The Bank shall, if required, provide users of its interim financial statements together with the latest annual financial statements.</w:t>
      </w:r>
    </w:p>
    <w:p w14:paraId="6A491A70" w14:textId="77777777" w:rsidR="00286356" w:rsidRPr="007D770B" w:rsidRDefault="00286356" w:rsidP="00ED2323">
      <w:pPr>
        <w:spacing w:before="240"/>
        <w:ind w:left="0"/>
        <w:rPr>
          <w:rFonts w:ascii="Times New Roman" w:eastAsia="Times New Roman" w:hAnsi="Times New Roman"/>
          <w:bCs/>
          <w:iCs/>
          <w:lang w:val="en-US"/>
        </w:rPr>
      </w:pPr>
      <w:r w:rsidRPr="007D770B">
        <w:rPr>
          <w:rFonts w:ascii="Times New Roman" w:eastAsia="Times New Roman" w:hAnsi="Times New Roman"/>
          <w:bCs/>
          <w:iCs/>
          <w:lang w:val="en-US"/>
        </w:rPr>
        <w:t>An interim period is defined as a reporting period that is shorter than a full fiscal year.</w:t>
      </w:r>
    </w:p>
    <w:p w14:paraId="118822FE" w14:textId="4AACE2DF" w:rsidR="00286356" w:rsidRPr="007D770B" w:rsidRDefault="00286356" w:rsidP="00A86DB7">
      <w:pPr>
        <w:spacing w:before="240"/>
        <w:ind w:left="0"/>
        <w:rPr>
          <w:rFonts w:ascii="Times New Roman" w:eastAsia="Times New Roman" w:hAnsi="Times New Roman"/>
          <w:bCs/>
          <w:iCs/>
          <w:lang w:val="en-US"/>
        </w:rPr>
      </w:pPr>
      <w:r w:rsidRPr="007D770B">
        <w:rPr>
          <w:rFonts w:ascii="Times New Roman" w:eastAsia="Times New Roman" w:hAnsi="Times New Roman"/>
          <w:bCs/>
          <w:iCs/>
          <w:lang w:val="en-US"/>
        </w:rPr>
        <w:t xml:space="preserve">The </w:t>
      </w:r>
      <w:r w:rsidR="003A3F3F" w:rsidRPr="007D770B">
        <w:rPr>
          <w:rFonts w:ascii="Times New Roman" w:eastAsia="Times New Roman" w:hAnsi="Times New Roman"/>
          <w:bCs/>
          <w:iCs/>
          <w:lang w:val="en-US"/>
        </w:rPr>
        <w:t xml:space="preserve">condensed interim </w:t>
      </w:r>
      <w:r w:rsidRPr="007D770B">
        <w:rPr>
          <w:rFonts w:ascii="Times New Roman" w:eastAsia="Times New Roman" w:hAnsi="Times New Roman"/>
          <w:bCs/>
          <w:iCs/>
          <w:lang w:val="en-US"/>
        </w:rPr>
        <w:t>financial statements shall include, as a minimum, the following:</w:t>
      </w:r>
    </w:p>
    <w:p w14:paraId="2EB317C2" w14:textId="77777777" w:rsidR="00286356" w:rsidRPr="007D770B" w:rsidRDefault="00286356" w:rsidP="00AE698A">
      <w:pPr>
        <w:pStyle w:val="aa"/>
        <w:numPr>
          <w:ilvl w:val="0"/>
          <w:numId w:val="183"/>
        </w:numPr>
        <w:spacing w:before="240" w:line="240" w:lineRule="auto"/>
        <w:contextualSpacing w:val="0"/>
        <w:rPr>
          <w:rFonts w:ascii="Times New Roman" w:hAnsi="Times New Roman"/>
          <w:lang w:val="en-US"/>
        </w:rPr>
      </w:pPr>
      <w:r w:rsidRPr="007D770B">
        <w:rPr>
          <w:rFonts w:ascii="Times New Roman" w:hAnsi="Times New Roman"/>
          <w:lang w:val="en-US"/>
        </w:rPr>
        <w:t>Condensed statement of financial position - as at the end of the current interim period and comparative statement as at the end of the preceding financial period;</w:t>
      </w:r>
    </w:p>
    <w:p w14:paraId="27A32AC5" w14:textId="77777777" w:rsidR="00286356" w:rsidRPr="007D770B" w:rsidRDefault="00286356" w:rsidP="00AE698A">
      <w:pPr>
        <w:pStyle w:val="aa"/>
        <w:numPr>
          <w:ilvl w:val="0"/>
          <w:numId w:val="183"/>
        </w:numPr>
        <w:spacing w:before="240" w:line="240" w:lineRule="auto"/>
        <w:contextualSpacing w:val="0"/>
        <w:rPr>
          <w:rFonts w:ascii="Times New Roman" w:hAnsi="Times New Roman"/>
          <w:lang w:val="en-US"/>
        </w:rPr>
      </w:pPr>
      <w:r w:rsidRPr="007D770B">
        <w:rPr>
          <w:rFonts w:ascii="Times New Roman" w:hAnsi="Times New Roman"/>
          <w:lang w:val="en-US"/>
        </w:rPr>
        <w:t>Condensed statement of comprehensive income - for the current interim period and cumulatively for the period from the beginning of the current financial year to the interim reporting date and comparative statement of comprehensive income for comparable interim periods of the previous financial year (current and from the beginning of the year to the reporting date);</w:t>
      </w:r>
    </w:p>
    <w:p w14:paraId="39AC915F" w14:textId="77777777" w:rsidR="00286356" w:rsidRPr="007D770B" w:rsidRDefault="00286356" w:rsidP="00AE698A">
      <w:pPr>
        <w:pStyle w:val="aa"/>
        <w:numPr>
          <w:ilvl w:val="0"/>
          <w:numId w:val="183"/>
        </w:numPr>
        <w:spacing w:before="240" w:line="240" w:lineRule="auto"/>
        <w:contextualSpacing w:val="0"/>
        <w:rPr>
          <w:rFonts w:ascii="Times New Roman" w:hAnsi="Times New Roman"/>
          <w:lang w:val="en-US"/>
        </w:rPr>
      </w:pPr>
      <w:r w:rsidRPr="007D770B">
        <w:rPr>
          <w:rFonts w:ascii="Times New Roman" w:hAnsi="Times New Roman"/>
          <w:lang w:val="en-US"/>
        </w:rPr>
        <w:t>Condensed Statement of Changes in Equity - cumulatively from the beginning of the current financial year to the date of the interim financial report and a comparative statement for the comparable period from the beginning of the immediately preceding financial year;</w:t>
      </w:r>
    </w:p>
    <w:p w14:paraId="2C51C021" w14:textId="77777777" w:rsidR="00286356" w:rsidRPr="007D770B" w:rsidRDefault="00286356" w:rsidP="00AE698A">
      <w:pPr>
        <w:pStyle w:val="aa"/>
        <w:numPr>
          <w:ilvl w:val="0"/>
          <w:numId w:val="183"/>
        </w:numPr>
        <w:spacing w:before="240" w:line="240" w:lineRule="auto"/>
        <w:contextualSpacing w:val="0"/>
        <w:rPr>
          <w:rFonts w:ascii="Times New Roman" w:hAnsi="Times New Roman"/>
          <w:lang w:val="en-US"/>
        </w:rPr>
      </w:pPr>
      <w:r w:rsidRPr="007D770B">
        <w:rPr>
          <w:rFonts w:ascii="Times New Roman" w:hAnsi="Times New Roman"/>
          <w:lang w:val="en-US"/>
        </w:rPr>
        <w:t>Condensed statement of cash flows - cumulative total from the beginning of the current fiscal year to the date of the interim report and a comparative statement for the comparable period from the beginning of the immediately preceding fiscal year;</w:t>
      </w:r>
    </w:p>
    <w:p w14:paraId="57448AED" w14:textId="77777777" w:rsidR="00286356" w:rsidRPr="007D770B" w:rsidRDefault="00286356" w:rsidP="00AE698A">
      <w:pPr>
        <w:pStyle w:val="aa"/>
        <w:numPr>
          <w:ilvl w:val="0"/>
          <w:numId w:val="183"/>
        </w:numPr>
        <w:spacing w:before="240" w:line="240" w:lineRule="auto"/>
        <w:contextualSpacing w:val="0"/>
        <w:rPr>
          <w:rFonts w:ascii="Times New Roman" w:hAnsi="Times New Roman"/>
          <w:lang w:val="en-US"/>
        </w:rPr>
      </w:pPr>
      <w:r w:rsidRPr="007D770B">
        <w:rPr>
          <w:rFonts w:ascii="Times New Roman" w:hAnsi="Times New Roman"/>
          <w:lang w:val="en-US"/>
        </w:rPr>
        <w:t>A statement of financial position as at the beginning of the preceding period if a retrospective change in accounting policy, retrospective error correction or reclassification has a material effect on the statement of financial position as at the beginning of the preceding period; and</w:t>
      </w:r>
    </w:p>
    <w:p w14:paraId="7B92973C" w14:textId="77777777" w:rsidR="00286356" w:rsidRPr="007D770B" w:rsidRDefault="00286356" w:rsidP="00AE698A">
      <w:pPr>
        <w:pStyle w:val="aa"/>
        <w:numPr>
          <w:ilvl w:val="0"/>
          <w:numId w:val="183"/>
        </w:numPr>
        <w:spacing w:before="240" w:line="240" w:lineRule="auto"/>
        <w:contextualSpacing w:val="0"/>
        <w:rPr>
          <w:rFonts w:ascii="Times New Roman" w:hAnsi="Times New Roman"/>
          <w:lang w:val="en-US"/>
        </w:rPr>
      </w:pPr>
      <w:r w:rsidRPr="007D770B">
        <w:rPr>
          <w:rFonts w:ascii="Times New Roman" w:hAnsi="Times New Roman"/>
          <w:lang w:val="en-US"/>
        </w:rPr>
        <w:t>Selected notes to the financial statements.</w:t>
      </w:r>
    </w:p>
    <w:p w14:paraId="41C0E3A4" w14:textId="77777777" w:rsidR="00286356" w:rsidRPr="00A86DB7" w:rsidRDefault="00286356" w:rsidP="00A86DB7">
      <w:pPr>
        <w:keepNext/>
        <w:spacing w:before="240"/>
        <w:ind w:left="0"/>
        <w:rPr>
          <w:rFonts w:ascii="Times New Roman" w:eastAsia="Times New Roman" w:hAnsi="Times New Roman"/>
          <w:bCs/>
          <w:iCs/>
        </w:rPr>
      </w:pPr>
      <w:r w:rsidRPr="007D770B">
        <w:rPr>
          <w:rFonts w:ascii="Times New Roman" w:eastAsia="Times New Roman" w:hAnsi="Times New Roman"/>
          <w:bCs/>
          <w:iCs/>
          <w:lang w:val="en-US"/>
        </w:rPr>
        <w:t xml:space="preserve">The following is a list of events and transactions that should be disclosed if they are material. </w:t>
      </w:r>
      <w:r w:rsidRPr="00A86DB7">
        <w:rPr>
          <w:rFonts w:ascii="Times New Roman" w:eastAsia="Times New Roman" w:hAnsi="Times New Roman"/>
          <w:bCs/>
          <w:iCs/>
        </w:rPr>
        <w:t>The list is not exhaustive.</w:t>
      </w:r>
    </w:p>
    <w:p w14:paraId="1FE9D463" w14:textId="77777777" w:rsidR="00286356" w:rsidRPr="007D770B" w:rsidRDefault="00286356" w:rsidP="00AE698A">
      <w:pPr>
        <w:numPr>
          <w:ilvl w:val="0"/>
          <w:numId w:val="184"/>
        </w:numPr>
        <w:spacing w:before="240" w:line="240" w:lineRule="auto"/>
        <w:rPr>
          <w:rFonts w:ascii="Times New Roman" w:hAnsi="Times New Roman"/>
          <w:lang w:val="en-US"/>
        </w:rPr>
      </w:pPr>
      <w:r w:rsidRPr="007D770B">
        <w:rPr>
          <w:rFonts w:ascii="Times New Roman" w:hAnsi="Times New Roman"/>
          <w:lang w:val="en-US"/>
        </w:rPr>
        <w:t>Recognition of impairment losses on financial assets, property, plant and equipment, intangible and other assets and reversal of previously recognized impairment losses;</w:t>
      </w:r>
    </w:p>
    <w:p w14:paraId="68858A37" w14:textId="77777777" w:rsidR="00286356" w:rsidRPr="007D770B" w:rsidRDefault="00286356" w:rsidP="00AE698A">
      <w:pPr>
        <w:numPr>
          <w:ilvl w:val="0"/>
          <w:numId w:val="184"/>
        </w:numPr>
        <w:spacing w:before="240" w:line="240" w:lineRule="auto"/>
        <w:rPr>
          <w:rFonts w:ascii="Times New Roman" w:hAnsi="Times New Roman"/>
          <w:lang w:val="en-US"/>
        </w:rPr>
      </w:pPr>
      <w:r w:rsidRPr="007D770B">
        <w:rPr>
          <w:rFonts w:ascii="Times New Roman" w:hAnsi="Times New Roman"/>
          <w:lang w:val="en-US"/>
        </w:rPr>
        <w:t>Cancellation of the amount of provisions for restructuring charges;</w:t>
      </w:r>
    </w:p>
    <w:p w14:paraId="66145F48" w14:textId="77777777" w:rsidR="00286356" w:rsidRPr="007D770B" w:rsidRDefault="00286356" w:rsidP="00AE698A">
      <w:pPr>
        <w:numPr>
          <w:ilvl w:val="0"/>
          <w:numId w:val="184"/>
        </w:numPr>
        <w:spacing w:before="240" w:line="240" w:lineRule="auto"/>
        <w:rPr>
          <w:rFonts w:ascii="Times New Roman" w:hAnsi="Times New Roman"/>
          <w:lang w:val="en-US"/>
        </w:rPr>
      </w:pPr>
      <w:r w:rsidRPr="007D770B">
        <w:rPr>
          <w:rFonts w:ascii="Times New Roman" w:hAnsi="Times New Roman"/>
          <w:lang w:val="en-US"/>
        </w:rPr>
        <w:t>Acquisition and disposal of property, plant and equipment;</w:t>
      </w:r>
    </w:p>
    <w:p w14:paraId="36983E4D" w14:textId="77777777" w:rsidR="00286356" w:rsidRPr="007D770B" w:rsidRDefault="00286356" w:rsidP="00AE698A">
      <w:pPr>
        <w:numPr>
          <w:ilvl w:val="0"/>
          <w:numId w:val="184"/>
        </w:numPr>
        <w:spacing w:before="240" w:line="240" w:lineRule="auto"/>
        <w:rPr>
          <w:rFonts w:ascii="Times New Roman" w:hAnsi="Times New Roman"/>
          <w:lang w:val="en-US"/>
        </w:rPr>
      </w:pPr>
      <w:r w:rsidRPr="007D770B">
        <w:rPr>
          <w:rFonts w:ascii="Times New Roman" w:hAnsi="Times New Roman"/>
          <w:lang w:val="en-US"/>
        </w:rPr>
        <w:t>Write-down of inventories to net realizable value, and reversal of write-downs;</w:t>
      </w:r>
    </w:p>
    <w:p w14:paraId="099ACE18" w14:textId="77777777" w:rsidR="00286356" w:rsidRPr="00A86DB7" w:rsidRDefault="00286356" w:rsidP="00AE698A">
      <w:pPr>
        <w:numPr>
          <w:ilvl w:val="0"/>
          <w:numId w:val="184"/>
        </w:numPr>
        <w:spacing w:before="240" w:line="240" w:lineRule="auto"/>
        <w:rPr>
          <w:rFonts w:ascii="Times New Roman" w:hAnsi="Times New Roman"/>
        </w:rPr>
      </w:pPr>
      <w:r w:rsidRPr="00A86DB7">
        <w:rPr>
          <w:rFonts w:ascii="Times New Roman" w:hAnsi="Times New Roman"/>
        </w:rPr>
        <w:t>Contractual Obligations to Perform;</w:t>
      </w:r>
    </w:p>
    <w:p w14:paraId="12E11217" w14:textId="77777777" w:rsidR="00286356" w:rsidRPr="007D770B" w:rsidRDefault="00286356" w:rsidP="00AE698A">
      <w:pPr>
        <w:numPr>
          <w:ilvl w:val="0"/>
          <w:numId w:val="184"/>
        </w:numPr>
        <w:spacing w:before="240" w:line="240" w:lineRule="auto"/>
        <w:rPr>
          <w:rFonts w:ascii="Times New Roman" w:hAnsi="Times New Roman"/>
          <w:lang w:val="en-US"/>
        </w:rPr>
      </w:pPr>
      <w:r w:rsidRPr="007D770B">
        <w:rPr>
          <w:rFonts w:ascii="Times New Roman" w:hAnsi="Times New Roman"/>
          <w:lang w:val="en-US"/>
        </w:rPr>
        <w:t>Settlement of the dispute in court;</w:t>
      </w:r>
    </w:p>
    <w:p w14:paraId="5F7FA5A4" w14:textId="77777777" w:rsidR="00286356" w:rsidRPr="00A86DB7" w:rsidRDefault="00286356" w:rsidP="00AE698A">
      <w:pPr>
        <w:numPr>
          <w:ilvl w:val="0"/>
          <w:numId w:val="184"/>
        </w:numPr>
        <w:spacing w:before="240" w:line="240" w:lineRule="auto"/>
        <w:rPr>
          <w:rFonts w:ascii="Times New Roman" w:hAnsi="Times New Roman"/>
        </w:rPr>
      </w:pPr>
      <w:r w:rsidRPr="00A86DB7">
        <w:rPr>
          <w:rFonts w:ascii="Times New Roman" w:hAnsi="Times New Roman"/>
        </w:rPr>
        <w:t>Correcting past mistakes;</w:t>
      </w:r>
    </w:p>
    <w:p w14:paraId="3F0261A4" w14:textId="77777777" w:rsidR="00286356" w:rsidRPr="007D770B" w:rsidRDefault="00286356" w:rsidP="00AE698A">
      <w:pPr>
        <w:numPr>
          <w:ilvl w:val="0"/>
          <w:numId w:val="184"/>
        </w:numPr>
        <w:spacing w:before="240" w:line="240" w:lineRule="auto"/>
        <w:rPr>
          <w:rFonts w:ascii="Times New Roman" w:hAnsi="Times New Roman"/>
          <w:lang w:val="en-US"/>
        </w:rPr>
      </w:pPr>
      <w:r w:rsidRPr="007D770B">
        <w:rPr>
          <w:rFonts w:ascii="Times New Roman" w:hAnsi="Times New Roman"/>
          <w:lang w:val="en-US"/>
        </w:rPr>
        <w:t>Changes in business and economic circumstances that affect the fair value of financial assets and financial liabilities, whether those assets and liabilities are recognized at fair value or amortized cost;</w:t>
      </w:r>
    </w:p>
    <w:p w14:paraId="59689AFB" w14:textId="77777777" w:rsidR="00286356" w:rsidRPr="007D770B" w:rsidRDefault="00286356" w:rsidP="00AE698A">
      <w:pPr>
        <w:numPr>
          <w:ilvl w:val="0"/>
          <w:numId w:val="184"/>
        </w:numPr>
        <w:spacing w:before="240" w:line="240" w:lineRule="auto"/>
        <w:rPr>
          <w:rFonts w:ascii="Times New Roman" w:hAnsi="Times New Roman"/>
          <w:lang w:val="en-US"/>
        </w:rPr>
      </w:pPr>
      <w:r w:rsidRPr="007D770B">
        <w:rPr>
          <w:rFonts w:ascii="Times New Roman" w:hAnsi="Times New Roman"/>
          <w:lang w:val="en-US"/>
        </w:rPr>
        <w:t>Default or breach of the principal terms of the loan agreements that has not been cured by the reporting date or at the reporting date;</w:t>
      </w:r>
    </w:p>
    <w:p w14:paraId="1D0E7730" w14:textId="77777777" w:rsidR="00286356" w:rsidRPr="00A86DB7" w:rsidRDefault="00286356" w:rsidP="00AE698A">
      <w:pPr>
        <w:numPr>
          <w:ilvl w:val="0"/>
          <w:numId w:val="184"/>
        </w:numPr>
        <w:spacing w:before="240" w:line="240" w:lineRule="auto"/>
        <w:rPr>
          <w:rFonts w:ascii="Times New Roman" w:hAnsi="Times New Roman"/>
        </w:rPr>
      </w:pPr>
      <w:r w:rsidRPr="00A86DB7">
        <w:rPr>
          <w:rFonts w:ascii="Times New Roman" w:hAnsi="Times New Roman"/>
        </w:rPr>
        <w:t>Related party transactions;</w:t>
      </w:r>
    </w:p>
    <w:p w14:paraId="4EFF2469" w14:textId="77777777" w:rsidR="00286356" w:rsidRPr="007D770B" w:rsidRDefault="00286356" w:rsidP="00AE698A">
      <w:pPr>
        <w:numPr>
          <w:ilvl w:val="0"/>
          <w:numId w:val="184"/>
        </w:numPr>
        <w:spacing w:before="240" w:line="240" w:lineRule="auto"/>
        <w:rPr>
          <w:rFonts w:ascii="Times New Roman" w:hAnsi="Times New Roman"/>
          <w:lang w:val="en-US"/>
        </w:rPr>
      </w:pPr>
      <w:r w:rsidRPr="007D770B">
        <w:rPr>
          <w:rFonts w:ascii="Times New Roman" w:hAnsi="Times New Roman"/>
          <w:lang w:val="en-US"/>
        </w:rPr>
        <w:t>Movements between the levels of the fair value hierarchy used in measuring the fair value of financial instruments;</w:t>
      </w:r>
    </w:p>
    <w:p w14:paraId="2D249DEC" w14:textId="77777777" w:rsidR="00286356" w:rsidRPr="007D770B" w:rsidRDefault="00286356" w:rsidP="00AE698A">
      <w:pPr>
        <w:numPr>
          <w:ilvl w:val="0"/>
          <w:numId w:val="184"/>
        </w:numPr>
        <w:spacing w:before="240" w:line="240" w:lineRule="auto"/>
        <w:rPr>
          <w:rFonts w:ascii="Times New Roman" w:hAnsi="Times New Roman"/>
          <w:lang w:val="en-US"/>
        </w:rPr>
      </w:pPr>
      <w:r w:rsidRPr="007D770B">
        <w:rPr>
          <w:rFonts w:ascii="Times New Roman" w:hAnsi="Times New Roman"/>
          <w:lang w:val="en-US"/>
        </w:rPr>
        <w:t>Changes in the classification of financial assets as a result of a change in the purpose or use of such assets;</w:t>
      </w:r>
    </w:p>
    <w:p w14:paraId="70CB2F0A" w14:textId="77777777" w:rsidR="00286356" w:rsidRPr="007D770B" w:rsidRDefault="00286356" w:rsidP="00AE698A">
      <w:pPr>
        <w:numPr>
          <w:ilvl w:val="0"/>
          <w:numId w:val="184"/>
        </w:numPr>
        <w:spacing w:before="240" w:line="240" w:lineRule="auto"/>
        <w:rPr>
          <w:rFonts w:ascii="Times New Roman" w:hAnsi="Times New Roman"/>
          <w:lang w:val="en-US"/>
        </w:rPr>
      </w:pPr>
      <w:r w:rsidRPr="007D770B">
        <w:rPr>
          <w:rFonts w:ascii="Times New Roman" w:hAnsi="Times New Roman"/>
          <w:lang w:val="en-US"/>
        </w:rPr>
        <w:t>Changes in contingent assets and contingent liabilities.</w:t>
      </w:r>
    </w:p>
    <w:p w14:paraId="3DD87756" w14:textId="77777777" w:rsidR="00286356" w:rsidRPr="007D770B" w:rsidRDefault="00286356" w:rsidP="00A86DB7">
      <w:pPr>
        <w:spacing w:before="240"/>
        <w:ind w:left="0"/>
        <w:rPr>
          <w:rFonts w:ascii="Times New Roman" w:eastAsia="Times New Roman" w:hAnsi="Times New Roman"/>
          <w:bCs/>
          <w:iCs/>
          <w:lang w:val="en-US"/>
        </w:rPr>
      </w:pPr>
      <w:r w:rsidRPr="007D770B">
        <w:rPr>
          <w:rFonts w:ascii="Times New Roman" w:eastAsia="Times New Roman" w:hAnsi="Times New Roman"/>
          <w:bCs/>
          <w:iCs/>
          <w:lang w:val="en-US"/>
        </w:rPr>
        <w:lastRenderedPageBreak/>
        <w:t>In addition to disclosing the above significant events and transactions, the Bank also includes the following information in the notes to the condensed interim financial statements:</w:t>
      </w:r>
    </w:p>
    <w:p w14:paraId="3466FCE1" w14:textId="77777777" w:rsidR="00286356" w:rsidRPr="007D770B" w:rsidRDefault="00286356" w:rsidP="00AE698A">
      <w:pPr>
        <w:pStyle w:val="aa"/>
        <w:numPr>
          <w:ilvl w:val="0"/>
          <w:numId w:val="170"/>
        </w:numPr>
        <w:spacing w:before="240" w:line="240" w:lineRule="auto"/>
        <w:contextualSpacing w:val="0"/>
        <w:rPr>
          <w:rFonts w:ascii="Times New Roman" w:hAnsi="Times New Roman"/>
          <w:lang w:val="en-US"/>
        </w:rPr>
      </w:pPr>
      <w:r w:rsidRPr="007D770B">
        <w:rPr>
          <w:rFonts w:ascii="Times New Roman" w:hAnsi="Times New Roman"/>
          <w:lang w:val="en-US"/>
        </w:rPr>
        <w:t xml:space="preserve">a statement that the interim financial statements use the same accounting policies and methods of computation as the latest annual financial statements or, if those policies and methods have changed, a description of the nature and effect of the change; </w:t>
      </w:r>
    </w:p>
    <w:p w14:paraId="6E000705" w14:textId="77777777" w:rsidR="00286356" w:rsidRPr="007D770B" w:rsidRDefault="00286356" w:rsidP="00AE698A">
      <w:pPr>
        <w:pStyle w:val="aa"/>
        <w:numPr>
          <w:ilvl w:val="0"/>
          <w:numId w:val="170"/>
        </w:numPr>
        <w:spacing w:before="240" w:line="240" w:lineRule="auto"/>
        <w:contextualSpacing w:val="0"/>
        <w:rPr>
          <w:rFonts w:ascii="Times New Roman" w:hAnsi="Times New Roman"/>
          <w:lang w:val="en-US"/>
        </w:rPr>
      </w:pPr>
      <w:r w:rsidRPr="007D770B">
        <w:rPr>
          <w:rFonts w:ascii="Times New Roman" w:hAnsi="Times New Roman"/>
          <w:lang w:val="en-US"/>
        </w:rPr>
        <w:t xml:space="preserve">the nature and amount of items affecting assets, liabilities, equity, net income, or cash flows that are unusual for the Bank because of their nature, size or scope; </w:t>
      </w:r>
    </w:p>
    <w:p w14:paraId="121A4F5E" w14:textId="77777777" w:rsidR="00286356" w:rsidRPr="007D770B" w:rsidRDefault="00286356" w:rsidP="00AE698A">
      <w:pPr>
        <w:pStyle w:val="aa"/>
        <w:numPr>
          <w:ilvl w:val="0"/>
          <w:numId w:val="170"/>
        </w:numPr>
        <w:spacing w:before="240" w:line="240" w:lineRule="auto"/>
        <w:contextualSpacing w:val="0"/>
        <w:rPr>
          <w:rFonts w:ascii="Times New Roman" w:hAnsi="Times New Roman"/>
          <w:lang w:val="en-US"/>
        </w:rPr>
      </w:pPr>
      <w:r w:rsidRPr="007D770B">
        <w:rPr>
          <w:rFonts w:ascii="Times New Roman" w:hAnsi="Times New Roman"/>
          <w:lang w:val="en-US"/>
        </w:rPr>
        <w:t xml:space="preserve">the nature and amount of changes in estimates of amounts reported in previous interim periods of the current financial year or changes in estimates of amounts reported in previous financial years, if those changes have a material effect in the current interim period; </w:t>
      </w:r>
    </w:p>
    <w:p w14:paraId="16638911" w14:textId="77777777" w:rsidR="00286356" w:rsidRPr="007D770B" w:rsidRDefault="00286356" w:rsidP="00AE698A">
      <w:pPr>
        <w:pStyle w:val="aa"/>
        <w:numPr>
          <w:ilvl w:val="0"/>
          <w:numId w:val="170"/>
        </w:numPr>
        <w:spacing w:before="240" w:line="240" w:lineRule="auto"/>
        <w:contextualSpacing w:val="0"/>
        <w:rPr>
          <w:rFonts w:ascii="Times New Roman" w:hAnsi="Times New Roman"/>
          <w:lang w:val="en-US"/>
        </w:rPr>
      </w:pPr>
      <w:r w:rsidRPr="007D770B">
        <w:rPr>
          <w:rFonts w:ascii="Times New Roman" w:hAnsi="Times New Roman"/>
          <w:lang w:val="en-US"/>
        </w:rPr>
        <w:t xml:space="preserve">issue, redemption and repayment of debt and equity securities; </w:t>
      </w:r>
    </w:p>
    <w:p w14:paraId="038E0255" w14:textId="77777777" w:rsidR="00286356" w:rsidRPr="007D770B" w:rsidRDefault="00286356" w:rsidP="00AE698A">
      <w:pPr>
        <w:pStyle w:val="aa"/>
        <w:numPr>
          <w:ilvl w:val="0"/>
          <w:numId w:val="170"/>
        </w:numPr>
        <w:spacing w:before="240" w:line="240" w:lineRule="auto"/>
        <w:contextualSpacing w:val="0"/>
        <w:rPr>
          <w:rFonts w:ascii="Times New Roman" w:hAnsi="Times New Roman"/>
          <w:lang w:val="en-US"/>
        </w:rPr>
      </w:pPr>
      <w:r w:rsidRPr="007D770B">
        <w:rPr>
          <w:rFonts w:ascii="Times New Roman" w:hAnsi="Times New Roman"/>
          <w:lang w:val="en-US"/>
        </w:rPr>
        <w:t>Dividends paid (in aggregate or per share) on common shares and other shares;</w:t>
      </w:r>
    </w:p>
    <w:p w14:paraId="79FC3058" w14:textId="77777777" w:rsidR="00286356" w:rsidRPr="007D770B" w:rsidRDefault="00286356" w:rsidP="00AE698A">
      <w:pPr>
        <w:pStyle w:val="aa"/>
        <w:numPr>
          <w:ilvl w:val="0"/>
          <w:numId w:val="171"/>
        </w:numPr>
        <w:spacing w:before="240" w:line="240" w:lineRule="auto"/>
        <w:contextualSpacing w:val="0"/>
        <w:rPr>
          <w:rFonts w:ascii="Times New Roman" w:hAnsi="Times New Roman"/>
          <w:lang w:val="en-US"/>
        </w:rPr>
      </w:pPr>
      <w:r w:rsidRPr="007D770B">
        <w:rPr>
          <w:rFonts w:ascii="Times New Roman" w:hAnsi="Times New Roman"/>
          <w:lang w:val="en-US"/>
        </w:rPr>
        <w:t>events subsequent to the end of the interim period that have not been recognized in the financial statements of the interim period;</w:t>
      </w:r>
    </w:p>
    <w:p w14:paraId="5AD7AC62" w14:textId="77777777" w:rsidR="00286356" w:rsidRPr="007D770B" w:rsidRDefault="00286356" w:rsidP="00A86DB7">
      <w:pPr>
        <w:spacing w:before="240"/>
        <w:ind w:left="0"/>
        <w:rPr>
          <w:rFonts w:ascii="Times New Roman" w:eastAsia="Times New Roman" w:hAnsi="Times New Roman"/>
          <w:bCs/>
          <w:iCs/>
          <w:lang w:val="en-US"/>
        </w:rPr>
      </w:pPr>
      <w:r w:rsidRPr="007D770B">
        <w:rPr>
          <w:rFonts w:ascii="Times New Roman" w:eastAsia="Times New Roman" w:hAnsi="Times New Roman"/>
          <w:bCs/>
          <w:iCs/>
          <w:lang w:val="en-US"/>
        </w:rPr>
        <w:t xml:space="preserve">The minimum disclosure requirements are set out above. The condensed interim financial statements may include extended disclosures by line item and selective notes. </w:t>
      </w:r>
    </w:p>
    <w:p w14:paraId="1EFD14BA" w14:textId="77777777" w:rsidR="00286356" w:rsidRPr="007D770B" w:rsidRDefault="00286356" w:rsidP="00A86DB7">
      <w:pPr>
        <w:spacing w:before="240"/>
        <w:ind w:left="0"/>
        <w:rPr>
          <w:rFonts w:ascii="Times New Roman" w:eastAsia="Times New Roman" w:hAnsi="Times New Roman"/>
          <w:bCs/>
          <w:iCs/>
          <w:lang w:val="en-US"/>
        </w:rPr>
      </w:pPr>
      <w:r w:rsidRPr="007D770B">
        <w:rPr>
          <w:rFonts w:ascii="Times New Roman" w:eastAsia="Times New Roman" w:hAnsi="Times New Roman"/>
          <w:bCs/>
          <w:iCs/>
          <w:lang w:val="en-US"/>
        </w:rPr>
        <w:t>In preparing the interim financial statements, the Bank applies the accounting policies adopted and used for the most recent annual financial statements.</w:t>
      </w:r>
    </w:p>
    <w:p w14:paraId="6E10F756" w14:textId="6F10B89E" w:rsidR="00286356" w:rsidRPr="007D770B" w:rsidRDefault="00286356" w:rsidP="00A86DB7">
      <w:pPr>
        <w:spacing w:before="240"/>
        <w:ind w:left="0"/>
        <w:rPr>
          <w:rFonts w:ascii="Times New Roman" w:eastAsia="Times New Roman" w:hAnsi="Times New Roman"/>
          <w:bCs/>
          <w:iCs/>
          <w:lang w:val="en-US"/>
        </w:rPr>
      </w:pPr>
      <w:r w:rsidRPr="007D770B">
        <w:rPr>
          <w:rFonts w:ascii="Times New Roman" w:eastAsia="Times New Roman" w:hAnsi="Times New Roman"/>
          <w:bCs/>
          <w:iCs/>
          <w:lang w:val="en-US"/>
        </w:rPr>
        <w:t xml:space="preserve">The Bank uses the provisions on changes in accounting policies to prepare the interim financial statements of the period. Details of changes in accounting policies are described in section 2 </w:t>
      </w:r>
      <w:r w:rsidR="00802136" w:rsidRPr="007D770B">
        <w:rPr>
          <w:rFonts w:ascii="Times New Roman" w:eastAsia="Times New Roman" w:hAnsi="Times New Roman"/>
          <w:bCs/>
          <w:iCs/>
          <w:lang w:val="en-US"/>
        </w:rPr>
        <w:t>"</w:t>
      </w:r>
      <w:r w:rsidRPr="007D770B">
        <w:rPr>
          <w:rFonts w:ascii="Times New Roman" w:eastAsia="Times New Roman" w:hAnsi="Times New Roman"/>
          <w:bCs/>
          <w:iCs/>
          <w:lang w:val="en-US"/>
        </w:rPr>
        <w:t>Changes in accounting policies, estimates and errors (IAS 8)</w:t>
      </w:r>
      <w:r w:rsidR="00802136" w:rsidRPr="007D770B">
        <w:rPr>
          <w:rFonts w:ascii="Times New Roman" w:eastAsia="Times New Roman" w:hAnsi="Times New Roman"/>
          <w:bCs/>
          <w:iCs/>
          <w:lang w:val="en-US"/>
        </w:rPr>
        <w:t xml:space="preserve">" </w:t>
      </w:r>
      <w:r w:rsidRPr="007D770B">
        <w:rPr>
          <w:rFonts w:ascii="Times New Roman" w:eastAsia="Times New Roman" w:hAnsi="Times New Roman"/>
          <w:bCs/>
          <w:iCs/>
          <w:lang w:val="en-US"/>
        </w:rPr>
        <w:t>in Chapter 1.</w:t>
      </w:r>
    </w:p>
    <w:p w14:paraId="1BEDA14B" w14:textId="77777777" w:rsidR="00286356" w:rsidRPr="007D770B" w:rsidRDefault="00286356" w:rsidP="00A86DB7">
      <w:pPr>
        <w:spacing w:before="240"/>
        <w:ind w:left="0"/>
        <w:rPr>
          <w:rFonts w:ascii="Times New Roman" w:eastAsia="Times New Roman" w:hAnsi="Times New Roman"/>
          <w:bCs/>
          <w:iCs/>
          <w:lang w:val="en-US"/>
        </w:rPr>
      </w:pPr>
      <w:r w:rsidRPr="007D770B">
        <w:rPr>
          <w:rFonts w:ascii="Times New Roman" w:eastAsia="Times New Roman" w:hAnsi="Times New Roman"/>
          <w:bCs/>
          <w:iCs/>
          <w:lang w:val="en-US"/>
        </w:rPr>
        <w:t xml:space="preserve">The valuation procedures to be applied in the interim financial statements should ensure that the information obtained is reliable and that all material financial information that is relevant to an understanding of the Bank's financial position and performance is appropriately disclosed. </w:t>
      </w:r>
    </w:p>
    <w:p w14:paraId="06518840" w14:textId="77777777" w:rsidR="00A94BDF" w:rsidRPr="007D770B" w:rsidRDefault="00286356" w:rsidP="00C43712">
      <w:pPr>
        <w:spacing w:before="240"/>
        <w:ind w:left="0"/>
        <w:rPr>
          <w:rFonts w:ascii="Times New Roman" w:eastAsia="Times New Roman" w:hAnsi="Times New Roman"/>
          <w:bCs/>
          <w:iCs/>
          <w:lang w:val="en-US"/>
        </w:rPr>
      </w:pPr>
      <w:r w:rsidRPr="007D770B">
        <w:rPr>
          <w:rFonts w:ascii="Times New Roman" w:eastAsia="Times New Roman" w:hAnsi="Times New Roman"/>
          <w:bCs/>
          <w:iCs/>
          <w:lang w:val="en-US"/>
        </w:rPr>
        <w:t>The frequency of the Bank's reporting (annual, semi-annual, quarterly and monthly) should not affect the assessment of its annual results. To achieve this objective, estimates in interim reporting should be made on a year-to-date basis, except for income taxes, which are accounted for using the effective interest rate method projected for the full financial year.</w:t>
      </w:r>
    </w:p>
    <w:p w14:paraId="00E4B61A" w14:textId="77777777" w:rsidR="00224E1D" w:rsidRPr="007D770B" w:rsidRDefault="00224E1D" w:rsidP="007825E6">
      <w:pPr>
        <w:pStyle w:val="39"/>
        <w:rPr>
          <w:lang w:val="en-US"/>
        </w:rPr>
      </w:pPr>
    </w:p>
    <w:p w14:paraId="612AB56C" w14:textId="77777777" w:rsidR="00224E1D" w:rsidRPr="007D770B" w:rsidRDefault="00224E1D" w:rsidP="00224E1D">
      <w:pPr>
        <w:rPr>
          <w:lang w:val="en-US"/>
        </w:rPr>
        <w:sectPr w:rsidR="00224E1D" w:rsidRPr="007D770B" w:rsidSect="00032C90">
          <w:headerReference w:type="even" r:id="rId14"/>
          <w:headerReference w:type="default" r:id="rId15"/>
          <w:headerReference w:type="first" r:id="rId16"/>
          <w:pgSz w:w="11906" w:h="16838"/>
          <w:pgMar w:top="1134" w:right="850" w:bottom="810" w:left="1701" w:header="288" w:footer="93" w:gutter="0"/>
          <w:cols w:space="720"/>
          <w:titlePg/>
          <w:docGrid w:linePitch="360"/>
        </w:sectPr>
      </w:pPr>
    </w:p>
    <w:p w14:paraId="3E7ECFFF" w14:textId="77777777" w:rsidR="0040291A" w:rsidRPr="007D770B" w:rsidRDefault="0040291A" w:rsidP="007825E6">
      <w:pPr>
        <w:pStyle w:val="39"/>
        <w:rPr>
          <w:lang w:val="en-US"/>
        </w:rPr>
      </w:pPr>
    </w:p>
    <w:p w14:paraId="21FE2DD3" w14:textId="1EDE68A6" w:rsidR="009E2B77" w:rsidRPr="007D770B" w:rsidRDefault="009E2B77" w:rsidP="009B369C">
      <w:pPr>
        <w:pStyle w:val="2"/>
        <w:keepNext w:val="0"/>
        <w:keepLines w:val="0"/>
        <w:pageBreakBefore/>
        <w:tabs>
          <w:tab w:val="left" w:pos="1080"/>
        </w:tabs>
        <w:suppressAutoHyphens w:val="0"/>
        <w:spacing w:before="240"/>
        <w:jc w:val="both"/>
        <w:rPr>
          <w:rFonts w:ascii="Times New Roman" w:hAnsi="Times New Roman"/>
          <w:snapToGrid w:val="0"/>
          <w:kern w:val="0"/>
          <w:sz w:val="20"/>
          <w:szCs w:val="20"/>
          <w:lang w:val="en-US" w:eastAsia="ru-RU"/>
        </w:rPr>
      </w:pPr>
      <w:bookmarkStart w:id="36" w:name="_Toc278120856"/>
      <w:bookmarkStart w:id="37" w:name="_Toc168502010"/>
      <w:r w:rsidRPr="007D770B">
        <w:rPr>
          <w:rFonts w:ascii="Times New Roman" w:hAnsi="Times New Roman"/>
          <w:snapToGrid w:val="0"/>
          <w:kern w:val="0"/>
          <w:sz w:val="20"/>
          <w:szCs w:val="20"/>
          <w:lang w:val="en-US" w:eastAsia="ru-RU"/>
        </w:rPr>
        <w:lastRenderedPageBreak/>
        <w:t>Section 2: Changes in accounting policies, estimates and errors (IAS 8)</w:t>
      </w:r>
      <w:bookmarkEnd w:id="36"/>
      <w:bookmarkEnd w:id="37"/>
    </w:p>
    <w:p w14:paraId="2F30B65E" w14:textId="77777777" w:rsidR="009E2B77" w:rsidRPr="007D770B" w:rsidRDefault="009E2B77" w:rsidP="00F96B17">
      <w:pPr>
        <w:spacing w:before="240" w:line="240" w:lineRule="auto"/>
        <w:ind w:left="0"/>
        <w:rPr>
          <w:rFonts w:ascii="Times New Roman" w:hAnsi="Times New Roman"/>
          <w:lang w:val="en-US"/>
        </w:rPr>
      </w:pPr>
      <w:r w:rsidRPr="007D770B">
        <w:rPr>
          <w:rFonts w:ascii="Times New Roman" w:hAnsi="Times New Roman"/>
          <w:lang w:val="en-US"/>
        </w:rPr>
        <w:t>This section establishes a framework for changes in accounting policies, estimates and errors.</w:t>
      </w:r>
    </w:p>
    <w:p w14:paraId="7AD10F42" w14:textId="26ED3E1B" w:rsidR="009E2B77" w:rsidRPr="007D770B" w:rsidRDefault="009E2B77" w:rsidP="00E61D21">
      <w:pPr>
        <w:pStyle w:val="3"/>
        <w:rPr>
          <w:bCs/>
          <w:lang w:val="en-US"/>
        </w:rPr>
      </w:pPr>
      <w:bookmarkStart w:id="38" w:name="_Toc270435405"/>
      <w:bookmarkStart w:id="39" w:name="_Toc278120857"/>
      <w:bookmarkStart w:id="40" w:name="_Toc168502011"/>
      <w:r w:rsidRPr="007D770B">
        <w:rPr>
          <w:lang w:val="en-US"/>
        </w:rPr>
        <w:t xml:space="preserve">2.1 Changes in accounting policies </w:t>
      </w:r>
      <w:bookmarkEnd w:id="38"/>
      <w:bookmarkEnd w:id="39"/>
      <w:bookmarkEnd w:id="40"/>
    </w:p>
    <w:p w14:paraId="41435262" w14:textId="3EF8BCD9" w:rsidR="009E2B77" w:rsidRPr="007D770B" w:rsidRDefault="009E2B77" w:rsidP="00F96B17">
      <w:pPr>
        <w:spacing w:before="240" w:line="240" w:lineRule="auto"/>
        <w:ind w:left="0"/>
        <w:rPr>
          <w:rFonts w:ascii="Times New Roman" w:hAnsi="Times New Roman"/>
          <w:lang w:val="en-US"/>
        </w:rPr>
      </w:pPr>
      <w:r w:rsidRPr="007D770B">
        <w:rPr>
          <w:rFonts w:ascii="Times New Roman" w:hAnsi="Times New Roman"/>
          <w:lang w:val="en-US"/>
        </w:rPr>
        <w:t xml:space="preserve">When comparing the </w:t>
      </w:r>
      <w:r w:rsidR="00F9744B" w:rsidRPr="007D770B">
        <w:rPr>
          <w:rFonts w:ascii="Times New Roman" w:hAnsi="Times New Roman"/>
          <w:lang w:val="en-US"/>
        </w:rPr>
        <w:t xml:space="preserve">Bank's </w:t>
      </w:r>
      <w:r w:rsidRPr="007D770B">
        <w:rPr>
          <w:rFonts w:ascii="Times New Roman" w:hAnsi="Times New Roman"/>
          <w:lang w:val="en-US"/>
        </w:rPr>
        <w:t xml:space="preserve">financial statements over time, users should be able to identify trends in the financial position, results of operations and cash flows in the financial statements. Therefore, the same accounting </w:t>
      </w:r>
      <w:r w:rsidR="003A3F3F" w:rsidRPr="007D770B">
        <w:rPr>
          <w:rFonts w:ascii="Times New Roman" w:hAnsi="Times New Roman"/>
          <w:lang w:val="en-US"/>
        </w:rPr>
        <w:t xml:space="preserve">policies </w:t>
      </w:r>
      <w:r w:rsidRPr="007D770B">
        <w:rPr>
          <w:rFonts w:ascii="Times New Roman" w:hAnsi="Times New Roman"/>
          <w:lang w:val="en-US"/>
        </w:rPr>
        <w:t xml:space="preserve">should be applied in each period </w:t>
      </w:r>
      <w:r w:rsidR="003A3F3F" w:rsidRPr="007D770B">
        <w:rPr>
          <w:rFonts w:ascii="Times New Roman" w:hAnsi="Times New Roman"/>
          <w:lang w:val="en-US"/>
        </w:rPr>
        <w:t xml:space="preserve">for </w:t>
      </w:r>
      <w:r w:rsidRPr="007D770B">
        <w:rPr>
          <w:rFonts w:ascii="Times New Roman" w:hAnsi="Times New Roman"/>
          <w:lang w:val="en-US"/>
        </w:rPr>
        <w:t xml:space="preserve">similar transactions, other events and conditions, unless a change in accounting policy would be more favorable to the </w:t>
      </w:r>
      <w:r w:rsidR="00F9744B" w:rsidRPr="007D770B">
        <w:rPr>
          <w:rFonts w:ascii="Times New Roman" w:hAnsi="Times New Roman"/>
          <w:lang w:val="en-US"/>
        </w:rPr>
        <w:t>Bank</w:t>
      </w:r>
      <w:r w:rsidRPr="007D770B">
        <w:rPr>
          <w:rFonts w:ascii="Times New Roman" w:hAnsi="Times New Roman"/>
          <w:lang w:val="en-US"/>
        </w:rPr>
        <w:t>.</w:t>
      </w:r>
    </w:p>
    <w:p w14:paraId="4EBC59BC" w14:textId="77777777" w:rsidR="009E2B77" w:rsidRPr="007D770B" w:rsidRDefault="009E2B77" w:rsidP="00F96B17">
      <w:pPr>
        <w:spacing w:before="240" w:line="240" w:lineRule="auto"/>
        <w:ind w:left="0"/>
        <w:rPr>
          <w:rFonts w:ascii="Times New Roman" w:hAnsi="Times New Roman"/>
          <w:lang w:val="en-US"/>
        </w:rPr>
      </w:pPr>
      <w:r w:rsidRPr="007D770B">
        <w:rPr>
          <w:rFonts w:ascii="Times New Roman" w:hAnsi="Times New Roman"/>
          <w:lang w:val="en-US"/>
        </w:rPr>
        <w:t>The following actions do not constitute changes in accounting policies:</w:t>
      </w:r>
    </w:p>
    <w:p w14:paraId="2ACB5CDC" w14:textId="77777777" w:rsidR="009E2B77" w:rsidRPr="007D770B" w:rsidRDefault="009E2B77" w:rsidP="00AE698A">
      <w:pPr>
        <w:pStyle w:val="aa"/>
        <w:numPr>
          <w:ilvl w:val="0"/>
          <w:numId w:val="185"/>
        </w:numPr>
        <w:spacing w:before="240" w:line="240" w:lineRule="auto"/>
        <w:contextualSpacing w:val="0"/>
        <w:rPr>
          <w:rFonts w:ascii="Times New Roman" w:hAnsi="Times New Roman"/>
          <w:lang w:val="en-US"/>
        </w:rPr>
      </w:pPr>
      <w:r w:rsidRPr="007D770B">
        <w:rPr>
          <w:rFonts w:ascii="Times New Roman" w:hAnsi="Times New Roman"/>
          <w:lang w:val="en-US"/>
        </w:rPr>
        <w:t xml:space="preserve">applying accounting policies to events or transactions that are different in nature from those that occurred previously; </w:t>
      </w:r>
    </w:p>
    <w:p w14:paraId="56B63C69" w14:textId="77777777" w:rsidR="009E2B77" w:rsidRPr="007D770B" w:rsidRDefault="009E2B77" w:rsidP="00AE698A">
      <w:pPr>
        <w:pStyle w:val="aa"/>
        <w:numPr>
          <w:ilvl w:val="0"/>
          <w:numId w:val="185"/>
        </w:numPr>
        <w:spacing w:before="240" w:line="240" w:lineRule="auto"/>
        <w:rPr>
          <w:rFonts w:ascii="Times New Roman" w:hAnsi="Times New Roman"/>
          <w:lang w:val="en-US"/>
        </w:rPr>
      </w:pPr>
      <w:r w:rsidRPr="007D770B">
        <w:rPr>
          <w:rFonts w:ascii="Times New Roman" w:hAnsi="Times New Roman"/>
          <w:lang w:val="en-US"/>
        </w:rPr>
        <w:t>applying new accounting policies to events or transactions that did not occur previously or were immaterial.</w:t>
      </w:r>
    </w:p>
    <w:p w14:paraId="283875D7" w14:textId="4727DD85" w:rsidR="009E2B77" w:rsidRPr="007D770B" w:rsidRDefault="008E5194" w:rsidP="00F96B17">
      <w:pPr>
        <w:spacing w:before="240" w:line="240" w:lineRule="auto"/>
        <w:ind w:left="0"/>
        <w:rPr>
          <w:rFonts w:ascii="Times New Roman" w:hAnsi="Times New Roman"/>
          <w:lang w:val="en-US"/>
        </w:rPr>
      </w:pPr>
      <w:r w:rsidRPr="007D770B">
        <w:rPr>
          <w:rFonts w:ascii="Times New Roman" w:hAnsi="Times New Roman"/>
          <w:lang w:val="en-US"/>
        </w:rPr>
        <w:t xml:space="preserve">An accounting </w:t>
      </w:r>
      <w:r w:rsidR="009E2B77" w:rsidRPr="007D770B">
        <w:rPr>
          <w:rFonts w:ascii="Times New Roman" w:hAnsi="Times New Roman"/>
          <w:lang w:val="en-US"/>
        </w:rPr>
        <w:t>policy may be changed only if the change:</w:t>
      </w:r>
    </w:p>
    <w:p w14:paraId="190D8FF3" w14:textId="77777777" w:rsidR="009E2B77" w:rsidRPr="002D4EA3" w:rsidRDefault="009E2B77" w:rsidP="00AE698A">
      <w:pPr>
        <w:pStyle w:val="aa"/>
        <w:numPr>
          <w:ilvl w:val="0"/>
          <w:numId w:val="186"/>
        </w:numPr>
        <w:spacing w:before="240" w:line="240" w:lineRule="auto"/>
        <w:contextualSpacing w:val="0"/>
        <w:rPr>
          <w:rFonts w:ascii="Times New Roman" w:hAnsi="Times New Roman"/>
        </w:rPr>
      </w:pPr>
      <w:r w:rsidRPr="002D4EA3">
        <w:rPr>
          <w:rFonts w:ascii="Times New Roman" w:hAnsi="Times New Roman"/>
        </w:rPr>
        <w:t>IFRS is required;</w:t>
      </w:r>
    </w:p>
    <w:p w14:paraId="385824C2" w14:textId="77777777" w:rsidR="009E2B77" w:rsidRPr="007D770B" w:rsidRDefault="009E2B77" w:rsidP="00AE698A">
      <w:pPr>
        <w:pStyle w:val="aa"/>
        <w:numPr>
          <w:ilvl w:val="0"/>
          <w:numId w:val="186"/>
        </w:numPr>
        <w:spacing w:before="240" w:line="240" w:lineRule="auto"/>
        <w:rPr>
          <w:rFonts w:ascii="Times New Roman" w:hAnsi="Times New Roman"/>
          <w:lang w:val="en-US"/>
        </w:rPr>
      </w:pPr>
      <w:r w:rsidRPr="007D770B">
        <w:rPr>
          <w:rFonts w:ascii="Times New Roman" w:hAnsi="Times New Roman"/>
          <w:lang w:val="en-US"/>
        </w:rPr>
        <w:t xml:space="preserve">will result in reliable and more relevant information about the </w:t>
      </w:r>
      <w:r w:rsidR="00F9744B" w:rsidRPr="007D770B">
        <w:rPr>
          <w:rFonts w:ascii="Times New Roman" w:hAnsi="Times New Roman"/>
          <w:lang w:val="en-US"/>
        </w:rPr>
        <w:t xml:space="preserve">Bank's </w:t>
      </w:r>
      <w:r w:rsidRPr="007D770B">
        <w:rPr>
          <w:rFonts w:ascii="Times New Roman" w:hAnsi="Times New Roman"/>
          <w:lang w:val="en-US"/>
        </w:rPr>
        <w:t>financial position, results of operations or cash flows.</w:t>
      </w:r>
    </w:p>
    <w:p w14:paraId="28870B42" w14:textId="77777777" w:rsidR="009E2B77" w:rsidRPr="007D770B" w:rsidRDefault="009E2B77" w:rsidP="00F96B17">
      <w:pPr>
        <w:spacing w:before="240" w:line="240" w:lineRule="auto"/>
        <w:ind w:left="0"/>
        <w:rPr>
          <w:rFonts w:ascii="Times New Roman" w:hAnsi="Times New Roman"/>
          <w:b/>
          <w:i/>
          <w:lang w:val="en-US"/>
        </w:rPr>
      </w:pPr>
      <w:r w:rsidRPr="007D770B">
        <w:rPr>
          <w:rFonts w:ascii="Times New Roman" w:hAnsi="Times New Roman"/>
          <w:b/>
          <w:i/>
          <w:lang w:val="en-US"/>
        </w:rPr>
        <w:t xml:space="preserve">Prospective and retrospective application </w:t>
      </w:r>
    </w:p>
    <w:p w14:paraId="5FC7A237" w14:textId="0B43817A" w:rsidR="009E2B77" w:rsidRPr="007D770B" w:rsidRDefault="009E2B77" w:rsidP="00F96B17">
      <w:pPr>
        <w:spacing w:before="240" w:line="240" w:lineRule="auto"/>
        <w:ind w:left="0"/>
        <w:rPr>
          <w:rFonts w:ascii="Times New Roman" w:hAnsi="Times New Roman"/>
          <w:lang w:val="en-US"/>
        </w:rPr>
      </w:pPr>
      <w:r w:rsidRPr="007D770B">
        <w:rPr>
          <w:rFonts w:ascii="Times New Roman" w:hAnsi="Times New Roman"/>
          <w:b/>
          <w:lang w:val="en-US"/>
        </w:rPr>
        <w:t xml:space="preserve">prospective application </w:t>
      </w:r>
      <w:r w:rsidRPr="007D770B">
        <w:rPr>
          <w:rFonts w:ascii="Times New Roman" w:hAnsi="Times New Roman"/>
          <w:lang w:val="en-US"/>
        </w:rPr>
        <w:t xml:space="preserve">- applying a new accounting policy to transactions, other events and conditions arising after the date of the change in accounting policy and </w:t>
      </w:r>
      <w:r w:rsidR="0047184E" w:rsidRPr="007D770B">
        <w:rPr>
          <w:rFonts w:ascii="Times New Roman" w:hAnsi="Times New Roman"/>
          <w:lang w:val="en-US"/>
        </w:rPr>
        <w:t>recognizing</w:t>
      </w:r>
      <w:r w:rsidRPr="007D770B">
        <w:rPr>
          <w:rFonts w:ascii="Times New Roman" w:hAnsi="Times New Roman"/>
          <w:lang w:val="en-US"/>
        </w:rPr>
        <w:t xml:space="preserve"> the change in accounting </w:t>
      </w:r>
      <w:r w:rsidR="003A3F3F" w:rsidRPr="007D770B">
        <w:rPr>
          <w:rFonts w:ascii="Times New Roman" w:hAnsi="Times New Roman"/>
          <w:lang w:val="en-US"/>
        </w:rPr>
        <w:t xml:space="preserve">estimate in the </w:t>
      </w:r>
      <w:r w:rsidRPr="007D770B">
        <w:rPr>
          <w:rFonts w:ascii="Times New Roman" w:hAnsi="Times New Roman"/>
          <w:lang w:val="en-US"/>
        </w:rPr>
        <w:t>current and subsequent accounting periods affected by the change.</w:t>
      </w:r>
    </w:p>
    <w:p w14:paraId="08A6FD83" w14:textId="77777777" w:rsidR="009E2B77" w:rsidRPr="007D770B" w:rsidRDefault="009E2B77" w:rsidP="00F96B17">
      <w:pPr>
        <w:spacing w:before="240" w:line="240" w:lineRule="auto"/>
        <w:ind w:left="0"/>
        <w:rPr>
          <w:rFonts w:ascii="Times New Roman" w:hAnsi="Times New Roman"/>
          <w:lang w:val="en-US"/>
        </w:rPr>
      </w:pPr>
      <w:r w:rsidRPr="007D770B">
        <w:rPr>
          <w:rFonts w:ascii="Times New Roman" w:hAnsi="Times New Roman"/>
          <w:b/>
          <w:lang w:val="en-US"/>
        </w:rPr>
        <w:t xml:space="preserve">Retrospective application </w:t>
      </w:r>
      <w:r w:rsidRPr="007D770B">
        <w:rPr>
          <w:rFonts w:ascii="Times New Roman" w:hAnsi="Times New Roman"/>
          <w:lang w:val="en-US"/>
        </w:rPr>
        <w:t xml:space="preserve">means that the new accounting policy is applied to events and transactions as if the new accounting policy had always been applied. </w:t>
      </w:r>
    </w:p>
    <w:p w14:paraId="095842CA" w14:textId="77777777" w:rsidR="009E2B77" w:rsidRPr="007D770B" w:rsidRDefault="009E2B77" w:rsidP="00F96B17">
      <w:pPr>
        <w:spacing w:before="240" w:line="240" w:lineRule="auto"/>
        <w:ind w:left="0"/>
        <w:rPr>
          <w:rFonts w:ascii="Times New Roman" w:hAnsi="Times New Roman"/>
          <w:lang w:val="en-US"/>
        </w:rPr>
      </w:pPr>
      <w:r w:rsidRPr="007D770B">
        <w:rPr>
          <w:rFonts w:ascii="Times New Roman" w:hAnsi="Times New Roman"/>
          <w:lang w:val="en-US"/>
        </w:rPr>
        <w:t xml:space="preserve">In assessing whether prior period adjustments are necessary, the </w:t>
      </w:r>
      <w:r w:rsidR="00F9744B" w:rsidRPr="007D770B">
        <w:rPr>
          <w:rFonts w:ascii="Times New Roman" w:hAnsi="Times New Roman"/>
          <w:lang w:val="en-US"/>
        </w:rPr>
        <w:t xml:space="preserve">Bank </w:t>
      </w:r>
      <w:r w:rsidRPr="007D770B">
        <w:rPr>
          <w:rFonts w:ascii="Times New Roman" w:hAnsi="Times New Roman"/>
          <w:lang w:val="en-US"/>
        </w:rPr>
        <w:t>considers the materiality of such adjustments.</w:t>
      </w:r>
    </w:p>
    <w:p w14:paraId="1A06FBB4" w14:textId="3C4C18F2" w:rsidR="009E2B77" w:rsidRPr="007D770B" w:rsidRDefault="009E2B77" w:rsidP="00F96B17">
      <w:pPr>
        <w:spacing w:before="240" w:line="240" w:lineRule="auto"/>
        <w:ind w:left="0"/>
        <w:rPr>
          <w:rFonts w:ascii="Times New Roman" w:hAnsi="Times New Roman"/>
          <w:lang w:val="en-US"/>
        </w:rPr>
      </w:pPr>
      <w:r w:rsidRPr="007D770B">
        <w:rPr>
          <w:rFonts w:ascii="Times New Roman" w:hAnsi="Times New Roman"/>
          <w:lang w:val="en-US"/>
        </w:rPr>
        <w:t xml:space="preserve">Changes in the </w:t>
      </w:r>
      <w:r w:rsidR="00F9744B" w:rsidRPr="007D770B">
        <w:rPr>
          <w:rFonts w:ascii="Times New Roman" w:hAnsi="Times New Roman"/>
          <w:lang w:val="en-US"/>
        </w:rPr>
        <w:t xml:space="preserve">Bank's </w:t>
      </w:r>
      <w:r w:rsidRPr="007D770B">
        <w:rPr>
          <w:rFonts w:ascii="Times New Roman" w:hAnsi="Times New Roman"/>
          <w:lang w:val="en-US"/>
        </w:rPr>
        <w:t xml:space="preserve">accounting policies are applied </w:t>
      </w:r>
      <w:r w:rsidRPr="007D770B">
        <w:rPr>
          <w:rFonts w:ascii="Times New Roman" w:hAnsi="Times New Roman"/>
          <w:b/>
          <w:lang w:val="en-US"/>
        </w:rPr>
        <w:t>retrospectively</w:t>
      </w:r>
      <w:r w:rsidRPr="007D770B">
        <w:rPr>
          <w:rFonts w:ascii="Times New Roman" w:hAnsi="Times New Roman"/>
          <w:lang w:val="en-US"/>
        </w:rPr>
        <w:t xml:space="preserve">, unless the amount of the related adjustment to prior periods cannot be reasonably determined </w:t>
      </w:r>
      <w:r w:rsidR="003A3F3F" w:rsidRPr="007D770B">
        <w:rPr>
          <w:rFonts w:ascii="Times New Roman" w:hAnsi="Times New Roman"/>
          <w:lang w:val="en-US"/>
        </w:rPr>
        <w:t xml:space="preserve">or the </w:t>
      </w:r>
      <w:r w:rsidRPr="007D770B">
        <w:rPr>
          <w:rFonts w:ascii="Times New Roman" w:hAnsi="Times New Roman"/>
          <w:lang w:val="en-US"/>
        </w:rPr>
        <w:t xml:space="preserve">transition rules for applying the new IFRS provisions are specified. Any resulting adjustment should be reported as an adjustment to the opening balance of retained earnings. </w:t>
      </w:r>
    </w:p>
    <w:p w14:paraId="18F2E456" w14:textId="77777777" w:rsidR="009E2B77" w:rsidRPr="007D770B" w:rsidRDefault="009E2B77" w:rsidP="00F96B17">
      <w:pPr>
        <w:spacing w:before="240" w:line="240" w:lineRule="auto"/>
        <w:ind w:left="0"/>
        <w:rPr>
          <w:rFonts w:ascii="Times New Roman" w:hAnsi="Times New Roman"/>
          <w:lang w:val="en-US"/>
        </w:rPr>
      </w:pPr>
      <w:r w:rsidRPr="007D770B">
        <w:rPr>
          <w:rFonts w:ascii="Times New Roman" w:hAnsi="Times New Roman"/>
          <w:lang w:val="en-US"/>
        </w:rPr>
        <w:t xml:space="preserve">A change in accounting policy should be applied </w:t>
      </w:r>
      <w:r w:rsidRPr="007D770B">
        <w:rPr>
          <w:rFonts w:ascii="Times New Roman" w:hAnsi="Times New Roman"/>
          <w:b/>
          <w:lang w:val="en-US"/>
        </w:rPr>
        <w:t xml:space="preserve">prospectively </w:t>
      </w:r>
      <w:r w:rsidRPr="007D770B">
        <w:rPr>
          <w:rFonts w:ascii="Times New Roman" w:hAnsi="Times New Roman"/>
          <w:lang w:val="en-US"/>
        </w:rPr>
        <w:t>when the amount of the adjustment to the opening balance of retained earnings for all prior periods cannot be reasonably determined and when prospective application is permitted by the standard.</w:t>
      </w:r>
    </w:p>
    <w:p w14:paraId="392E76B5" w14:textId="335323F6" w:rsidR="009E2B77" w:rsidRPr="007D770B" w:rsidRDefault="009E2B77" w:rsidP="00F96B17">
      <w:pPr>
        <w:spacing w:before="240" w:line="240" w:lineRule="auto"/>
        <w:ind w:left="0"/>
        <w:rPr>
          <w:rFonts w:ascii="Times New Roman" w:hAnsi="Times New Roman"/>
          <w:lang w:val="en-US"/>
        </w:rPr>
      </w:pPr>
      <w:r w:rsidRPr="007D770B">
        <w:rPr>
          <w:rFonts w:ascii="Times New Roman" w:hAnsi="Times New Roman"/>
          <w:lang w:val="en-US"/>
        </w:rPr>
        <w:t xml:space="preserve">When restating comparatives </w:t>
      </w:r>
      <w:r w:rsidR="003A3F3F" w:rsidRPr="007D770B">
        <w:rPr>
          <w:rFonts w:ascii="Times New Roman" w:hAnsi="Times New Roman"/>
          <w:lang w:val="en-US"/>
        </w:rPr>
        <w:t xml:space="preserve">due to a </w:t>
      </w:r>
      <w:r w:rsidRPr="007D770B">
        <w:rPr>
          <w:rFonts w:ascii="Times New Roman" w:hAnsi="Times New Roman"/>
          <w:lang w:val="en-US"/>
        </w:rPr>
        <w:t>change in accounting policy, correction of errors or reclassification of items in the statement of financial position, disclosures are required for three reporting dates. Whereas other forms of reporting (e.g., statement of comprehensive income) require these disclosures for two reporting periods.</w:t>
      </w:r>
    </w:p>
    <w:p w14:paraId="468CD1D3" w14:textId="77777777" w:rsidR="00563501" w:rsidRPr="007D770B" w:rsidRDefault="00563501" w:rsidP="00F96B17">
      <w:pPr>
        <w:spacing w:before="240" w:line="240" w:lineRule="auto"/>
        <w:ind w:left="0"/>
        <w:rPr>
          <w:rFonts w:ascii="Times New Roman" w:hAnsi="Times New Roman"/>
          <w:b/>
          <w:i/>
          <w:lang w:val="en-US"/>
        </w:rPr>
      </w:pPr>
    </w:p>
    <w:p w14:paraId="235A5DDA" w14:textId="77777777" w:rsidR="00563501" w:rsidRPr="007D770B" w:rsidRDefault="00563501" w:rsidP="00F96B17">
      <w:pPr>
        <w:spacing w:before="240" w:line="240" w:lineRule="auto"/>
        <w:ind w:left="0"/>
        <w:rPr>
          <w:rFonts w:ascii="Times New Roman" w:hAnsi="Times New Roman"/>
          <w:b/>
          <w:i/>
          <w:lang w:val="en-US"/>
        </w:rPr>
      </w:pPr>
    </w:p>
    <w:p w14:paraId="5CCF31A3" w14:textId="77777777" w:rsidR="00563501" w:rsidRPr="007D770B" w:rsidRDefault="00563501" w:rsidP="00F96B17">
      <w:pPr>
        <w:spacing w:before="240" w:line="240" w:lineRule="auto"/>
        <w:ind w:left="0"/>
        <w:rPr>
          <w:rFonts w:ascii="Times New Roman" w:hAnsi="Times New Roman"/>
          <w:b/>
          <w:i/>
          <w:lang w:val="en-US"/>
        </w:rPr>
      </w:pPr>
    </w:p>
    <w:p w14:paraId="13B011F5" w14:textId="77777777" w:rsidR="009E2B77" w:rsidRPr="007D770B" w:rsidRDefault="009E2B77" w:rsidP="00F96B17">
      <w:pPr>
        <w:spacing w:before="240" w:line="240" w:lineRule="auto"/>
        <w:ind w:left="0"/>
        <w:rPr>
          <w:rFonts w:ascii="Times New Roman" w:hAnsi="Times New Roman"/>
          <w:b/>
          <w:i/>
          <w:lang w:val="en-US"/>
        </w:rPr>
      </w:pPr>
      <w:r w:rsidRPr="007D770B">
        <w:rPr>
          <w:rFonts w:ascii="Times New Roman" w:hAnsi="Times New Roman"/>
          <w:b/>
          <w:i/>
          <w:lang w:val="en-US"/>
        </w:rPr>
        <w:t>Disclosure</w:t>
      </w:r>
    </w:p>
    <w:p w14:paraId="64ADB261" w14:textId="77777777" w:rsidR="009E2B77" w:rsidRPr="007D770B" w:rsidRDefault="009E2B77" w:rsidP="00F96B17">
      <w:pPr>
        <w:spacing w:before="240" w:line="240" w:lineRule="auto"/>
        <w:ind w:left="0"/>
        <w:rPr>
          <w:rFonts w:ascii="Times New Roman" w:hAnsi="Times New Roman"/>
          <w:lang w:val="en-US"/>
        </w:rPr>
      </w:pPr>
      <w:r w:rsidRPr="007D770B">
        <w:rPr>
          <w:rFonts w:ascii="Times New Roman" w:hAnsi="Times New Roman"/>
          <w:lang w:val="en-US"/>
        </w:rPr>
        <w:t>When a voluntary change in accounting policy affects the current period or a prior period, unless it is impracticable to determine the amount of the adjustment, or if it is reasonably possible to determine the effect on</w:t>
      </w:r>
      <w:bookmarkStart w:id="41" w:name="OLE_LINK1"/>
      <w:bookmarkStart w:id="42" w:name="OLE_LINK2"/>
      <w:r w:rsidRPr="007D770B">
        <w:rPr>
          <w:rFonts w:ascii="Times New Roman" w:hAnsi="Times New Roman"/>
          <w:lang w:val="en-US"/>
        </w:rPr>
        <w:t xml:space="preserve"> future</w:t>
      </w:r>
      <w:bookmarkEnd w:id="41"/>
      <w:bookmarkEnd w:id="42"/>
      <w:r w:rsidRPr="007D770B">
        <w:rPr>
          <w:rFonts w:ascii="Times New Roman" w:hAnsi="Times New Roman"/>
          <w:lang w:val="en-US"/>
        </w:rPr>
        <w:t xml:space="preserve"> periods, the </w:t>
      </w:r>
      <w:r w:rsidR="00F9744B" w:rsidRPr="007D770B">
        <w:rPr>
          <w:rFonts w:ascii="Times New Roman" w:hAnsi="Times New Roman"/>
          <w:lang w:val="en-US"/>
        </w:rPr>
        <w:t xml:space="preserve">Bank </w:t>
      </w:r>
      <w:r w:rsidRPr="007D770B">
        <w:rPr>
          <w:rFonts w:ascii="Times New Roman" w:hAnsi="Times New Roman"/>
          <w:lang w:val="en-US"/>
        </w:rPr>
        <w:t>discloses the following information in the financial statements:</w:t>
      </w:r>
    </w:p>
    <w:p w14:paraId="76A10CED" w14:textId="77777777" w:rsidR="009E2B77" w:rsidRPr="007D770B" w:rsidRDefault="009E2B77" w:rsidP="00AE698A">
      <w:pPr>
        <w:pStyle w:val="aa"/>
        <w:numPr>
          <w:ilvl w:val="0"/>
          <w:numId w:val="187"/>
        </w:numPr>
        <w:spacing w:before="240" w:line="240" w:lineRule="auto"/>
        <w:contextualSpacing w:val="0"/>
        <w:rPr>
          <w:rFonts w:ascii="Times New Roman" w:hAnsi="Times New Roman"/>
          <w:lang w:val="en-US"/>
        </w:rPr>
      </w:pPr>
      <w:r w:rsidRPr="007D770B">
        <w:rPr>
          <w:rFonts w:ascii="Times New Roman" w:hAnsi="Times New Roman"/>
          <w:lang w:val="en-US"/>
        </w:rPr>
        <w:lastRenderedPageBreak/>
        <w:t>the nature of the change in accounting policy;</w:t>
      </w:r>
    </w:p>
    <w:p w14:paraId="1B79CA33" w14:textId="77777777" w:rsidR="009E2B77" w:rsidRPr="007D770B" w:rsidRDefault="009E2B77" w:rsidP="00AE698A">
      <w:pPr>
        <w:pStyle w:val="aa"/>
        <w:numPr>
          <w:ilvl w:val="0"/>
          <w:numId w:val="187"/>
        </w:numPr>
        <w:spacing w:before="240" w:line="240" w:lineRule="auto"/>
        <w:contextualSpacing w:val="0"/>
        <w:rPr>
          <w:rFonts w:ascii="Times New Roman" w:hAnsi="Times New Roman"/>
          <w:lang w:val="en-US"/>
        </w:rPr>
      </w:pPr>
      <w:r w:rsidRPr="007D770B">
        <w:rPr>
          <w:rFonts w:ascii="Times New Roman" w:hAnsi="Times New Roman"/>
          <w:lang w:val="en-US"/>
        </w:rPr>
        <w:t>the reasons why the application of these new accounting policies provides reliable and meaningful information;</w:t>
      </w:r>
    </w:p>
    <w:p w14:paraId="2A4EC1CC" w14:textId="77777777" w:rsidR="009E2B77" w:rsidRPr="007D770B" w:rsidRDefault="009E2B77" w:rsidP="00AE698A">
      <w:pPr>
        <w:pStyle w:val="aa"/>
        <w:numPr>
          <w:ilvl w:val="0"/>
          <w:numId w:val="187"/>
        </w:numPr>
        <w:spacing w:before="240" w:line="240" w:lineRule="auto"/>
        <w:contextualSpacing w:val="0"/>
        <w:rPr>
          <w:rFonts w:ascii="Times New Roman" w:hAnsi="Times New Roman"/>
          <w:lang w:val="en-US"/>
        </w:rPr>
      </w:pPr>
      <w:r w:rsidRPr="007D770B">
        <w:rPr>
          <w:rFonts w:ascii="Times New Roman" w:hAnsi="Times New Roman"/>
          <w:lang w:val="en-US"/>
        </w:rPr>
        <w:t>the amount of the adjustment to each amended line item in the financial statements and to basic and diluted earnings per share for the current period and for each of the periods presented;</w:t>
      </w:r>
    </w:p>
    <w:p w14:paraId="2A6D7C96" w14:textId="77777777" w:rsidR="009E2B77" w:rsidRPr="007D770B" w:rsidRDefault="009E2B77" w:rsidP="00AE698A">
      <w:pPr>
        <w:pStyle w:val="aa"/>
        <w:numPr>
          <w:ilvl w:val="0"/>
          <w:numId w:val="187"/>
        </w:numPr>
        <w:spacing w:before="240" w:line="240" w:lineRule="auto"/>
        <w:contextualSpacing w:val="0"/>
        <w:rPr>
          <w:rFonts w:ascii="Times New Roman" w:hAnsi="Times New Roman"/>
          <w:lang w:val="en-US"/>
        </w:rPr>
      </w:pPr>
      <w:r w:rsidRPr="007D770B">
        <w:rPr>
          <w:rFonts w:ascii="Times New Roman" w:hAnsi="Times New Roman"/>
          <w:lang w:val="en-US"/>
        </w:rPr>
        <w:t>the amount of the adjustment relating to periods prior to those included in the comparative information (to the extent practicable); and</w:t>
      </w:r>
    </w:p>
    <w:p w14:paraId="4551594A" w14:textId="77777777" w:rsidR="009E2B77" w:rsidRPr="007D770B" w:rsidRDefault="009E2B77" w:rsidP="00AE698A">
      <w:pPr>
        <w:pStyle w:val="aa"/>
        <w:numPr>
          <w:ilvl w:val="0"/>
          <w:numId w:val="187"/>
        </w:numPr>
        <w:spacing w:before="240" w:line="240" w:lineRule="auto"/>
        <w:contextualSpacing w:val="0"/>
        <w:rPr>
          <w:rFonts w:ascii="Times New Roman" w:hAnsi="Times New Roman"/>
          <w:lang w:val="en-US"/>
        </w:rPr>
      </w:pPr>
      <w:r w:rsidRPr="007D770B">
        <w:rPr>
          <w:rFonts w:ascii="Times New Roman" w:hAnsi="Times New Roman"/>
          <w:lang w:val="en-US"/>
        </w:rPr>
        <w:t>if retrospective application is impracticable for any single prior period or for periods earlier than those presented, the circumstances that led to the existence of the condition and a description of how and from when the change in accounting policy is applied.</w:t>
      </w:r>
    </w:p>
    <w:p w14:paraId="5CDB3AB5" w14:textId="77777777" w:rsidR="009E2B77" w:rsidRPr="007D770B" w:rsidRDefault="009E2B77" w:rsidP="00F96B17">
      <w:pPr>
        <w:keepNext/>
        <w:spacing w:before="240" w:line="240" w:lineRule="auto"/>
        <w:ind w:left="0"/>
        <w:rPr>
          <w:rFonts w:ascii="Times New Roman" w:hAnsi="Times New Roman"/>
          <w:i/>
          <w:lang w:val="en-US"/>
        </w:rPr>
      </w:pPr>
      <w:r w:rsidRPr="007D770B">
        <w:rPr>
          <w:rFonts w:ascii="Times New Roman" w:hAnsi="Times New Roman"/>
          <w:i/>
          <w:lang w:val="en-US"/>
        </w:rPr>
        <w:t xml:space="preserve">Example 1. Changes in accounting policy </w:t>
      </w:r>
      <w:r w:rsidR="004D1948" w:rsidRPr="007D770B">
        <w:rPr>
          <w:rFonts w:ascii="Times New Roman" w:hAnsi="Times New Roman"/>
          <w:i/>
          <w:lang w:val="en-US"/>
        </w:rPr>
        <w:t>- full financial year</w:t>
      </w:r>
    </w:p>
    <w:p w14:paraId="61680EE3" w14:textId="77777777" w:rsidR="009E2B77" w:rsidRPr="002D4EA3" w:rsidRDefault="00BD6A60" w:rsidP="009C23FF">
      <w:pPr>
        <w:spacing w:before="240" w:after="0" w:line="240" w:lineRule="auto"/>
        <w:ind w:left="0"/>
        <w:rPr>
          <w:rFonts w:ascii="Times New Roman" w:hAnsi="Times New Roman"/>
        </w:rPr>
      </w:pPr>
      <w:r>
        <w:rPr>
          <w:rFonts w:ascii="Times New Roman" w:hAnsi="Times New Roman"/>
          <w:noProof/>
          <w:lang w:eastAsia="ru-RU"/>
        </w:rPr>
        <mc:AlternateContent>
          <mc:Choice Requires="wpc">
            <w:drawing>
              <wp:inline distT="0" distB="0" distL="0" distR="0" wp14:anchorId="6402EB57" wp14:editId="5F0B4657">
                <wp:extent cx="5941695" cy="2671445"/>
                <wp:effectExtent l="0" t="0" r="1905" b="0"/>
                <wp:docPr id="873" name="Полотно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860" name="Rectangle 5"/>
                        <wps:cNvSpPr>
                          <a:spLocks noChangeArrowheads="1"/>
                        </wps:cNvSpPr>
                        <wps:spPr bwMode="auto">
                          <a:xfrm>
                            <a:off x="79375" y="570865"/>
                            <a:ext cx="1332865" cy="52260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D71F08" w14:textId="77777777" w:rsidR="003A587C" w:rsidRPr="004D1948" w:rsidRDefault="003A587C" w:rsidP="007D477A">
                              <w:pPr>
                                <w:autoSpaceDE w:val="0"/>
                                <w:autoSpaceDN w:val="0"/>
                                <w:adjustRightInd w:val="0"/>
                                <w:spacing w:after="0" w:line="240" w:lineRule="auto"/>
                                <w:ind w:left="0"/>
                                <w:jc w:val="center"/>
                                <w:rPr>
                                  <w:rFonts w:ascii="Times New Roman" w:hAnsi="Times New Roman"/>
                                  <w:color w:val="000000"/>
                                  <w:sz w:val="16"/>
                                  <w:szCs w:val="16"/>
                                </w:rPr>
                              </w:pPr>
                              <w:r w:rsidRPr="004D1948">
                                <w:rPr>
                                  <w:rFonts w:ascii="Times New Roman" w:hAnsi="Times New Roman"/>
                                  <w:color w:val="000000"/>
                                  <w:sz w:val="16"/>
                                  <w:szCs w:val="16"/>
                                </w:rPr>
                                <w:t xml:space="preserve">January </w:t>
                              </w:r>
                              <w:r w:rsidRPr="004D1948">
                                <w:rPr>
                                  <w:rFonts w:ascii="Times New Roman" w:hAnsi="Times New Roman"/>
                                  <w:color w:val="000000"/>
                                  <w:sz w:val="16"/>
                                  <w:szCs w:val="16"/>
                                  <w:lang w:val="en-US"/>
                                </w:rPr>
                                <w:t>1</w:t>
                              </w:r>
                              <w:r w:rsidRPr="004D1948">
                                <w:rPr>
                                  <w:rFonts w:ascii="Times New Roman" w:hAnsi="Times New Roman"/>
                                  <w:color w:val="000000"/>
                                  <w:sz w:val="16"/>
                                  <w:szCs w:val="16"/>
                                </w:rPr>
                                <w:t xml:space="preserve">, </w:t>
                              </w:r>
                              <w:r>
                                <w:rPr>
                                  <w:rFonts w:ascii="Times New Roman" w:hAnsi="Times New Roman"/>
                                  <w:color w:val="000000"/>
                                  <w:sz w:val="16"/>
                                  <w:szCs w:val="16"/>
                                </w:rPr>
                                <w:t>20XX</w:t>
                              </w:r>
                              <w:r w:rsidRPr="004D1948">
                                <w:rPr>
                                  <w:rFonts w:ascii="Times New Roman" w:hAnsi="Times New Roman"/>
                                  <w:color w:val="000000"/>
                                  <w:sz w:val="16"/>
                                  <w:szCs w:val="16"/>
                                </w:rPr>
                                <w:t>.</w:t>
                              </w:r>
                            </w:p>
                          </w:txbxContent>
                        </wps:txbx>
                        <wps:bodyPr rot="0" vert="horz" wrap="square" lIns="62179" tIns="31090" rIns="62179" bIns="31090" anchor="t" anchorCtr="0" upright="1">
                          <a:noAutofit/>
                        </wps:bodyPr>
                      </wps:wsp>
                      <wps:wsp>
                        <wps:cNvPr id="861" name="Rectangle 6"/>
                        <wps:cNvSpPr>
                          <a:spLocks noChangeArrowheads="1"/>
                        </wps:cNvSpPr>
                        <wps:spPr bwMode="auto">
                          <a:xfrm>
                            <a:off x="2179955" y="570865"/>
                            <a:ext cx="1332865" cy="52197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F296C" w14:textId="77777777" w:rsidR="003A587C" w:rsidRPr="004D1948" w:rsidRDefault="003A587C" w:rsidP="007D477A">
                              <w:pPr>
                                <w:autoSpaceDE w:val="0"/>
                                <w:autoSpaceDN w:val="0"/>
                                <w:adjustRightInd w:val="0"/>
                                <w:spacing w:after="0" w:line="240" w:lineRule="auto"/>
                                <w:ind w:left="0"/>
                                <w:jc w:val="center"/>
                                <w:rPr>
                                  <w:rFonts w:ascii="Times New Roman" w:hAnsi="Times New Roman"/>
                                  <w:color w:val="000000"/>
                                  <w:sz w:val="16"/>
                                  <w:szCs w:val="16"/>
                                </w:rPr>
                              </w:pPr>
                              <w:r w:rsidRPr="004D1948">
                                <w:rPr>
                                  <w:rFonts w:ascii="Times New Roman" w:hAnsi="Times New Roman"/>
                                  <w:color w:val="000000"/>
                                  <w:sz w:val="16"/>
                                  <w:szCs w:val="16"/>
                                </w:rPr>
                                <w:t>December</w:t>
                              </w:r>
                              <w:r w:rsidRPr="004D1948">
                                <w:rPr>
                                  <w:rFonts w:ascii="Times New Roman" w:hAnsi="Times New Roman"/>
                                  <w:color w:val="000000"/>
                                  <w:sz w:val="16"/>
                                  <w:szCs w:val="16"/>
                                  <w:lang w:val="en-US"/>
                                </w:rPr>
                                <w:t xml:space="preserve"> 31</w:t>
                              </w:r>
                              <w:r w:rsidRPr="004D1948">
                                <w:rPr>
                                  <w:rFonts w:ascii="Times New Roman" w:hAnsi="Times New Roman"/>
                                  <w:color w:val="000000"/>
                                  <w:sz w:val="16"/>
                                  <w:szCs w:val="16"/>
                                </w:rPr>
                                <w:t xml:space="preserve">, </w:t>
                              </w:r>
                              <w:r>
                                <w:rPr>
                                  <w:rFonts w:ascii="Times New Roman" w:hAnsi="Times New Roman"/>
                                  <w:color w:val="000000"/>
                                  <w:sz w:val="16"/>
                                  <w:szCs w:val="16"/>
                                </w:rPr>
                                <w:t>20XX</w:t>
                              </w:r>
                            </w:p>
                          </w:txbxContent>
                        </wps:txbx>
                        <wps:bodyPr rot="0" vert="horz" wrap="square" lIns="62179" tIns="31090" rIns="62179" bIns="31090" anchor="t" anchorCtr="0" upright="1">
                          <a:noAutofit/>
                        </wps:bodyPr>
                      </wps:wsp>
                      <wps:wsp>
                        <wps:cNvPr id="862" name="Rectangle 7"/>
                        <wps:cNvSpPr>
                          <a:spLocks noChangeArrowheads="1"/>
                        </wps:cNvSpPr>
                        <wps:spPr bwMode="auto">
                          <a:xfrm>
                            <a:off x="4352290" y="547370"/>
                            <a:ext cx="1332865" cy="52197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8BA847" w14:textId="77777777" w:rsidR="003A587C" w:rsidRPr="004D1948" w:rsidRDefault="003A587C" w:rsidP="007D477A">
                              <w:pPr>
                                <w:autoSpaceDE w:val="0"/>
                                <w:autoSpaceDN w:val="0"/>
                                <w:adjustRightInd w:val="0"/>
                                <w:spacing w:after="0" w:line="240" w:lineRule="auto"/>
                                <w:ind w:left="0"/>
                                <w:jc w:val="center"/>
                                <w:rPr>
                                  <w:rFonts w:ascii="Times New Roman" w:hAnsi="Times New Roman"/>
                                  <w:color w:val="000000"/>
                                  <w:sz w:val="16"/>
                                  <w:szCs w:val="16"/>
                                </w:rPr>
                              </w:pPr>
                              <w:r w:rsidRPr="004D1948">
                                <w:rPr>
                                  <w:rFonts w:ascii="Times New Roman" w:hAnsi="Times New Roman"/>
                                  <w:color w:val="000000"/>
                                  <w:sz w:val="16"/>
                                  <w:szCs w:val="16"/>
                                </w:rPr>
                                <w:t>December</w:t>
                              </w:r>
                              <w:r w:rsidRPr="004D1948">
                                <w:rPr>
                                  <w:rFonts w:ascii="Times New Roman" w:hAnsi="Times New Roman"/>
                                  <w:color w:val="000000"/>
                                  <w:sz w:val="16"/>
                                  <w:szCs w:val="16"/>
                                  <w:lang w:val="en-US"/>
                                </w:rPr>
                                <w:t xml:space="preserve"> 31</w:t>
                              </w:r>
                              <w:r w:rsidRPr="004D1948">
                                <w:rPr>
                                  <w:rFonts w:ascii="Times New Roman" w:hAnsi="Times New Roman"/>
                                  <w:color w:val="000000"/>
                                  <w:sz w:val="16"/>
                                  <w:szCs w:val="16"/>
                                </w:rPr>
                                <w:t xml:space="preserve">, </w:t>
                              </w:r>
                              <w:r>
                                <w:rPr>
                                  <w:rFonts w:ascii="Times New Roman" w:hAnsi="Times New Roman"/>
                                  <w:color w:val="000000"/>
                                  <w:sz w:val="16"/>
                                  <w:szCs w:val="16"/>
                                </w:rPr>
                                <w:t>20XX+1</w:t>
                              </w:r>
                            </w:p>
                          </w:txbxContent>
                        </wps:txbx>
                        <wps:bodyPr rot="0" vert="horz" wrap="square" lIns="62179" tIns="31090" rIns="62179" bIns="31090" anchor="t" anchorCtr="0" upright="1">
                          <a:noAutofit/>
                        </wps:bodyPr>
                      </wps:wsp>
                      <wps:wsp>
                        <wps:cNvPr id="863" name="Rectangle 8"/>
                        <wps:cNvSpPr>
                          <a:spLocks noChangeArrowheads="1"/>
                        </wps:cNvSpPr>
                        <wps:spPr bwMode="auto">
                          <a:xfrm>
                            <a:off x="25400" y="928370"/>
                            <a:ext cx="1569085" cy="44831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98BB8" w14:textId="77777777" w:rsidR="003A587C" w:rsidRPr="007D770B" w:rsidRDefault="003A587C" w:rsidP="007D477A">
                              <w:pPr>
                                <w:autoSpaceDE w:val="0"/>
                                <w:autoSpaceDN w:val="0"/>
                                <w:adjustRightInd w:val="0"/>
                                <w:spacing w:after="0" w:line="240" w:lineRule="auto"/>
                                <w:ind w:left="0"/>
                                <w:jc w:val="center"/>
                                <w:rPr>
                                  <w:rFonts w:ascii="Times New Roman" w:hAnsi="Times New Roman"/>
                                  <w:color w:val="000000"/>
                                  <w:sz w:val="16"/>
                                  <w:szCs w:val="16"/>
                                  <w:lang w:val="en-US"/>
                                </w:rPr>
                              </w:pPr>
                              <w:r w:rsidRPr="007D770B">
                                <w:rPr>
                                  <w:rFonts w:ascii="Times New Roman" w:hAnsi="Times New Roman"/>
                                  <w:color w:val="000000"/>
                                  <w:sz w:val="16"/>
                                  <w:szCs w:val="16"/>
                                  <w:lang w:val="en-US"/>
                                </w:rPr>
                                <w:t>Opening balance of the earliest period presented</w:t>
                              </w:r>
                            </w:p>
                          </w:txbxContent>
                        </wps:txbx>
                        <wps:bodyPr rot="0" vert="horz" wrap="square" lIns="62179" tIns="31090" rIns="62179" bIns="31090" anchor="t" anchorCtr="0" upright="1">
                          <a:noAutofit/>
                        </wps:bodyPr>
                      </wps:wsp>
                      <wps:wsp>
                        <wps:cNvPr id="865" name="Rectangle 9"/>
                        <wps:cNvSpPr>
                          <a:spLocks noChangeArrowheads="1"/>
                        </wps:cNvSpPr>
                        <wps:spPr bwMode="auto">
                          <a:xfrm>
                            <a:off x="1939925" y="939800"/>
                            <a:ext cx="1848485" cy="35306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A1450" w14:textId="77777777" w:rsidR="003A587C" w:rsidRPr="007D770B" w:rsidRDefault="003A587C" w:rsidP="007D477A">
                              <w:pPr>
                                <w:autoSpaceDE w:val="0"/>
                                <w:autoSpaceDN w:val="0"/>
                                <w:adjustRightInd w:val="0"/>
                                <w:spacing w:after="0" w:line="240" w:lineRule="auto"/>
                                <w:ind w:left="0"/>
                                <w:jc w:val="center"/>
                                <w:rPr>
                                  <w:rFonts w:ascii="Times New Roman" w:hAnsi="Times New Roman"/>
                                  <w:color w:val="000000"/>
                                  <w:sz w:val="16"/>
                                  <w:szCs w:val="16"/>
                                  <w:lang w:val="en-US"/>
                                </w:rPr>
                              </w:pPr>
                              <w:r w:rsidRPr="007D770B">
                                <w:rPr>
                                  <w:rFonts w:ascii="Times New Roman" w:hAnsi="Times New Roman"/>
                                  <w:color w:val="000000"/>
                                  <w:sz w:val="16"/>
                                  <w:szCs w:val="16"/>
                                  <w:lang w:val="en-US"/>
                                </w:rPr>
                                <w:t>Comparative information for the previous period</w:t>
                              </w:r>
                            </w:p>
                          </w:txbxContent>
                        </wps:txbx>
                        <wps:bodyPr rot="0" vert="horz" wrap="square" lIns="62179" tIns="31090" rIns="62179" bIns="31090" anchor="t" anchorCtr="0" upright="1">
                          <a:noAutofit/>
                        </wps:bodyPr>
                      </wps:wsp>
                      <wps:wsp>
                        <wps:cNvPr id="866" name="Rectangle 10"/>
                        <wps:cNvSpPr>
                          <a:spLocks noChangeArrowheads="1"/>
                        </wps:cNvSpPr>
                        <wps:spPr bwMode="auto">
                          <a:xfrm>
                            <a:off x="4471035" y="924560"/>
                            <a:ext cx="1355725" cy="36830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61284" w14:textId="77777777" w:rsidR="003A587C" w:rsidRPr="007D770B" w:rsidRDefault="003A587C" w:rsidP="007D477A">
                              <w:pPr>
                                <w:autoSpaceDE w:val="0"/>
                                <w:autoSpaceDN w:val="0"/>
                                <w:adjustRightInd w:val="0"/>
                                <w:spacing w:after="0" w:line="240" w:lineRule="auto"/>
                                <w:ind w:left="0"/>
                                <w:jc w:val="center"/>
                                <w:rPr>
                                  <w:rFonts w:ascii="Times New Roman" w:hAnsi="Times New Roman"/>
                                  <w:color w:val="000000"/>
                                  <w:sz w:val="16"/>
                                  <w:szCs w:val="16"/>
                                  <w:lang w:val="en-US"/>
                                </w:rPr>
                              </w:pPr>
                              <w:r w:rsidRPr="007D770B">
                                <w:rPr>
                                  <w:rFonts w:ascii="Times New Roman" w:hAnsi="Times New Roman"/>
                                  <w:color w:val="000000"/>
                                  <w:sz w:val="16"/>
                                  <w:szCs w:val="16"/>
                                  <w:lang w:val="en-US"/>
                                </w:rPr>
                                <w:t>Financial statements for the current period</w:t>
                              </w:r>
                            </w:p>
                          </w:txbxContent>
                        </wps:txbx>
                        <wps:bodyPr rot="0" vert="horz" wrap="square" lIns="62179" tIns="31090" rIns="62179" bIns="31090" anchor="t" anchorCtr="0" upright="1">
                          <a:noAutofit/>
                        </wps:bodyPr>
                      </wps:wsp>
                      <wps:wsp>
                        <wps:cNvPr id="867" name="Rectangle 11"/>
                        <wps:cNvSpPr>
                          <a:spLocks noChangeArrowheads="1"/>
                        </wps:cNvSpPr>
                        <wps:spPr bwMode="auto">
                          <a:xfrm>
                            <a:off x="86360" y="1879600"/>
                            <a:ext cx="1455420" cy="72326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BF6018" w14:textId="77777777" w:rsidR="003A587C" w:rsidRPr="007D770B" w:rsidRDefault="003A587C" w:rsidP="007D477A">
                              <w:pPr>
                                <w:autoSpaceDE w:val="0"/>
                                <w:autoSpaceDN w:val="0"/>
                                <w:adjustRightInd w:val="0"/>
                                <w:spacing w:after="0" w:line="240" w:lineRule="auto"/>
                                <w:ind w:left="0"/>
                                <w:jc w:val="center"/>
                                <w:rPr>
                                  <w:rFonts w:ascii="Times New Roman" w:hAnsi="Times New Roman"/>
                                  <w:color w:val="000000"/>
                                  <w:sz w:val="16"/>
                                  <w:szCs w:val="16"/>
                                  <w:lang w:val="en-US"/>
                                </w:rPr>
                              </w:pPr>
                              <w:r w:rsidRPr="007D770B">
                                <w:rPr>
                                  <w:rFonts w:ascii="Times New Roman" w:hAnsi="Times New Roman"/>
                                  <w:color w:val="000000"/>
                                  <w:sz w:val="16"/>
                                  <w:szCs w:val="16"/>
                                  <w:lang w:val="en-US"/>
                                </w:rPr>
                                <w:t>The effect of a change in accounting policy is recognized in retained earnings</w:t>
                              </w:r>
                            </w:p>
                          </w:txbxContent>
                        </wps:txbx>
                        <wps:bodyPr rot="0" vert="horz" wrap="square" lIns="62179" tIns="31090" rIns="62179" bIns="31090" anchor="t" anchorCtr="0" upright="1">
                          <a:noAutofit/>
                        </wps:bodyPr>
                      </wps:wsp>
                      <wps:wsp>
                        <wps:cNvPr id="868" name="AutoShape 12"/>
                        <wps:cNvCnPr/>
                        <wps:spPr bwMode="auto">
                          <a:xfrm>
                            <a:off x="190500" y="405765"/>
                            <a:ext cx="5494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9" name="AutoShape 13"/>
                        <wps:cNvCnPr/>
                        <wps:spPr bwMode="auto">
                          <a:xfrm>
                            <a:off x="745490" y="214630"/>
                            <a:ext cx="635" cy="3562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0" name="AutoShape 14"/>
                        <wps:cNvCnPr/>
                        <wps:spPr bwMode="auto">
                          <a:xfrm>
                            <a:off x="2846070" y="214630"/>
                            <a:ext cx="635" cy="3562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1" name="AutoShape 15"/>
                        <wps:cNvCnPr/>
                        <wps:spPr bwMode="auto">
                          <a:xfrm>
                            <a:off x="5018405" y="214630"/>
                            <a:ext cx="635" cy="3327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2" name="AutoShape 16"/>
                        <wps:cNvCnPr/>
                        <wps:spPr bwMode="auto">
                          <a:xfrm flipH="1" flipV="1">
                            <a:off x="810260" y="1376680"/>
                            <a:ext cx="3810" cy="50292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6402EB57" id="Полотно 3" o:spid="_x0000_s1026" editas="canvas" style="width:467.85pt;height:210.35pt;mso-position-horizontal-relative:char;mso-position-vertical-relative:line" coordsize="59416,26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8+eYgQAAPYaAAAOAAAAZHJzL2Uyb0RvYy54bWzsWVuP4zQUfkfiP1h+Z5rEuVaTWa26LCAt&#10;MNpdeHcTp41I7GCnl9lfzzl2mu1lB8oArZA6I7WO4x6fy+dz8/2rbduQtdCmVjKn/p1HiZCFKmu5&#10;yOkvH99+k1Jiei5L3igpcvokDH318PVX95tuKgK1VE0pNAEi0kw3XU6Xfd9NJxNTLEXLzZ3qhISX&#10;ldIt7+FRLyal5hug3jaTwPPiyUbpstOqEMbA7Bv3kj5Y+lUliv7nqjKiJ01Ogbfefmr7OcfPycM9&#10;ny4075Z1MbDBX8BFy2sJm46k3vCek5WuT0i1daGVUVV/V6h2oqqqLoSVAaTxvSNpZlyuubHCFKCd&#10;HYMw+hfpzhfIt1Rv66YBbUyA+hTn8HsD9hEwuenAOqYb7WT+2f4flrwTViwzLX5aP2pSlzlNYzCQ&#10;5C2g5D3YjctFI0iEFsLtYd2H7lEjr6Z7p4rfDJFqtoRV4rXWarMUvAS2fFwPMuz9AB8M/JTMNz+q&#10;EqjzVa+ssbaVbpEgmIFsc5pkLIkoecpplHhpbLfmU7HtSQFvfcYCnCQFLgiC2LMLJny6I9Np038n&#10;VEtwkFMNQtht+Pqd6ZEtPt0tOVA5nzbyYAIW4owVAzl3Gui38+2gjLkqn0AgrRye4fzBYKn0J0o2&#10;gOWcmt9XXAtKmh8kKCUO/CQD8NsH5nsZKFrvv5nvv+GyAFI57Slxw1nvDsyq0/ViCTv5ViypXoMi&#10;q9qKhkp2XA18A1wuhhv/FDfxBXGD2s2is5HjZ4n1O5dFjj1i9nR8NtUNQIPjCU4BlFwQQCEDf4KH&#10;Ej1LmDCHj2ddzxUBFOy0cvNAB5GLnQIo3anqApEriELPwScL0lP4RHHmpUPkCsMUIgDydgX/w3Y6&#10;ucHnAD5gm+PEJ9up6gLw8TOWZYELYDBMAUuAjz3/k4bwPwCIRcyDTO06AAp3WrkB6ABA8SmA3CE/&#10;yIT/u9Q5DBPfYwOCgjByANlDEIuiBBGGyTOLU+YgdgUXNBYUNwQdICj5AoLGdPECPiiNGdZ/AA8/&#10;TbL4xAWFURQGsAABlAQscOXZFQA0VhY3AB0ACBo9LoZhVWgrfOKP6SIAaCYf9VC+nlWN+5kXDUlN&#10;6EXJcTkehVkYY9GFgPiLcGR6zbFynSkpoShX2hWw59TlZJPTLALPhfHQqKYusU9iH/RiPms0WXNs&#10;Ldm/ISgeLNNqJUsbTbFD8e0w7nnduDEg+Au1vsMWxlh04JespaFPcGLGMW17gRmTECzlDnbghzE7&#10;Si1iDBo2KERxAOM/TStudjztET7TS4MS8tSOY/b0AjsGaRh7SBWO282Ql2tuJWNza8+vjknMCwwZ&#10;eX4KDvUMQ7IgCW+eFa8h/lbX/rkTOTaZ9gw5JhPnGpJUTd19jy1YO/p114wdWtip70Fj2qVRLInj&#10;9MjdMljg/G3kBRnkU/9Pf0v6pw4b+dj4h5Z3TltRQrNbwBUUjpxQ54VVe98Bdx22HzJcBOHtzf6z&#10;DcOfr6se/gAAAP//AwBQSwMEFAAGAAgAAAAhAMKTftjdAAAABQEAAA8AAABkcnMvZG93bnJldi54&#10;bWxMj8FOwzAQRO9I/IO1SNyoQ4EGQpyqKkIVqnqghfvW3iZR43UUO2ng6zFcymWl0Yxm3ubz0TZi&#10;oM7XjhXcThIQxNqZmksFH7vXm0cQPiAbbByTgi/yMC8uL3LMjDvxOw3bUIpYwj5DBVUIbSal1xVZ&#10;9BPXEkfv4DqLIcqulKbDUyy3jZwmyUxarDkuVNjSsiJ93PZWAQ6LQdvD22yt+89vTl9Wu3azUur6&#10;alw8gwg0hnMYfvEjOhSRae96Nl40CuIj4e9G7+nuIQWxV3A/TVKQRS7/0xc/AAAA//8DAFBLAQIt&#10;ABQABgAIAAAAIQC2gziS/gAAAOEBAAATAAAAAAAAAAAAAAAAAAAAAABbQ29udGVudF9UeXBlc10u&#10;eG1sUEsBAi0AFAAGAAgAAAAhADj9If/WAAAAlAEAAAsAAAAAAAAAAAAAAAAALwEAAF9yZWxzLy5y&#10;ZWxzUEsBAi0AFAAGAAgAAAAhANQHz55iBAAA9hoAAA4AAAAAAAAAAAAAAAAALgIAAGRycy9lMm9E&#10;b2MueG1sUEsBAi0AFAAGAAgAAAAhAMKTftjdAAAABQEAAA8AAAAAAAAAAAAAAAAAvAYAAGRycy9k&#10;b3ducmV2LnhtbFBLBQYAAAAABAAEAPMAAADG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16;height:26714;visibility:visible;mso-wrap-style:square">
                  <v:fill o:detectmouseclick="t"/>
                  <v:path o:connecttype="none"/>
                </v:shape>
                <v:rect id="Rectangle 5" o:spid="_x0000_s1028" style="position:absolute;left:793;top:5708;width:13329;height:5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vRvgAAANwAAAAPAAAAZHJzL2Rvd25yZXYueG1sRE9Li8Iw&#10;EL4L/ocwwt40dQ9aqlHUxWWvPvA8NGNTbCalGWv995vDwh4/vvd6O/hG9dTFOrCB+SwDRVwGW3Nl&#10;4Ho5TnNQUZAtNoHJwJsibDfj0RoLG158ov4slUohHAs04ETaQutYOvIYZ6ElTtw9dB4lwa7StsNX&#10;CveN/syyhfZYc2pw2NLBUfk4P72BVnZfuT/03zfZL5c6c/PHPm+M+ZgMuxUooUH+xX/uH2sgX6T5&#10;6Uw6AnrzCwAA//8DAFBLAQItABQABgAIAAAAIQDb4fbL7gAAAIUBAAATAAAAAAAAAAAAAAAAAAAA&#10;AABbQ29udGVudF9UeXBlc10ueG1sUEsBAi0AFAAGAAgAAAAhAFr0LFu/AAAAFQEAAAsAAAAAAAAA&#10;AAAAAAAAHwEAAF9yZWxzLy5yZWxzUEsBAi0AFAAGAAgAAAAhAPRv69G+AAAA3AAAAA8AAAAAAAAA&#10;AAAAAAAABwIAAGRycy9kb3ducmV2LnhtbFBLBQYAAAAAAwADALcAAADyAgAAAAA=&#10;" filled="f" fillcolor="#bbe0e3" stroked="f">
                  <v:textbox inset="1.72719mm,.86361mm,1.72719mm,.86361mm">
                    <w:txbxContent>
                      <w:p w14:paraId="72D71F08" w14:textId="77777777" w:rsidR="003A587C" w:rsidRPr="004D1948" w:rsidRDefault="003A587C" w:rsidP="007D477A">
                        <w:pPr>
                          <w:autoSpaceDE w:val="0"/>
                          <w:autoSpaceDN w:val="0"/>
                          <w:adjustRightInd w:val="0"/>
                          <w:spacing w:after="0" w:line="240" w:lineRule="auto"/>
                          <w:ind w:left="0"/>
                          <w:jc w:val="center"/>
                          <w:rPr>
                            <w:rFonts w:ascii="Times New Roman" w:hAnsi="Times New Roman"/>
                            <w:color w:val="000000"/>
                            <w:sz w:val="16"/>
                            <w:szCs w:val="16"/>
                          </w:rPr>
                        </w:pPr>
                        <w:r w:rsidRPr="004D1948">
                          <w:rPr>
                            <w:rFonts w:ascii="Times New Roman" w:hAnsi="Times New Roman"/>
                            <w:color w:val="000000"/>
                            <w:sz w:val="16"/>
                            <w:szCs w:val="16"/>
                          </w:rPr>
                          <w:t xml:space="preserve">January </w:t>
                        </w:r>
                        <w:r w:rsidRPr="004D1948">
                          <w:rPr>
                            <w:rFonts w:ascii="Times New Roman" w:hAnsi="Times New Roman"/>
                            <w:color w:val="000000"/>
                            <w:sz w:val="16"/>
                            <w:szCs w:val="16"/>
                            <w:lang w:val="en-US"/>
                          </w:rPr>
                          <w:t>1</w:t>
                        </w:r>
                        <w:r w:rsidRPr="004D1948">
                          <w:rPr>
                            <w:rFonts w:ascii="Times New Roman" w:hAnsi="Times New Roman"/>
                            <w:color w:val="000000"/>
                            <w:sz w:val="16"/>
                            <w:szCs w:val="16"/>
                          </w:rPr>
                          <w:t xml:space="preserve">, </w:t>
                        </w:r>
                        <w:r>
                          <w:rPr>
                            <w:rFonts w:ascii="Times New Roman" w:hAnsi="Times New Roman"/>
                            <w:color w:val="000000"/>
                            <w:sz w:val="16"/>
                            <w:szCs w:val="16"/>
                          </w:rPr>
                          <w:t>20XX</w:t>
                        </w:r>
                        <w:r w:rsidRPr="004D1948">
                          <w:rPr>
                            <w:rFonts w:ascii="Times New Roman" w:hAnsi="Times New Roman"/>
                            <w:color w:val="000000"/>
                            <w:sz w:val="16"/>
                            <w:szCs w:val="16"/>
                          </w:rPr>
                          <w:t>.</w:t>
                        </w:r>
                      </w:p>
                    </w:txbxContent>
                  </v:textbox>
                </v:rect>
                <v:rect id="Rectangle 6" o:spid="_x0000_s1029" style="position:absolute;left:21799;top:5708;width:13329;height:5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05KwgAAANwAAAAPAAAAZHJzL2Rvd25yZXYueG1sRI/BasMw&#10;EETvhfyD2EBvjeweEuNGDklKS69NQs6LtbWMrZWxto7791WhkOMwM2+Y7W72vZpojG1gA/kqA0Vc&#10;B9tyY+ByfnsqQEVBttgHJgM/FGFXLR62WNpw40+aTtKoBOFYogEnMpRax9qRx7gKA3HyvsLoUZIc&#10;G21HvCW47/Vzlq21x5bTgsOBjo7q7vTtDQyyfy38cXq/ymGz0ZnLu0PRG/O4nPcvoIRmuYf/2x/W&#10;QLHO4e9MOgK6+gUAAP//AwBQSwECLQAUAAYACAAAACEA2+H2y+4AAACFAQAAEwAAAAAAAAAAAAAA&#10;AAAAAAAAW0NvbnRlbnRfVHlwZXNdLnhtbFBLAQItABQABgAIAAAAIQBa9CxbvwAAABUBAAALAAAA&#10;AAAAAAAAAAAAAB8BAABfcmVscy8ucmVsc1BLAQItABQABgAIAAAAIQCbI05KwgAAANwAAAAPAAAA&#10;AAAAAAAAAAAAAAcCAABkcnMvZG93bnJldi54bWxQSwUGAAAAAAMAAwC3AAAA9gIAAAAA&#10;" filled="f" fillcolor="#bbe0e3" stroked="f">
                  <v:textbox inset="1.72719mm,.86361mm,1.72719mm,.86361mm">
                    <w:txbxContent>
                      <w:p w14:paraId="27EF296C" w14:textId="77777777" w:rsidR="003A587C" w:rsidRPr="004D1948" w:rsidRDefault="003A587C" w:rsidP="007D477A">
                        <w:pPr>
                          <w:autoSpaceDE w:val="0"/>
                          <w:autoSpaceDN w:val="0"/>
                          <w:adjustRightInd w:val="0"/>
                          <w:spacing w:after="0" w:line="240" w:lineRule="auto"/>
                          <w:ind w:left="0"/>
                          <w:jc w:val="center"/>
                          <w:rPr>
                            <w:rFonts w:ascii="Times New Roman" w:hAnsi="Times New Roman"/>
                            <w:color w:val="000000"/>
                            <w:sz w:val="16"/>
                            <w:szCs w:val="16"/>
                          </w:rPr>
                        </w:pPr>
                        <w:r w:rsidRPr="004D1948">
                          <w:rPr>
                            <w:rFonts w:ascii="Times New Roman" w:hAnsi="Times New Roman"/>
                            <w:color w:val="000000"/>
                            <w:sz w:val="16"/>
                            <w:szCs w:val="16"/>
                          </w:rPr>
                          <w:t>December</w:t>
                        </w:r>
                        <w:r w:rsidRPr="004D1948">
                          <w:rPr>
                            <w:rFonts w:ascii="Times New Roman" w:hAnsi="Times New Roman"/>
                            <w:color w:val="000000"/>
                            <w:sz w:val="16"/>
                            <w:szCs w:val="16"/>
                            <w:lang w:val="en-US"/>
                          </w:rPr>
                          <w:t xml:space="preserve"> 31</w:t>
                        </w:r>
                        <w:r w:rsidRPr="004D1948">
                          <w:rPr>
                            <w:rFonts w:ascii="Times New Roman" w:hAnsi="Times New Roman"/>
                            <w:color w:val="000000"/>
                            <w:sz w:val="16"/>
                            <w:szCs w:val="16"/>
                          </w:rPr>
                          <w:t xml:space="preserve">, </w:t>
                        </w:r>
                        <w:r>
                          <w:rPr>
                            <w:rFonts w:ascii="Times New Roman" w:hAnsi="Times New Roman"/>
                            <w:color w:val="000000"/>
                            <w:sz w:val="16"/>
                            <w:szCs w:val="16"/>
                          </w:rPr>
                          <w:t>20XX</w:t>
                        </w:r>
                      </w:p>
                    </w:txbxContent>
                  </v:textbox>
                </v:rect>
                <v:rect id="Rectangle 7" o:spid="_x0000_s1030" style="position:absolute;left:43522;top:5473;width:13329;height:5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dA9wgAAANwAAAAPAAAAZHJzL2Rvd25yZXYueG1sRI/NasMw&#10;EITvhbyD2EJvtZwcEuNGMfkhpdemoefF2lrG1spYG8d9+6pQ6HGYmW+YbTX7Xk00xjawgWWWgyKu&#10;g225MXD9OD8XoKIgW+wDk4FvilDtFg9bLG248ztNF2lUgnAs0YATGUqtY+3IY8zCQJy8rzB6lCTH&#10;RtsR7wnue73K87X22HJacDjQ0VHdXW7ewCD7U+GP0+unHDYbnbtldyh6Y54e5/0LKKFZ/sN/7Tdr&#10;oFiv4PdMOgJ69wMAAP//AwBQSwECLQAUAAYACAAAACEA2+H2y+4AAACFAQAAEwAAAAAAAAAAAAAA&#10;AAAAAAAAW0NvbnRlbnRfVHlwZXNdLnhtbFBLAQItABQABgAIAAAAIQBa9CxbvwAAABUBAAALAAAA&#10;AAAAAAAAAAAAAB8BAABfcmVscy8ucmVsc1BLAQItABQABgAIAAAAIQBr8dA9wgAAANwAAAAPAAAA&#10;AAAAAAAAAAAAAAcCAABkcnMvZG93bnJldi54bWxQSwUGAAAAAAMAAwC3AAAA9gIAAAAA&#10;" filled="f" fillcolor="#bbe0e3" stroked="f">
                  <v:textbox inset="1.72719mm,.86361mm,1.72719mm,.86361mm">
                    <w:txbxContent>
                      <w:p w14:paraId="438BA847" w14:textId="77777777" w:rsidR="003A587C" w:rsidRPr="004D1948" w:rsidRDefault="003A587C" w:rsidP="007D477A">
                        <w:pPr>
                          <w:autoSpaceDE w:val="0"/>
                          <w:autoSpaceDN w:val="0"/>
                          <w:adjustRightInd w:val="0"/>
                          <w:spacing w:after="0" w:line="240" w:lineRule="auto"/>
                          <w:ind w:left="0"/>
                          <w:jc w:val="center"/>
                          <w:rPr>
                            <w:rFonts w:ascii="Times New Roman" w:hAnsi="Times New Roman"/>
                            <w:color w:val="000000"/>
                            <w:sz w:val="16"/>
                            <w:szCs w:val="16"/>
                          </w:rPr>
                        </w:pPr>
                        <w:r w:rsidRPr="004D1948">
                          <w:rPr>
                            <w:rFonts w:ascii="Times New Roman" w:hAnsi="Times New Roman"/>
                            <w:color w:val="000000"/>
                            <w:sz w:val="16"/>
                            <w:szCs w:val="16"/>
                          </w:rPr>
                          <w:t>December</w:t>
                        </w:r>
                        <w:r w:rsidRPr="004D1948">
                          <w:rPr>
                            <w:rFonts w:ascii="Times New Roman" w:hAnsi="Times New Roman"/>
                            <w:color w:val="000000"/>
                            <w:sz w:val="16"/>
                            <w:szCs w:val="16"/>
                            <w:lang w:val="en-US"/>
                          </w:rPr>
                          <w:t xml:space="preserve"> 31</w:t>
                        </w:r>
                        <w:r w:rsidRPr="004D1948">
                          <w:rPr>
                            <w:rFonts w:ascii="Times New Roman" w:hAnsi="Times New Roman"/>
                            <w:color w:val="000000"/>
                            <w:sz w:val="16"/>
                            <w:szCs w:val="16"/>
                          </w:rPr>
                          <w:t xml:space="preserve">, </w:t>
                        </w:r>
                        <w:r>
                          <w:rPr>
                            <w:rFonts w:ascii="Times New Roman" w:hAnsi="Times New Roman"/>
                            <w:color w:val="000000"/>
                            <w:sz w:val="16"/>
                            <w:szCs w:val="16"/>
                          </w:rPr>
                          <w:t>20XX+1</w:t>
                        </w:r>
                      </w:p>
                    </w:txbxContent>
                  </v:textbox>
                </v:rect>
                <v:rect id="Rectangle 8" o:spid="_x0000_s1031" style="position:absolute;left:254;top:9283;width:15690;height:4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XWmwgAAANwAAAAPAAAAZHJzL2Rvd25yZXYueG1sRI9fa8JA&#10;EMTfC36HYwXf6sUKGlJP8Q+Kr9XS5yW3zQVzeyG3jem37wlCH4eZ+Q2z2gy+UT11sQ5sYDbNQBGX&#10;wdZcGfi8Hl9zUFGQLTaBycAvRdisRy8rLGy48wf1F6lUgnAs0IATaQutY+nIY5yGljh536HzKEl2&#10;lbYd3hPcN/otyxbaY81pwWFLe0fl7fLjDbSyPeR+35++ZLdc6szNbru8MWYyHrbvoIQG+Q8/22dr&#10;IF/M4XEmHQG9/gMAAP//AwBQSwECLQAUAAYACAAAACEA2+H2y+4AAACFAQAAEwAAAAAAAAAAAAAA&#10;AAAAAAAAW0NvbnRlbnRfVHlwZXNdLnhtbFBLAQItABQABgAIAAAAIQBa9CxbvwAAABUBAAALAAAA&#10;AAAAAAAAAAAAAB8BAABfcmVscy8ucmVsc1BLAQItABQABgAIAAAAIQAEvXWmwgAAANwAAAAPAAAA&#10;AAAAAAAAAAAAAAcCAABkcnMvZG93bnJldi54bWxQSwUGAAAAAAMAAwC3AAAA9gIAAAAA&#10;" filled="f" fillcolor="#bbe0e3" stroked="f">
                  <v:textbox inset="1.72719mm,.86361mm,1.72719mm,.86361mm">
                    <w:txbxContent>
                      <w:p w14:paraId="6AB98BB8" w14:textId="77777777" w:rsidR="003A587C" w:rsidRPr="007D770B" w:rsidRDefault="003A587C" w:rsidP="007D477A">
                        <w:pPr>
                          <w:autoSpaceDE w:val="0"/>
                          <w:autoSpaceDN w:val="0"/>
                          <w:adjustRightInd w:val="0"/>
                          <w:spacing w:after="0" w:line="240" w:lineRule="auto"/>
                          <w:ind w:left="0"/>
                          <w:jc w:val="center"/>
                          <w:rPr>
                            <w:rFonts w:ascii="Times New Roman" w:hAnsi="Times New Roman"/>
                            <w:color w:val="000000"/>
                            <w:sz w:val="16"/>
                            <w:szCs w:val="16"/>
                            <w:lang w:val="en-US"/>
                          </w:rPr>
                        </w:pPr>
                        <w:r w:rsidRPr="007D770B">
                          <w:rPr>
                            <w:rFonts w:ascii="Times New Roman" w:hAnsi="Times New Roman"/>
                            <w:color w:val="000000"/>
                            <w:sz w:val="16"/>
                            <w:szCs w:val="16"/>
                            <w:lang w:val="en-US"/>
                          </w:rPr>
                          <w:t>Opening balance of the earliest period presented</w:t>
                        </w:r>
                      </w:p>
                    </w:txbxContent>
                  </v:textbox>
                </v:rect>
                <v:rect id="Rectangle 9" o:spid="_x0000_s1032" style="position:absolute;left:19399;top:9398;width:18485;height:3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EhJwgAAANwAAAAPAAAAZHJzL2Rvd25yZXYueG1sRI9fa8JA&#10;EMTfC36HYwXf6sWCGlJP8Q+Kr9XS5yW3zQVzeyG3jem37wlCH4eZ+Q2z2gy+UT11sQ5sYDbNQBGX&#10;wdZcGfi8Hl9zUFGQLTaBycAvRdisRy8rLGy48wf1F6lUgnAs0IATaQutY+nIY5yGljh536HzKEl2&#10;lbYd3hPcN/otyxbaY81pwWFLe0fl7fLjDbSyPeR+35++ZLdc6szNbru8MWYyHrbvoIQG+Q8/22dr&#10;IF/M4XEmHQG9/gMAAP//AwBQSwECLQAUAAYACAAAACEA2+H2y+4AAACFAQAAEwAAAAAAAAAAAAAA&#10;AAAAAAAAW0NvbnRlbnRfVHlwZXNdLnhtbFBLAQItABQABgAIAAAAIQBa9CxbvwAAABUBAAALAAAA&#10;AAAAAAAAAAAAAB8BAABfcmVscy8ucmVsc1BLAQItABQABgAIAAAAIQDkGEhJwgAAANwAAAAPAAAA&#10;AAAAAAAAAAAAAAcCAABkcnMvZG93bnJldi54bWxQSwUGAAAAAAMAAwC3AAAA9gIAAAAA&#10;" filled="f" fillcolor="#bbe0e3" stroked="f">
                  <v:textbox inset="1.72719mm,.86361mm,1.72719mm,.86361mm">
                    <w:txbxContent>
                      <w:p w14:paraId="79DA1450" w14:textId="77777777" w:rsidR="003A587C" w:rsidRPr="007D770B" w:rsidRDefault="003A587C" w:rsidP="007D477A">
                        <w:pPr>
                          <w:autoSpaceDE w:val="0"/>
                          <w:autoSpaceDN w:val="0"/>
                          <w:adjustRightInd w:val="0"/>
                          <w:spacing w:after="0" w:line="240" w:lineRule="auto"/>
                          <w:ind w:left="0"/>
                          <w:jc w:val="center"/>
                          <w:rPr>
                            <w:rFonts w:ascii="Times New Roman" w:hAnsi="Times New Roman"/>
                            <w:color w:val="000000"/>
                            <w:sz w:val="16"/>
                            <w:szCs w:val="16"/>
                            <w:lang w:val="en-US"/>
                          </w:rPr>
                        </w:pPr>
                        <w:r w:rsidRPr="007D770B">
                          <w:rPr>
                            <w:rFonts w:ascii="Times New Roman" w:hAnsi="Times New Roman"/>
                            <w:color w:val="000000"/>
                            <w:sz w:val="16"/>
                            <w:szCs w:val="16"/>
                            <w:lang w:val="en-US"/>
                          </w:rPr>
                          <w:t>Comparative information for the previous period</w:t>
                        </w:r>
                      </w:p>
                    </w:txbxContent>
                  </v:textbox>
                </v:rect>
                <v:rect id="Rectangle 10" o:spid="_x0000_s1033" style="position:absolute;left:44710;top:9245;width:13557;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tY+wgAAANwAAAAPAAAAZHJzL2Rvd25yZXYueG1sRI/BasMw&#10;EETvhfyD2EBvjZweHONGDklKS69NQs6LtbWMrZWxto7791WhkOMwM2+Y7W72vZpojG1gA+tVBoq4&#10;DrblxsDl/PZUgIqCbLEPTAZ+KMKuWjxssbThxp80naRRCcKxRANOZCi1jrUjj3EVBuLkfYXRoyQ5&#10;NtqOeEtw3+vnLMu1x5bTgsOBjo7q7vTtDQyyfy38cXq/ymGz0Zlbd4eiN+ZxOe9fQAnNcg//tz+s&#10;gSLP4e9MOgK6+gUAAP//AwBQSwECLQAUAAYACAAAACEA2+H2y+4AAACFAQAAEwAAAAAAAAAAAAAA&#10;AAAAAAAAW0NvbnRlbnRfVHlwZXNdLnhtbFBLAQItABQABgAIAAAAIQBa9CxbvwAAABUBAAALAAAA&#10;AAAAAAAAAAAAAB8BAABfcmVscy8ucmVsc1BLAQItABQABgAIAAAAIQAUytY+wgAAANwAAAAPAAAA&#10;AAAAAAAAAAAAAAcCAABkcnMvZG93bnJldi54bWxQSwUGAAAAAAMAAwC3AAAA9gIAAAAA&#10;" filled="f" fillcolor="#bbe0e3" stroked="f">
                  <v:textbox inset="1.72719mm,.86361mm,1.72719mm,.86361mm">
                    <w:txbxContent>
                      <w:p w14:paraId="42D61284" w14:textId="77777777" w:rsidR="003A587C" w:rsidRPr="007D770B" w:rsidRDefault="003A587C" w:rsidP="007D477A">
                        <w:pPr>
                          <w:autoSpaceDE w:val="0"/>
                          <w:autoSpaceDN w:val="0"/>
                          <w:adjustRightInd w:val="0"/>
                          <w:spacing w:after="0" w:line="240" w:lineRule="auto"/>
                          <w:ind w:left="0"/>
                          <w:jc w:val="center"/>
                          <w:rPr>
                            <w:rFonts w:ascii="Times New Roman" w:hAnsi="Times New Roman"/>
                            <w:color w:val="000000"/>
                            <w:sz w:val="16"/>
                            <w:szCs w:val="16"/>
                            <w:lang w:val="en-US"/>
                          </w:rPr>
                        </w:pPr>
                        <w:r w:rsidRPr="007D770B">
                          <w:rPr>
                            <w:rFonts w:ascii="Times New Roman" w:hAnsi="Times New Roman"/>
                            <w:color w:val="000000"/>
                            <w:sz w:val="16"/>
                            <w:szCs w:val="16"/>
                            <w:lang w:val="en-US"/>
                          </w:rPr>
                          <w:t>Financial statements for the current period</w:t>
                        </w:r>
                      </w:p>
                    </w:txbxContent>
                  </v:textbox>
                </v:rect>
                <v:rect id="Rectangle 11" o:spid="_x0000_s1034" style="position:absolute;left:863;top:18796;width:14554;height:7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nOlwgAAANwAAAAPAAAAZHJzL2Rvd25yZXYueG1sRI9Pa8JA&#10;FMTvgt9heUJvurEHE1JXUUtLr/7B8yP7mg1m34bsa0y/fbcgeBxm5jfMejv6Vg3UxyawgeUiA0Vc&#10;BdtwbeBy/pgXoKIgW2wDk4FfirDdTCdrLG2485GGk9QqQTiWaMCJdKXWsXLkMS5CR5y879B7lCT7&#10;Wtse7wnuW/2aZSvtseG04LCjg6PqdvrxBjrZvRf+MHxeZZ/nOnPL275ojXmZjbs3UEKjPMOP9pc1&#10;UKxy+D+TjoDe/AEAAP//AwBQSwECLQAUAAYACAAAACEA2+H2y+4AAACFAQAAEwAAAAAAAAAAAAAA&#10;AAAAAAAAW0NvbnRlbnRfVHlwZXNdLnhtbFBLAQItABQABgAIAAAAIQBa9CxbvwAAABUBAAALAAAA&#10;AAAAAAAAAAAAAB8BAABfcmVscy8ucmVsc1BLAQItABQABgAIAAAAIQB7hnOlwgAAANwAAAAPAAAA&#10;AAAAAAAAAAAAAAcCAABkcnMvZG93bnJldi54bWxQSwUGAAAAAAMAAwC3AAAA9gIAAAAA&#10;" filled="f" fillcolor="#bbe0e3" stroked="f">
                  <v:textbox inset="1.72719mm,.86361mm,1.72719mm,.86361mm">
                    <w:txbxContent>
                      <w:p w14:paraId="43BF6018" w14:textId="77777777" w:rsidR="003A587C" w:rsidRPr="007D770B" w:rsidRDefault="003A587C" w:rsidP="007D477A">
                        <w:pPr>
                          <w:autoSpaceDE w:val="0"/>
                          <w:autoSpaceDN w:val="0"/>
                          <w:adjustRightInd w:val="0"/>
                          <w:spacing w:after="0" w:line="240" w:lineRule="auto"/>
                          <w:ind w:left="0"/>
                          <w:jc w:val="center"/>
                          <w:rPr>
                            <w:rFonts w:ascii="Times New Roman" w:hAnsi="Times New Roman"/>
                            <w:color w:val="000000"/>
                            <w:sz w:val="16"/>
                            <w:szCs w:val="16"/>
                            <w:lang w:val="en-US"/>
                          </w:rPr>
                        </w:pPr>
                        <w:r w:rsidRPr="007D770B">
                          <w:rPr>
                            <w:rFonts w:ascii="Times New Roman" w:hAnsi="Times New Roman"/>
                            <w:color w:val="000000"/>
                            <w:sz w:val="16"/>
                            <w:szCs w:val="16"/>
                            <w:lang w:val="en-US"/>
                          </w:rPr>
                          <w:t>The effect of a change in accounting policy is recognized in retained earnings</w:t>
                        </w:r>
                      </w:p>
                    </w:txbxContent>
                  </v:textbox>
                </v:rect>
                <v:shapetype id="_x0000_t32" coordsize="21600,21600" o:spt="32" o:oned="t" path="m,l21600,21600e" filled="f">
                  <v:path arrowok="t" fillok="f" o:connecttype="none"/>
                  <o:lock v:ext="edit" shapetype="t"/>
                </v:shapetype>
                <v:shape id="AutoShape 12" o:spid="_x0000_s1035" type="#_x0000_t32" style="position:absolute;left:1905;top:4057;width:549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j3LwgAAANwAAAAPAAAAZHJzL2Rvd25yZXYueG1sRE9NawIx&#10;EL0L/ocwghfRrEJFVqOsBaEWPGjrfdyMm+Bmsm6ibv99cyj0+Hjfq03navGkNljPCqaTDARx6bXl&#10;SsH31268ABEissbaMyn4oQCbdb+3wlz7Fx/peYqVSCEcclRgYmxyKUNpyGGY+IY4cVffOowJtpXU&#10;Lb5SuKvlLMvm0qHl1GCwoXdD5e30cAoO++m2uBi7/zze7eFtV9SPanRWajjoiiWISF38F/+5P7SC&#10;xTytTWfSEZDrXwAAAP//AwBQSwECLQAUAAYACAAAACEA2+H2y+4AAACFAQAAEwAAAAAAAAAAAAAA&#10;AAAAAAAAW0NvbnRlbnRfVHlwZXNdLnhtbFBLAQItABQABgAIAAAAIQBa9CxbvwAAABUBAAALAAAA&#10;AAAAAAAAAAAAAB8BAABfcmVscy8ucmVsc1BLAQItABQABgAIAAAAIQC5Pj3LwgAAANwAAAAPAAAA&#10;AAAAAAAAAAAAAAcCAABkcnMvZG93bnJldi54bWxQSwUGAAAAAAMAAwC3AAAA9gIAAAAA&#10;"/>
                <v:shape id="AutoShape 13" o:spid="_x0000_s1036" type="#_x0000_t32" style="position:absolute;left:7454;top:2146;width:7;height:35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phQxQAAANwAAAAPAAAAZHJzL2Rvd25yZXYueG1sRI9PawIx&#10;FMTvhX6H8Aq9FM1aqOjWKFtBqIIH/92fm9dN6OZl3URdv70RCj0OM/MbZjLrXC0u1AbrWcGgn4Eg&#10;Lr22XCnY7xa9EYgQkTXWnknBjQLMps9PE8y1v/KGLttYiQThkKMCE2OTSxlKQw5D3zfEyfvxrcOY&#10;ZFtJ3eI1wV0t37NsKB1aTgsGG5obKn+3Z6dgvRx8FUdjl6vNya4/FkV9rt4OSr2+dMUniEhd/A//&#10;tb+1gtFwDI8z6QjI6R0AAP//AwBQSwECLQAUAAYACAAAACEA2+H2y+4AAACFAQAAEwAAAAAAAAAA&#10;AAAAAAAAAAAAW0NvbnRlbnRfVHlwZXNdLnhtbFBLAQItABQABgAIAAAAIQBa9CxbvwAAABUBAAAL&#10;AAAAAAAAAAAAAAAAAB8BAABfcmVscy8ucmVsc1BLAQItABQABgAIAAAAIQDWcphQxQAAANwAAAAP&#10;AAAAAAAAAAAAAAAAAAcCAABkcnMvZG93bnJldi54bWxQSwUGAAAAAAMAAwC3AAAA+QIAAAAA&#10;"/>
                <v:shape id="AutoShape 14" o:spid="_x0000_s1037" type="#_x0000_t32" style="position:absolute;left:28460;top:2146;width:7;height:35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acQwgAAANwAAAAPAAAAZHJzL2Rvd25yZXYueG1sRE9NawIx&#10;EL0L/ocwQi+iWQtV2RplWxCq4EFb79PNuAluJttN1O2/NwfB4+N9L1adq8WV2mA9K5iMMxDEpdeW&#10;KwU/3+vRHESIyBprz6TgnwKslv3eAnPtb7yn6yFWIoVwyFGBibHJpQylIYdh7BvixJ186zAm2FZS&#10;t3hL4a6Wr1k2lQ4tpwaDDX0aKs+Hi1Ow20w+il9jN9v9n929rYv6Ug2PSr0MuuIdRKQuPsUP95dW&#10;MJ+l+elMOgJyeQcAAP//AwBQSwECLQAUAAYACAAAACEA2+H2y+4AAACFAQAAEwAAAAAAAAAAAAAA&#10;AAAAAAAAW0NvbnRlbnRfVHlwZXNdLnhtbFBLAQItABQABgAIAAAAIQBa9CxbvwAAABUBAAALAAAA&#10;AAAAAAAAAAAAAB8BAABfcmVscy8ucmVsc1BLAQItABQABgAIAAAAIQDCkacQwgAAANwAAAAPAAAA&#10;AAAAAAAAAAAAAAcCAABkcnMvZG93bnJldi54bWxQSwUGAAAAAAMAAwC3AAAA9gIAAAAA&#10;"/>
                <v:shape id="AutoShape 15" o:spid="_x0000_s1038" type="#_x0000_t32" style="position:absolute;left:50184;top:2146;width:6;height:33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QKLxgAAANwAAAAPAAAAZHJzL2Rvd25yZXYueG1sRI9BawIx&#10;FITvhf6H8ApeimZXsJXVKNuCoAUPWr0/N89N6OZlu4m6/fdNoeBxmJlvmPmyd424UhesZwX5KANB&#10;XHltuVZw+FwNpyBCRNbYeCYFPxRguXh8mGOh/Y13dN3HWiQIhwIVmBjbQspQGXIYRr4lTt7Zdw5j&#10;kl0tdYe3BHeNHGfZi3RoOS0YbOndUPW1vzgF203+Vp6M3Xzsvu12siqbS/18VGrw1JczEJH6eA//&#10;t9dawfQ1h78z6QjIxS8AAAD//wMAUEsBAi0AFAAGAAgAAAAhANvh9svuAAAAhQEAABMAAAAAAAAA&#10;AAAAAAAAAAAAAFtDb250ZW50X1R5cGVzXS54bWxQSwECLQAUAAYACAAAACEAWvQsW78AAAAVAQAA&#10;CwAAAAAAAAAAAAAAAAAfAQAAX3JlbHMvLnJlbHNQSwECLQAUAAYACAAAACEArd0Ci8YAAADcAAAA&#10;DwAAAAAAAAAAAAAAAAAHAgAAZHJzL2Rvd25yZXYueG1sUEsFBgAAAAADAAMAtwAAAPoCAAAAAA==&#10;"/>
                <v:shape id="AutoShape 16" o:spid="_x0000_s1039" type="#_x0000_t32" style="position:absolute;left:8102;top:13766;width:38;height:503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OqJxAAAANwAAAAPAAAAZHJzL2Rvd25yZXYueG1sRI9Pi8Iw&#10;FMTvwn6H8ARvmupBS9coi7AgrBf/YPf4Nnm2xealNlmt394IgsdhZn7DzJedrcWVWl85VjAeJSCI&#10;tTMVFwoO++9hCsIHZIO1Y1JwJw/LxUdvjplxN97SdRcKESHsM1RQhtBkUnpdkkU/cg1x9E6utRii&#10;bAtpWrxFuK3lJEmm0mLFcaHEhlYl6fPu3yrQ9d/PhU/p+Lz3+W++oVQf7UapQb/7+gQRqAvv8Ku9&#10;NgrS2QSeZ+IRkIsHAAAA//8DAFBLAQItABQABgAIAAAAIQDb4fbL7gAAAIUBAAATAAAAAAAAAAAA&#10;AAAAAAAAAABbQ29udGVudF9UeXBlc10ueG1sUEsBAi0AFAAGAAgAAAAhAFr0LFu/AAAAFQEAAAsA&#10;AAAAAAAAAAAAAAAAHwEAAF9yZWxzLy5yZWxzUEsBAi0AFAAGAAgAAAAhAPoo6onEAAAA3AAAAA8A&#10;AAAAAAAAAAAAAAAABwIAAGRycy9kb3ducmV2LnhtbFBLBQYAAAAAAwADALcAAAD4AgAAAAA=&#10;">
                  <v:stroke endarrow="open"/>
                </v:shape>
                <w10:anchorlock/>
              </v:group>
            </w:pict>
          </mc:Fallback>
        </mc:AlternateContent>
      </w:r>
    </w:p>
    <w:p w14:paraId="70101233" w14:textId="77777777" w:rsidR="009E2B77" w:rsidRPr="007D770B" w:rsidRDefault="009E2B77" w:rsidP="00053AD8">
      <w:pPr>
        <w:spacing w:line="240" w:lineRule="auto"/>
        <w:ind w:left="0"/>
        <w:rPr>
          <w:rFonts w:ascii="Times New Roman" w:hAnsi="Times New Roman"/>
          <w:lang w:val="en-US"/>
        </w:rPr>
      </w:pPr>
      <w:r w:rsidRPr="007D770B">
        <w:rPr>
          <w:rFonts w:ascii="Times New Roman" w:hAnsi="Times New Roman"/>
          <w:lang w:val="en-US"/>
        </w:rPr>
        <w:t xml:space="preserve">Upon initial application of an IFRS or its interpretation, the </w:t>
      </w:r>
      <w:r w:rsidR="00F9744B" w:rsidRPr="007D770B">
        <w:rPr>
          <w:rFonts w:ascii="Times New Roman" w:hAnsi="Times New Roman"/>
          <w:lang w:val="en-US"/>
        </w:rPr>
        <w:t xml:space="preserve">Bank </w:t>
      </w:r>
      <w:r w:rsidRPr="007D770B">
        <w:rPr>
          <w:rFonts w:ascii="Times New Roman" w:hAnsi="Times New Roman"/>
          <w:lang w:val="en-US"/>
        </w:rPr>
        <w:t>takes into account emerging changes in the Corporate Accounting Policies:</w:t>
      </w:r>
    </w:p>
    <w:p w14:paraId="33971268" w14:textId="77777777" w:rsidR="009E2B77" w:rsidRPr="007D770B" w:rsidRDefault="009E2B77" w:rsidP="00AE698A">
      <w:pPr>
        <w:pStyle w:val="aa"/>
        <w:numPr>
          <w:ilvl w:val="0"/>
          <w:numId w:val="172"/>
        </w:numPr>
        <w:spacing w:before="240" w:line="240" w:lineRule="auto"/>
        <w:contextualSpacing w:val="0"/>
        <w:rPr>
          <w:rFonts w:ascii="Times New Roman" w:hAnsi="Times New Roman"/>
          <w:lang w:val="en-US"/>
        </w:rPr>
      </w:pPr>
      <w:r w:rsidRPr="007D770B">
        <w:rPr>
          <w:rFonts w:ascii="Times New Roman" w:hAnsi="Times New Roman"/>
          <w:lang w:val="en-US"/>
        </w:rPr>
        <w:t>in accordance with special transitional provisions (if provided for in IFRSs);</w:t>
      </w:r>
    </w:p>
    <w:p w14:paraId="45A9FE91" w14:textId="77777777" w:rsidR="009E2B77" w:rsidRPr="007D770B" w:rsidRDefault="009E2B77" w:rsidP="00AE698A">
      <w:pPr>
        <w:pStyle w:val="aa"/>
        <w:numPr>
          <w:ilvl w:val="0"/>
          <w:numId w:val="172"/>
        </w:numPr>
        <w:spacing w:before="240" w:line="240" w:lineRule="auto"/>
        <w:contextualSpacing w:val="0"/>
        <w:rPr>
          <w:rFonts w:ascii="Times New Roman" w:hAnsi="Times New Roman"/>
          <w:lang w:val="en-US"/>
        </w:rPr>
      </w:pPr>
      <w:r w:rsidRPr="007D770B">
        <w:rPr>
          <w:rFonts w:ascii="Times New Roman" w:hAnsi="Times New Roman"/>
          <w:lang w:val="en-US"/>
        </w:rPr>
        <w:t>retrospectively, when the standard or interpretation does not contain specific transitional provisions applicable to the amendment.</w:t>
      </w:r>
    </w:p>
    <w:p w14:paraId="2597D1E6" w14:textId="41F6D181" w:rsidR="009E2B77" w:rsidRPr="007D770B" w:rsidRDefault="009E2B77" w:rsidP="00F96B17">
      <w:pPr>
        <w:spacing w:before="240" w:line="240" w:lineRule="auto"/>
        <w:ind w:left="0"/>
        <w:rPr>
          <w:rFonts w:ascii="Times New Roman" w:hAnsi="Times New Roman"/>
          <w:lang w:val="en-US"/>
        </w:rPr>
      </w:pPr>
      <w:r w:rsidRPr="007D770B">
        <w:rPr>
          <w:rFonts w:ascii="Times New Roman" w:hAnsi="Times New Roman"/>
          <w:lang w:val="en-US"/>
        </w:rPr>
        <w:t xml:space="preserve">Adoption of an amended standard or a new </w:t>
      </w:r>
      <w:r w:rsidR="003A3F3F" w:rsidRPr="007D770B">
        <w:rPr>
          <w:rFonts w:ascii="Times New Roman" w:hAnsi="Times New Roman"/>
          <w:lang w:val="en-US"/>
        </w:rPr>
        <w:t xml:space="preserve">IFRS </w:t>
      </w:r>
      <w:r w:rsidRPr="007D770B">
        <w:rPr>
          <w:rFonts w:ascii="Times New Roman" w:hAnsi="Times New Roman"/>
          <w:lang w:val="en-US"/>
        </w:rPr>
        <w:t>or interpretation means the following disclosures:</w:t>
      </w:r>
    </w:p>
    <w:p w14:paraId="4C5C3A7F" w14:textId="77777777" w:rsidR="009E2B77" w:rsidRPr="002D4EA3" w:rsidRDefault="009E2B77" w:rsidP="00AE698A">
      <w:pPr>
        <w:pStyle w:val="aa"/>
        <w:numPr>
          <w:ilvl w:val="0"/>
          <w:numId w:val="173"/>
        </w:numPr>
        <w:spacing w:before="240" w:line="240" w:lineRule="auto"/>
        <w:contextualSpacing w:val="0"/>
        <w:rPr>
          <w:rFonts w:ascii="Times New Roman" w:hAnsi="Times New Roman"/>
        </w:rPr>
      </w:pPr>
      <w:r w:rsidRPr="002D4EA3">
        <w:rPr>
          <w:rFonts w:ascii="Times New Roman" w:hAnsi="Times New Roman"/>
        </w:rPr>
        <w:t>IFRS title;</w:t>
      </w:r>
    </w:p>
    <w:p w14:paraId="093D0118" w14:textId="77777777" w:rsidR="009E2B77" w:rsidRPr="007D770B" w:rsidRDefault="009E2B77" w:rsidP="00AE698A">
      <w:pPr>
        <w:pStyle w:val="aa"/>
        <w:numPr>
          <w:ilvl w:val="0"/>
          <w:numId w:val="173"/>
        </w:numPr>
        <w:spacing w:before="240" w:line="240" w:lineRule="auto"/>
        <w:contextualSpacing w:val="0"/>
        <w:rPr>
          <w:rFonts w:ascii="Times New Roman" w:hAnsi="Times New Roman"/>
          <w:lang w:val="en-US"/>
        </w:rPr>
      </w:pPr>
      <w:r w:rsidRPr="007D770B">
        <w:rPr>
          <w:rFonts w:ascii="Times New Roman" w:hAnsi="Times New Roman"/>
          <w:lang w:val="en-US"/>
        </w:rPr>
        <w:t>A description of the transitional provisions under which the change was made, if any;</w:t>
      </w:r>
    </w:p>
    <w:p w14:paraId="045F98DD" w14:textId="77777777" w:rsidR="009E2B77" w:rsidRPr="007D770B" w:rsidRDefault="009E2B77" w:rsidP="00AE698A">
      <w:pPr>
        <w:pStyle w:val="aa"/>
        <w:numPr>
          <w:ilvl w:val="0"/>
          <w:numId w:val="173"/>
        </w:numPr>
        <w:spacing w:before="240" w:line="240" w:lineRule="auto"/>
        <w:contextualSpacing w:val="0"/>
        <w:rPr>
          <w:rFonts w:ascii="Times New Roman" w:hAnsi="Times New Roman"/>
          <w:lang w:val="en-US"/>
        </w:rPr>
      </w:pPr>
      <w:r w:rsidRPr="007D770B">
        <w:rPr>
          <w:rFonts w:ascii="Times New Roman" w:hAnsi="Times New Roman"/>
          <w:lang w:val="en-US"/>
        </w:rPr>
        <w:t>the nature of the change in accounting policy;</w:t>
      </w:r>
    </w:p>
    <w:p w14:paraId="62781107" w14:textId="77777777" w:rsidR="009E2B77" w:rsidRPr="007D770B" w:rsidRDefault="009E2B77" w:rsidP="00AE698A">
      <w:pPr>
        <w:pStyle w:val="aa"/>
        <w:numPr>
          <w:ilvl w:val="0"/>
          <w:numId w:val="173"/>
        </w:numPr>
        <w:spacing w:before="240" w:line="240" w:lineRule="auto"/>
        <w:contextualSpacing w:val="0"/>
        <w:rPr>
          <w:rFonts w:ascii="Times New Roman" w:hAnsi="Times New Roman"/>
          <w:lang w:val="en-US"/>
        </w:rPr>
      </w:pPr>
      <w:r w:rsidRPr="007D770B">
        <w:rPr>
          <w:rFonts w:ascii="Times New Roman" w:hAnsi="Times New Roman"/>
          <w:lang w:val="en-US"/>
        </w:rPr>
        <w:t>a description of the relevant transitional provisions;</w:t>
      </w:r>
    </w:p>
    <w:p w14:paraId="333222F8" w14:textId="77777777" w:rsidR="009E2B77" w:rsidRPr="007D770B" w:rsidRDefault="009E2B77" w:rsidP="00AE698A">
      <w:pPr>
        <w:pStyle w:val="aa"/>
        <w:numPr>
          <w:ilvl w:val="0"/>
          <w:numId w:val="173"/>
        </w:numPr>
        <w:spacing w:before="240" w:line="240" w:lineRule="auto"/>
        <w:contextualSpacing w:val="0"/>
        <w:rPr>
          <w:rFonts w:ascii="Times New Roman" w:hAnsi="Times New Roman"/>
          <w:lang w:val="en-US"/>
        </w:rPr>
      </w:pPr>
      <w:r w:rsidRPr="007D770B">
        <w:rPr>
          <w:rFonts w:ascii="Times New Roman" w:hAnsi="Times New Roman"/>
          <w:lang w:val="en-US"/>
        </w:rPr>
        <w:t>transitional provisions that may have an impact on future periods;</w:t>
      </w:r>
    </w:p>
    <w:p w14:paraId="25744D60" w14:textId="77777777" w:rsidR="009E2B77" w:rsidRPr="007D770B" w:rsidRDefault="009E2B77" w:rsidP="00AE698A">
      <w:pPr>
        <w:pStyle w:val="aa"/>
        <w:numPr>
          <w:ilvl w:val="0"/>
          <w:numId w:val="173"/>
        </w:numPr>
        <w:spacing w:before="240" w:line="240" w:lineRule="auto"/>
        <w:contextualSpacing w:val="0"/>
        <w:rPr>
          <w:rFonts w:ascii="Times New Roman" w:hAnsi="Times New Roman"/>
          <w:lang w:val="en-US"/>
        </w:rPr>
      </w:pPr>
      <w:r w:rsidRPr="007D770B">
        <w:rPr>
          <w:rFonts w:ascii="Times New Roman" w:hAnsi="Times New Roman"/>
          <w:lang w:val="en-US"/>
        </w:rPr>
        <w:t>the amount of the adjustment relating to periods prior to the periods presented, to the extent practicable;</w:t>
      </w:r>
    </w:p>
    <w:p w14:paraId="79C92813" w14:textId="77777777" w:rsidR="009E2B77" w:rsidRPr="007D770B" w:rsidRDefault="009E2B77" w:rsidP="00AE698A">
      <w:pPr>
        <w:pStyle w:val="aa"/>
        <w:numPr>
          <w:ilvl w:val="0"/>
          <w:numId w:val="173"/>
        </w:numPr>
        <w:spacing w:before="240" w:line="240" w:lineRule="auto"/>
        <w:contextualSpacing w:val="0"/>
        <w:rPr>
          <w:rFonts w:ascii="Times New Roman" w:hAnsi="Times New Roman"/>
          <w:lang w:val="en-US"/>
        </w:rPr>
      </w:pPr>
      <w:r w:rsidRPr="007D770B">
        <w:rPr>
          <w:rFonts w:ascii="Times New Roman" w:hAnsi="Times New Roman"/>
          <w:lang w:val="en-US"/>
        </w:rPr>
        <w:t>for the current and prior periods, the amount of the adjustment to each financial statement line item and, if applicable, adjusted earnings per share;</w:t>
      </w:r>
    </w:p>
    <w:p w14:paraId="351356B1" w14:textId="77777777" w:rsidR="009E2B77" w:rsidRPr="007D770B" w:rsidRDefault="009E2B77" w:rsidP="00AE698A">
      <w:pPr>
        <w:pStyle w:val="aa"/>
        <w:numPr>
          <w:ilvl w:val="0"/>
          <w:numId w:val="173"/>
        </w:numPr>
        <w:spacing w:before="240" w:line="240" w:lineRule="auto"/>
        <w:rPr>
          <w:rFonts w:ascii="Times New Roman" w:hAnsi="Times New Roman"/>
          <w:lang w:val="en-US"/>
        </w:rPr>
      </w:pPr>
      <w:r w:rsidRPr="007D770B">
        <w:rPr>
          <w:rFonts w:ascii="Times New Roman" w:hAnsi="Times New Roman"/>
          <w:lang w:val="en-US"/>
        </w:rPr>
        <w:lastRenderedPageBreak/>
        <w:t>if any, the circumstances that made retrospective application impracticable, and information about when and how the changes were applied.</w:t>
      </w:r>
    </w:p>
    <w:p w14:paraId="41F18C75" w14:textId="77777777" w:rsidR="009E2B77" w:rsidRPr="007D770B" w:rsidRDefault="009E2B77" w:rsidP="00F96B17">
      <w:pPr>
        <w:spacing w:before="240" w:line="240" w:lineRule="auto"/>
        <w:ind w:left="0"/>
        <w:rPr>
          <w:rFonts w:ascii="Times New Roman" w:hAnsi="Times New Roman"/>
          <w:lang w:val="en-US"/>
        </w:rPr>
      </w:pPr>
      <w:r w:rsidRPr="007D770B">
        <w:rPr>
          <w:rFonts w:ascii="Times New Roman" w:hAnsi="Times New Roman"/>
          <w:lang w:val="en-US"/>
        </w:rPr>
        <w:t>Disclosure of the above information is not required for subsequent periods.</w:t>
      </w:r>
    </w:p>
    <w:p w14:paraId="6AA63B45" w14:textId="77777777" w:rsidR="009E2B77" w:rsidRPr="007D770B" w:rsidRDefault="009E2B77" w:rsidP="00F96B17">
      <w:pPr>
        <w:spacing w:before="240" w:line="240" w:lineRule="auto"/>
        <w:ind w:left="0"/>
        <w:rPr>
          <w:rFonts w:ascii="Times New Roman" w:hAnsi="Times New Roman"/>
          <w:lang w:val="en-US"/>
        </w:rPr>
      </w:pPr>
      <w:r w:rsidRPr="007D770B">
        <w:rPr>
          <w:rFonts w:ascii="Times New Roman" w:hAnsi="Times New Roman"/>
          <w:lang w:val="en-US"/>
        </w:rPr>
        <w:t>The title and impact of a new standard that has been issued but is not yet effective on future accounting policies and the likely impact on the financial statements in the period of initial application should be disclosed.</w:t>
      </w:r>
    </w:p>
    <w:p w14:paraId="60C38273" w14:textId="02074DB2" w:rsidR="009E2B77" w:rsidRPr="007D770B" w:rsidRDefault="009E2B77" w:rsidP="00E61D21">
      <w:pPr>
        <w:pStyle w:val="3"/>
        <w:rPr>
          <w:lang w:val="en-US"/>
        </w:rPr>
      </w:pPr>
      <w:bookmarkStart w:id="43" w:name="_Toc270435406"/>
      <w:bookmarkStart w:id="44" w:name="_Toc278120858"/>
      <w:bookmarkStart w:id="45" w:name="_Toc168502012"/>
      <w:r w:rsidRPr="007D770B">
        <w:rPr>
          <w:lang w:val="en-US"/>
        </w:rPr>
        <w:t>2.2 Changes in estimates</w:t>
      </w:r>
      <w:bookmarkEnd w:id="43"/>
      <w:bookmarkEnd w:id="44"/>
      <w:bookmarkEnd w:id="45"/>
    </w:p>
    <w:p w14:paraId="47705B01" w14:textId="77777777" w:rsidR="009E2B77" w:rsidRPr="007D770B" w:rsidRDefault="009E2B77" w:rsidP="00F96B17">
      <w:pPr>
        <w:spacing w:before="240" w:line="240" w:lineRule="auto"/>
        <w:ind w:left="0"/>
        <w:rPr>
          <w:rFonts w:ascii="Times New Roman" w:hAnsi="Times New Roman"/>
          <w:lang w:val="en-US"/>
        </w:rPr>
      </w:pPr>
      <w:r w:rsidRPr="007D770B">
        <w:rPr>
          <w:rFonts w:ascii="Times New Roman" w:hAnsi="Times New Roman"/>
          <w:b/>
          <w:lang w:val="en-US"/>
        </w:rPr>
        <w:t xml:space="preserve">Revisions </w:t>
      </w:r>
      <w:r w:rsidRPr="007D770B">
        <w:rPr>
          <w:rFonts w:ascii="Times New Roman" w:hAnsi="Times New Roman"/>
          <w:lang w:val="en-US"/>
        </w:rPr>
        <w:t>to accounting estimates are adjustments to the carrying amount of an asset or liability, or to the amount that reflects the periodic consumption of an asset, arising from an assessment of the current status of assets and liabilities and the related expected future benefits and liabilities.</w:t>
      </w:r>
    </w:p>
    <w:p w14:paraId="3C601E6A" w14:textId="77777777" w:rsidR="009E2B77" w:rsidRPr="007D770B" w:rsidRDefault="009E2B77" w:rsidP="00F96B17">
      <w:pPr>
        <w:spacing w:before="240" w:line="240" w:lineRule="auto"/>
        <w:ind w:left="0"/>
        <w:rPr>
          <w:rFonts w:ascii="Times New Roman" w:hAnsi="Times New Roman"/>
          <w:lang w:val="en-US"/>
        </w:rPr>
      </w:pPr>
      <w:r w:rsidRPr="007D770B">
        <w:rPr>
          <w:rFonts w:ascii="Times New Roman" w:hAnsi="Times New Roman"/>
          <w:lang w:val="en-US"/>
        </w:rPr>
        <w:t>As a result of the uncertainties inherent in business activities, many items in the financial statements may not be measured accurately, but are only approximate. The estimation process involves making judgments based on relevant, available and reliable information. An estimate may be revised if necessary if the circumstances on which it was based change as a result of new information or experience. Revisions to estimates are the result of new information or circumstances and, accordingly, are not corrections of errors.</w:t>
      </w:r>
    </w:p>
    <w:p w14:paraId="4E7B954F" w14:textId="77777777" w:rsidR="009E2B77" w:rsidRPr="007D770B" w:rsidRDefault="009E2B77" w:rsidP="00F96B17">
      <w:pPr>
        <w:spacing w:before="240" w:line="240" w:lineRule="auto"/>
        <w:ind w:left="0"/>
        <w:rPr>
          <w:rFonts w:ascii="Times New Roman" w:hAnsi="Times New Roman"/>
          <w:lang w:val="en-US"/>
        </w:rPr>
      </w:pPr>
      <w:r w:rsidRPr="007D770B">
        <w:rPr>
          <w:rFonts w:ascii="Times New Roman" w:hAnsi="Times New Roman"/>
          <w:lang w:val="en-US"/>
        </w:rPr>
        <w:t xml:space="preserve">The change in measurement basis applied is a change in accounting policy and not a change in an accounting estimate. Where the </w:t>
      </w:r>
      <w:r w:rsidR="00F9744B" w:rsidRPr="007D770B">
        <w:rPr>
          <w:rFonts w:ascii="Times New Roman" w:hAnsi="Times New Roman"/>
          <w:lang w:val="en-US"/>
        </w:rPr>
        <w:t xml:space="preserve">Bank is </w:t>
      </w:r>
      <w:r w:rsidRPr="007D770B">
        <w:rPr>
          <w:rFonts w:ascii="Times New Roman" w:hAnsi="Times New Roman"/>
          <w:lang w:val="en-US"/>
        </w:rPr>
        <w:t>unable to distinguish between a change in accounting policy and a change in an accounting estimate, the change is treated as a change in an accounting estimate.</w:t>
      </w:r>
    </w:p>
    <w:p w14:paraId="761BD881" w14:textId="77777777" w:rsidR="009E2B77" w:rsidRPr="007D770B" w:rsidRDefault="009E2B77" w:rsidP="00F96B17">
      <w:pPr>
        <w:spacing w:before="240" w:line="240" w:lineRule="auto"/>
        <w:ind w:left="0"/>
        <w:rPr>
          <w:rFonts w:ascii="Times New Roman" w:hAnsi="Times New Roman"/>
          <w:lang w:val="en-US"/>
        </w:rPr>
      </w:pPr>
      <w:r w:rsidRPr="007D770B">
        <w:rPr>
          <w:rFonts w:ascii="Times New Roman" w:hAnsi="Times New Roman"/>
          <w:lang w:val="en-US"/>
        </w:rPr>
        <w:t>The effect of the change in accounting estimates is to be recognized prospectively in the profit and loss account in the following periods:</w:t>
      </w:r>
    </w:p>
    <w:p w14:paraId="254DC0C8" w14:textId="77777777" w:rsidR="009E2B77" w:rsidRPr="007D770B" w:rsidRDefault="009E2B77" w:rsidP="00AE698A">
      <w:pPr>
        <w:numPr>
          <w:ilvl w:val="0"/>
          <w:numId w:val="251"/>
        </w:numPr>
        <w:spacing w:before="240" w:line="240" w:lineRule="auto"/>
        <w:rPr>
          <w:rFonts w:ascii="Times New Roman" w:hAnsi="Times New Roman"/>
          <w:lang w:val="en-US"/>
        </w:rPr>
      </w:pPr>
      <w:r w:rsidRPr="007D770B">
        <w:rPr>
          <w:rFonts w:ascii="Times New Roman" w:hAnsi="Times New Roman"/>
          <w:lang w:val="en-US"/>
        </w:rPr>
        <w:t>when the change occurred, if it affects only that period; or</w:t>
      </w:r>
    </w:p>
    <w:p w14:paraId="32E96C22" w14:textId="2F78B1EB" w:rsidR="009E2B77" w:rsidRPr="007D770B" w:rsidRDefault="009E2B77" w:rsidP="00AE698A">
      <w:pPr>
        <w:numPr>
          <w:ilvl w:val="0"/>
          <w:numId w:val="251"/>
        </w:numPr>
        <w:spacing w:before="240" w:line="240" w:lineRule="auto"/>
        <w:rPr>
          <w:rFonts w:ascii="Times New Roman" w:hAnsi="Times New Roman"/>
          <w:lang w:val="en-US"/>
        </w:rPr>
      </w:pPr>
      <w:r w:rsidRPr="007D770B">
        <w:rPr>
          <w:rFonts w:ascii="Times New Roman" w:hAnsi="Times New Roman"/>
          <w:lang w:val="en-US"/>
        </w:rPr>
        <w:t xml:space="preserve">when the change occurred and in future periods if the </w:t>
      </w:r>
      <w:r w:rsidR="003A3F3F" w:rsidRPr="007D770B">
        <w:rPr>
          <w:rFonts w:ascii="Times New Roman" w:hAnsi="Times New Roman"/>
          <w:lang w:val="en-US"/>
        </w:rPr>
        <w:t xml:space="preserve">change affects </w:t>
      </w:r>
      <w:r w:rsidRPr="007D770B">
        <w:rPr>
          <w:rFonts w:ascii="Times New Roman" w:hAnsi="Times New Roman"/>
          <w:lang w:val="en-US"/>
        </w:rPr>
        <w:t>both current and future periods.</w:t>
      </w:r>
    </w:p>
    <w:p w14:paraId="7B4D8D91" w14:textId="77777777" w:rsidR="009E2B77" w:rsidRPr="007D770B" w:rsidRDefault="009E2B77" w:rsidP="00F96B17">
      <w:pPr>
        <w:spacing w:before="240" w:line="240" w:lineRule="auto"/>
        <w:ind w:left="0"/>
        <w:rPr>
          <w:rFonts w:ascii="Times New Roman" w:hAnsi="Times New Roman"/>
          <w:b/>
          <w:i/>
          <w:lang w:val="en-US"/>
        </w:rPr>
      </w:pPr>
      <w:r w:rsidRPr="007D770B">
        <w:rPr>
          <w:rFonts w:ascii="Times New Roman" w:hAnsi="Times New Roman"/>
          <w:b/>
          <w:i/>
          <w:lang w:val="en-US"/>
        </w:rPr>
        <w:t>Disclosure</w:t>
      </w:r>
    </w:p>
    <w:p w14:paraId="693CE843" w14:textId="77777777" w:rsidR="009E2B77" w:rsidRPr="007D770B" w:rsidRDefault="009E2B77" w:rsidP="00F96B17">
      <w:pPr>
        <w:spacing w:before="240" w:line="240" w:lineRule="auto"/>
        <w:ind w:left="0"/>
        <w:rPr>
          <w:rFonts w:ascii="Times New Roman" w:hAnsi="Times New Roman"/>
          <w:lang w:val="en-US"/>
        </w:rPr>
      </w:pPr>
      <w:r w:rsidRPr="007D770B">
        <w:rPr>
          <w:rFonts w:ascii="Times New Roman" w:hAnsi="Times New Roman"/>
          <w:lang w:val="en-US"/>
        </w:rPr>
        <w:t xml:space="preserve">A change in an estimate affects the current period or current and future periods. The results of a change in an accounting estimate shall be included in the same line items in the statement of comprehensive income in which those estimates were previously recognized. The accounting policy discloses the nature and amount of changes in accounting estimates that have a significant effect in the current period or whose significant effect is expected to occur in subsequent periods (when practicable to estimate). If an estimate of an amount presented in interim financial statements changes significantly during the final interim period of a financial year, but a separate set of financial statements for that final interim period is not published, the nature and amount of that change in estimate shall be disclosed in a note to the annual financial statements for that financial year. </w:t>
      </w:r>
    </w:p>
    <w:p w14:paraId="60A74474" w14:textId="77777777" w:rsidR="00563501" w:rsidRPr="007D770B" w:rsidRDefault="00563501" w:rsidP="00563501">
      <w:pPr>
        <w:spacing w:before="240" w:line="240" w:lineRule="auto"/>
        <w:ind w:left="0"/>
        <w:rPr>
          <w:rFonts w:ascii="Times New Roman" w:hAnsi="Times New Roman"/>
          <w:lang w:val="en-US"/>
        </w:rPr>
      </w:pPr>
      <w:bookmarkStart w:id="46" w:name="_Toc270435407"/>
      <w:bookmarkStart w:id="47" w:name="_Toc278120859"/>
    </w:p>
    <w:p w14:paraId="0BFA087C" w14:textId="2AB28680" w:rsidR="009E2B77" w:rsidRPr="007D770B" w:rsidRDefault="009E2B77" w:rsidP="00E61D21">
      <w:pPr>
        <w:pStyle w:val="3"/>
        <w:rPr>
          <w:lang w:val="en-US"/>
        </w:rPr>
      </w:pPr>
      <w:bookmarkStart w:id="48" w:name="_Toc509241334"/>
      <w:bookmarkStart w:id="49" w:name="_Toc168502013"/>
      <w:r w:rsidRPr="007D770B">
        <w:rPr>
          <w:lang w:val="en-US"/>
        </w:rPr>
        <w:t>2.3 Errors</w:t>
      </w:r>
      <w:bookmarkEnd w:id="46"/>
      <w:bookmarkEnd w:id="47"/>
      <w:bookmarkEnd w:id="48"/>
      <w:bookmarkEnd w:id="49"/>
    </w:p>
    <w:p w14:paraId="12243792" w14:textId="090622E5" w:rsidR="009E2B77" w:rsidRPr="007D770B" w:rsidRDefault="009E2B77" w:rsidP="00F96B17">
      <w:pPr>
        <w:spacing w:before="240" w:line="240" w:lineRule="auto"/>
        <w:ind w:left="0"/>
        <w:rPr>
          <w:rFonts w:ascii="Times New Roman" w:hAnsi="Times New Roman"/>
          <w:lang w:val="en-US"/>
        </w:rPr>
      </w:pPr>
      <w:r w:rsidRPr="007D770B">
        <w:rPr>
          <w:rFonts w:ascii="Times New Roman" w:hAnsi="Times New Roman"/>
          <w:b/>
          <w:lang w:val="en-US"/>
        </w:rPr>
        <w:t xml:space="preserve">Prior period errors </w:t>
      </w:r>
      <w:r w:rsidRPr="007D770B">
        <w:rPr>
          <w:rFonts w:ascii="Times New Roman" w:hAnsi="Times New Roman"/>
          <w:lang w:val="en-US"/>
        </w:rPr>
        <w:t xml:space="preserve">are omissions or misstatements </w:t>
      </w:r>
      <w:r w:rsidR="003A3F3F" w:rsidRPr="007D770B">
        <w:rPr>
          <w:rFonts w:ascii="Times New Roman" w:hAnsi="Times New Roman"/>
          <w:lang w:val="en-US"/>
        </w:rPr>
        <w:t xml:space="preserve">in the </w:t>
      </w:r>
      <w:r w:rsidRPr="007D770B">
        <w:rPr>
          <w:rFonts w:ascii="Times New Roman" w:hAnsi="Times New Roman"/>
          <w:lang w:val="en-US"/>
        </w:rPr>
        <w:t>financial statements for one or more prior periods that result from the failure to use or misuse reliable information that:</w:t>
      </w:r>
    </w:p>
    <w:p w14:paraId="12748A33" w14:textId="77777777" w:rsidR="009E2B77" w:rsidRPr="007D770B" w:rsidRDefault="009E2B77" w:rsidP="00AE698A">
      <w:pPr>
        <w:numPr>
          <w:ilvl w:val="0"/>
          <w:numId w:val="174"/>
        </w:numPr>
        <w:spacing w:before="240" w:line="240" w:lineRule="auto"/>
        <w:rPr>
          <w:rFonts w:ascii="Times New Roman" w:hAnsi="Times New Roman"/>
          <w:lang w:val="en-US"/>
        </w:rPr>
      </w:pPr>
      <w:r w:rsidRPr="007D770B">
        <w:rPr>
          <w:rFonts w:ascii="Times New Roman" w:hAnsi="Times New Roman"/>
          <w:lang w:val="en-US"/>
        </w:rPr>
        <w:t>was available when the financial statements were authorized for issue; and</w:t>
      </w:r>
    </w:p>
    <w:p w14:paraId="1BE675CF" w14:textId="77777777" w:rsidR="009E2B77" w:rsidRPr="007D770B" w:rsidRDefault="009E2B77" w:rsidP="00AE698A">
      <w:pPr>
        <w:numPr>
          <w:ilvl w:val="0"/>
          <w:numId w:val="174"/>
        </w:numPr>
        <w:spacing w:before="240" w:line="240" w:lineRule="auto"/>
        <w:rPr>
          <w:rFonts w:ascii="Times New Roman" w:hAnsi="Times New Roman"/>
          <w:lang w:val="en-US"/>
        </w:rPr>
      </w:pPr>
      <w:r w:rsidRPr="007D770B">
        <w:rPr>
          <w:rFonts w:ascii="Times New Roman" w:hAnsi="Times New Roman"/>
          <w:lang w:val="en-US"/>
        </w:rPr>
        <w:t>could be expected to be obtained and taken into account in preparing and presenting the financial statements</w:t>
      </w:r>
    </w:p>
    <w:p w14:paraId="73425146" w14:textId="77777777" w:rsidR="009E2B77" w:rsidRPr="007D770B" w:rsidRDefault="009E2B77" w:rsidP="00F96B17">
      <w:pPr>
        <w:spacing w:before="240" w:line="240" w:lineRule="auto"/>
        <w:ind w:left="0"/>
        <w:rPr>
          <w:rFonts w:ascii="Times New Roman" w:hAnsi="Times New Roman"/>
          <w:lang w:val="en-US"/>
        </w:rPr>
      </w:pPr>
      <w:r w:rsidRPr="007D770B">
        <w:rPr>
          <w:rFonts w:ascii="Times New Roman" w:hAnsi="Times New Roman"/>
          <w:lang w:val="en-US"/>
        </w:rPr>
        <w:t xml:space="preserve">Errors arise in relation to the recognition, measurement, presentation or disclosure of elements of the financial statements. The financial statements do not comply with IFRS if they contain material errors or immaterial errors that are made intentionally in order to present in a particular way the financial position, results of operations or cash flows of </w:t>
      </w:r>
      <w:r w:rsidR="00A428CE" w:rsidRPr="007D770B">
        <w:rPr>
          <w:rFonts w:ascii="Times New Roman" w:hAnsi="Times New Roman"/>
          <w:lang w:val="en-US"/>
        </w:rPr>
        <w:t xml:space="preserve">subsidiaries and the </w:t>
      </w:r>
      <w:r w:rsidR="00F9744B" w:rsidRPr="007D770B">
        <w:rPr>
          <w:rFonts w:ascii="Times New Roman" w:hAnsi="Times New Roman"/>
          <w:lang w:val="en-US"/>
        </w:rPr>
        <w:t xml:space="preserve">Bank </w:t>
      </w:r>
      <w:r w:rsidR="00A428CE" w:rsidRPr="007D770B">
        <w:rPr>
          <w:rFonts w:ascii="Times New Roman" w:hAnsi="Times New Roman"/>
          <w:lang w:val="en-US"/>
        </w:rPr>
        <w:t>itself</w:t>
      </w:r>
      <w:r w:rsidRPr="007D770B">
        <w:rPr>
          <w:rFonts w:ascii="Times New Roman" w:hAnsi="Times New Roman"/>
          <w:lang w:val="en-US"/>
        </w:rPr>
        <w:t xml:space="preserve">. Potential current period errors discovered in the period are corrected before the financial statements are authorized for issue. However, material errors are sometimes not detected until a subsequent period and these prior period errors are corrected in the comparative information presented in the financial statements for that subsequent period. </w:t>
      </w:r>
    </w:p>
    <w:p w14:paraId="5234EAC8" w14:textId="77777777" w:rsidR="009E2B77" w:rsidRPr="002D4EA3" w:rsidRDefault="009E2B77" w:rsidP="00F96B17">
      <w:pPr>
        <w:spacing w:before="240" w:line="240" w:lineRule="auto"/>
        <w:ind w:left="0"/>
        <w:rPr>
          <w:rFonts w:ascii="Times New Roman" w:hAnsi="Times New Roman"/>
        </w:rPr>
      </w:pPr>
      <w:r w:rsidRPr="002D4EA3">
        <w:rPr>
          <w:rFonts w:ascii="Times New Roman" w:hAnsi="Times New Roman"/>
        </w:rPr>
        <w:lastRenderedPageBreak/>
        <w:t>Examples of Significant Errors:</w:t>
      </w:r>
    </w:p>
    <w:p w14:paraId="531FDA57" w14:textId="77777777" w:rsidR="009E2B77" w:rsidRPr="002D4EA3" w:rsidRDefault="009E2B77" w:rsidP="00AE698A">
      <w:pPr>
        <w:numPr>
          <w:ilvl w:val="0"/>
          <w:numId w:val="175"/>
        </w:numPr>
        <w:spacing w:before="240" w:line="240" w:lineRule="auto"/>
        <w:rPr>
          <w:rFonts w:ascii="Times New Roman" w:hAnsi="Times New Roman"/>
        </w:rPr>
      </w:pPr>
      <w:r w:rsidRPr="002D4EA3">
        <w:rPr>
          <w:rFonts w:ascii="Times New Roman" w:hAnsi="Times New Roman"/>
        </w:rPr>
        <w:t>math miscalculations;</w:t>
      </w:r>
    </w:p>
    <w:p w14:paraId="080813BA" w14:textId="77777777" w:rsidR="009E2B77" w:rsidRPr="002D4EA3" w:rsidRDefault="009E2B77" w:rsidP="00AE698A">
      <w:pPr>
        <w:numPr>
          <w:ilvl w:val="0"/>
          <w:numId w:val="175"/>
        </w:numPr>
        <w:spacing w:before="240" w:line="240" w:lineRule="auto"/>
        <w:rPr>
          <w:rFonts w:ascii="Times New Roman" w:hAnsi="Times New Roman"/>
        </w:rPr>
      </w:pPr>
      <w:r w:rsidRPr="002D4EA3">
        <w:rPr>
          <w:rFonts w:ascii="Times New Roman" w:hAnsi="Times New Roman"/>
        </w:rPr>
        <w:t>misapplication of accounting policies;</w:t>
      </w:r>
    </w:p>
    <w:p w14:paraId="38E96B10" w14:textId="77777777" w:rsidR="009E2B77" w:rsidRPr="007D770B" w:rsidRDefault="009E2B77" w:rsidP="00AE698A">
      <w:pPr>
        <w:numPr>
          <w:ilvl w:val="0"/>
          <w:numId w:val="175"/>
        </w:numPr>
        <w:spacing w:before="240" w:line="240" w:lineRule="auto"/>
        <w:rPr>
          <w:rFonts w:ascii="Times New Roman" w:hAnsi="Times New Roman"/>
          <w:lang w:val="en-US"/>
        </w:rPr>
      </w:pPr>
      <w:r w:rsidRPr="007D770B">
        <w:rPr>
          <w:rFonts w:ascii="Times New Roman" w:hAnsi="Times New Roman"/>
          <w:lang w:val="en-US"/>
        </w:rPr>
        <w:t>Misinterpretation of facts, omission of information, fraud.</w:t>
      </w:r>
    </w:p>
    <w:p w14:paraId="6DBD09E5" w14:textId="77777777" w:rsidR="009E2B77" w:rsidRPr="007D770B" w:rsidRDefault="009E2B77" w:rsidP="00F96B17">
      <w:pPr>
        <w:spacing w:before="240" w:line="240" w:lineRule="auto"/>
        <w:ind w:left="0"/>
        <w:rPr>
          <w:rFonts w:ascii="Times New Roman" w:hAnsi="Times New Roman"/>
          <w:lang w:val="en-US"/>
        </w:rPr>
      </w:pPr>
      <w:r w:rsidRPr="007D770B">
        <w:rPr>
          <w:rFonts w:ascii="Times New Roman" w:hAnsi="Times New Roman"/>
          <w:lang w:val="en-US"/>
        </w:rPr>
        <w:t>Material errors of prior periods should be corrected in the financial statements for the period closest to the period when the errors were discovered by:</w:t>
      </w:r>
    </w:p>
    <w:p w14:paraId="0831822B" w14:textId="77777777" w:rsidR="009E2B77" w:rsidRPr="007D770B" w:rsidRDefault="009E2B77" w:rsidP="00AE698A">
      <w:pPr>
        <w:numPr>
          <w:ilvl w:val="0"/>
          <w:numId w:val="176"/>
        </w:numPr>
        <w:tabs>
          <w:tab w:val="num" w:pos="720"/>
        </w:tabs>
        <w:spacing w:before="240" w:line="240" w:lineRule="auto"/>
        <w:rPr>
          <w:rFonts w:ascii="Times New Roman" w:hAnsi="Times New Roman"/>
          <w:lang w:val="en-US"/>
        </w:rPr>
      </w:pPr>
      <w:r w:rsidRPr="007D770B">
        <w:rPr>
          <w:rFonts w:ascii="Times New Roman" w:hAnsi="Times New Roman"/>
          <w:lang w:val="en-US"/>
        </w:rPr>
        <w:t xml:space="preserve">restatement of comparative information for the prior period in which the error occurred; </w:t>
      </w:r>
    </w:p>
    <w:p w14:paraId="6E5B555B" w14:textId="77777777" w:rsidR="009E2B77" w:rsidRPr="007D770B" w:rsidRDefault="009E2B77" w:rsidP="00AE698A">
      <w:pPr>
        <w:pStyle w:val="aa"/>
        <w:numPr>
          <w:ilvl w:val="0"/>
          <w:numId w:val="176"/>
        </w:numPr>
        <w:tabs>
          <w:tab w:val="num" w:pos="720"/>
        </w:tabs>
        <w:spacing w:before="240" w:line="240" w:lineRule="auto"/>
        <w:rPr>
          <w:rFonts w:ascii="Times New Roman" w:hAnsi="Times New Roman"/>
          <w:lang w:val="en-US"/>
        </w:rPr>
      </w:pPr>
      <w:r w:rsidRPr="007D770B">
        <w:rPr>
          <w:rFonts w:ascii="Times New Roman" w:hAnsi="Times New Roman"/>
          <w:lang w:val="en-US"/>
        </w:rPr>
        <w:t>if the errors occurred in a period prior to the earliest period presented, by restating the opening balances of assets, liabilities and equity at the beginning of the earliest period presented.</w:t>
      </w:r>
    </w:p>
    <w:p w14:paraId="40E66491" w14:textId="77777777" w:rsidR="009E2B77" w:rsidRPr="007D770B" w:rsidRDefault="009E2B77" w:rsidP="00F96B17">
      <w:pPr>
        <w:spacing w:before="240" w:line="240" w:lineRule="auto"/>
        <w:ind w:left="0"/>
        <w:rPr>
          <w:rFonts w:ascii="Times New Roman" w:hAnsi="Times New Roman"/>
          <w:b/>
          <w:i/>
          <w:lang w:val="en-US"/>
        </w:rPr>
      </w:pPr>
      <w:r w:rsidRPr="007D770B">
        <w:rPr>
          <w:rFonts w:ascii="Times New Roman" w:hAnsi="Times New Roman"/>
          <w:b/>
          <w:i/>
          <w:lang w:val="en-US"/>
        </w:rPr>
        <w:t>Limitations of retrospective restatement</w:t>
      </w:r>
    </w:p>
    <w:p w14:paraId="61ACE6B7" w14:textId="77777777" w:rsidR="009E2B77" w:rsidRPr="007D770B" w:rsidRDefault="009E2B77" w:rsidP="00F96B17">
      <w:pPr>
        <w:spacing w:before="240" w:line="240" w:lineRule="auto"/>
        <w:ind w:left="0"/>
        <w:rPr>
          <w:rFonts w:ascii="Times New Roman" w:hAnsi="Times New Roman"/>
          <w:lang w:val="en-US"/>
        </w:rPr>
      </w:pPr>
      <w:r w:rsidRPr="007D770B">
        <w:rPr>
          <w:rFonts w:ascii="Times New Roman" w:hAnsi="Times New Roman"/>
          <w:lang w:val="en-US"/>
        </w:rPr>
        <w:t>Prior period adjustments are retrospectively restated as if a material error had been corrected in the period in which it occurred, unless it is impracticable to determine either the effect of the error in a particular period or the cumulative effect of the error. When the effect of an error cannot be estimated reliably, the opening balances of assets, liabilities and equity at the beginning of the earliest period are restated to comparative information for one or more prior periods for which retrospective restatement is practicable.</w:t>
      </w:r>
    </w:p>
    <w:p w14:paraId="411BE4BB" w14:textId="51608670" w:rsidR="009E2B77" w:rsidRPr="007D770B" w:rsidRDefault="009E2B77" w:rsidP="00F96B17">
      <w:pPr>
        <w:spacing w:before="240" w:line="240" w:lineRule="auto"/>
        <w:ind w:left="0"/>
        <w:rPr>
          <w:rFonts w:ascii="Times New Roman" w:hAnsi="Times New Roman"/>
          <w:lang w:val="en-US"/>
        </w:rPr>
      </w:pPr>
      <w:r w:rsidRPr="007D770B">
        <w:rPr>
          <w:rFonts w:ascii="Times New Roman" w:hAnsi="Times New Roman"/>
          <w:lang w:val="en-US"/>
        </w:rPr>
        <w:t xml:space="preserve">When it is not practicable to determine the cumulative effect on all prior periods as at the beginning of the current period, comparative information </w:t>
      </w:r>
      <w:r w:rsidR="00F24535" w:rsidRPr="007D770B">
        <w:rPr>
          <w:rFonts w:ascii="Times New Roman" w:hAnsi="Times New Roman"/>
          <w:lang w:val="en-US"/>
        </w:rPr>
        <w:t>is</w:t>
      </w:r>
      <w:r w:rsidRPr="007D770B">
        <w:rPr>
          <w:rFonts w:ascii="Times New Roman" w:hAnsi="Times New Roman"/>
          <w:lang w:val="en-US"/>
        </w:rPr>
        <w:t xml:space="preserve"> restated starting from the period for which retrospective restatement is practicable. Adjustments for prior period errors are eliminated from profit or loss in the period in which the error is recognized. </w:t>
      </w:r>
    </w:p>
    <w:p w14:paraId="0951E175" w14:textId="77777777" w:rsidR="009E2B77" w:rsidRPr="007D770B" w:rsidRDefault="009E2B77" w:rsidP="00F96B17">
      <w:pPr>
        <w:spacing w:before="240" w:line="240" w:lineRule="auto"/>
        <w:ind w:left="0"/>
        <w:rPr>
          <w:rFonts w:ascii="Times New Roman" w:hAnsi="Times New Roman"/>
          <w:b/>
          <w:i/>
          <w:lang w:val="en-US"/>
        </w:rPr>
      </w:pPr>
      <w:r w:rsidRPr="007D770B">
        <w:rPr>
          <w:rFonts w:ascii="Times New Roman" w:hAnsi="Times New Roman"/>
          <w:b/>
          <w:i/>
          <w:lang w:val="en-US"/>
        </w:rPr>
        <w:t>Disclosure</w:t>
      </w:r>
    </w:p>
    <w:p w14:paraId="2542F96E" w14:textId="77777777" w:rsidR="009E2B77" w:rsidRPr="007D770B" w:rsidRDefault="00A428CE" w:rsidP="00F96B17">
      <w:pPr>
        <w:spacing w:before="240" w:line="240" w:lineRule="auto"/>
        <w:ind w:left="0"/>
        <w:rPr>
          <w:rFonts w:ascii="Times New Roman" w:hAnsi="Times New Roman"/>
          <w:lang w:val="en-US"/>
        </w:rPr>
      </w:pPr>
      <w:r w:rsidRPr="007D770B">
        <w:rPr>
          <w:rFonts w:ascii="Times New Roman" w:hAnsi="Times New Roman"/>
          <w:lang w:val="en-US"/>
        </w:rPr>
        <w:t xml:space="preserve">The </w:t>
      </w:r>
      <w:r w:rsidR="00F9744B" w:rsidRPr="007D770B">
        <w:rPr>
          <w:rFonts w:ascii="Times New Roman" w:hAnsi="Times New Roman"/>
          <w:lang w:val="en-US"/>
        </w:rPr>
        <w:t xml:space="preserve">Bank </w:t>
      </w:r>
      <w:r w:rsidRPr="007D770B">
        <w:rPr>
          <w:rFonts w:ascii="Times New Roman" w:hAnsi="Times New Roman"/>
          <w:lang w:val="en-US"/>
        </w:rPr>
        <w:t xml:space="preserve">shall </w:t>
      </w:r>
      <w:r w:rsidR="009E2B77" w:rsidRPr="007D770B">
        <w:rPr>
          <w:rFonts w:ascii="Times New Roman" w:hAnsi="Times New Roman"/>
          <w:lang w:val="en-US"/>
        </w:rPr>
        <w:t>disclose the following information:</w:t>
      </w:r>
    </w:p>
    <w:p w14:paraId="1567C615" w14:textId="77777777" w:rsidR="009E2B77" w:rsidRPr="007D770B" w:rsidRDefault="009E2B77" w:rsidP="00AE698A">
      <w:pPr>
        <w:numPr>
          <w:ilvl w:val="0"/>
          <w:numId w:val="177"/>
        </w:numPr>
        <w:spacing w:before="240" w:line="240" w:lineRule="auto"/>
        <w:rPr>
          <w:rFonts w:ascii="Times New Roman" w:hAnsi="Times New Roman"/>
          <w:lang w:val="en-US"/>
        </w:rPr>
      </w:pPr>
      <w:r w:rsidRPr="007D770B">
        <w:rPr>
          <w:rFonts w:ascii="Times New Roman" w:hAnsi="Times New Roman"/>
          <w:lang w:val="en-US"/>
        </w:rPr>
        <w:t>the nature of the prior period error;</w:t>
      </w:r>
    </w:p>
    <w:p w14:paraId="4926D44B" w14:textId="77777777" w:rsidR="009E2B77" w:rsidRPr="007D770B" w:rsidRDefault="009E2B77" w:rsidP="00AE698A">
      <w:pPr>
        <w:numPr>
          <w:ilvl w:val="0"/>
          <w:numId w:val="177"/>
        </w:numPr>
        <w:spacing w:before="240" w:line="240" w:lineRule="auto"/>
        <w:rPr>
          <w:rFonts w:ascii="Times New Roman" w:hAnsi="Times New Roman"/>
          <w:lang w:val="en-US"/>
        </w:rPr>
      </w:pPr>
      <w:r w:rsidRPr="007D770B">
        <w:rPr>
          <w:rFonts w:ascii="Times New Roman" w:hAnsi="Times New Roman"/>
          <w:lang w:val="en-US"/>
        </w:rPr>
        <w:t>the amount of the correction for the current period and for all prior periods presented;</w:t>
      </w:r>
    </w:p>
    <w:p w14:paraId="71AB11B7" w14:textId="77777777" w:rsidR="009E2B77" w:rsidRPr="007D770B" w:rsidRDefault="009E2B77" w:rsidP="00AE698A">
      <w:pPr>
        <w:numPr>
          <w:ilvl w:val="0"/>
          <w:numId w:val="177"/>
        </w:numPr>
        <w:spacing w:before="240" w:line="240" w:lineRule="auto"/>
        <w:rPr>
          <w:rFonts w:ascii="Times New Roman" w:hAnsi="Times New Roman"/>
          <w:lang w:val="en-US"/>
        </w:rPr>
      </w:pPr>
      <w:r w:rsidRPr="007D770B">
        <w:rPr>
          <w:rFonts w:ascii="Times New Roman" w:hAnsi="Times New Roman"/>
          <w:lang w:val="en-US"/>
        </w:rPr>
        <w:t xml:space="preserve">for each prior period presented in the financial statements, to the extent practicable, the amount of the corresponding correction: </w:t>
      </w:r>
    </w:p>
    <w:p w14:paraId="4AD39CD4" w14:textId="77777777" w:rsidR="009E2B77" w:rsidRPr="007D770B" w:rsidRDefault="009E2B77" w:rsidP="00AE698A">
      <w:pPr>
        <w:numPr>
          <w:ilvl w:val="0"/>
          <w:numId w:val="178"/>
        </w:numPr>
        <w:spacing w:before="240" w:line="240" w:lineRule="auto"/>
        <w:ind w:left="1080"/>
        <w:rPr>
          <w:rFonts w:ascii="Times New Roman" w:hAnsi="Times New Roman"/>
          <w:lang w:val="en-US"/>
        </w:rPr>
      </w:pPr>
      <w:r w:rsidRPr="007D770B">
        <w:rPr>
          <w:rFonts w:ascii="Times New Roman" w:hAnsi="Times New Roman"/>
          <w:lang w:val="en-US"/>
        </w:rPr>
        <w:t>for each amended line item in the financial statements;</w:t>
      </w:r>
    </w:p>
    <w:p w14:paraId="33345AE4" w14:textId="77777777" w:rsidR="009E2B77" w:rsidRPr="007D770B" w:rsidRDefault="009E2B77" w:rsidP="00AE698A">
      <w:pPr>
        <w:numPr>
          <w:ilvl w:val="0"/>
          <w:numId w:val="178"/>
        </w:numPr>
        <w:spacing w:before="240" w:line="240" w:lineRule="auto"/>
        <w:ind w:left="1080"/>
        <w:rPr>
          <w:rFonts w:ascii="Times New Roman" w:hAnsi="Times New Roman"/>
          <w:lang w:val="en-US"/>
        </w:rPr>
      </w:pPr>
      <w:r w:rsidRPr="007D770B">
        <w:rPr>
          <w:rFonts w:ascii="Times New Roman" w:hAnsi="Times New Roman"/>
          <w:lang w:val="en-US"/>
        </w:rPr>
        <w:t>on basic and diluted earnings per share;</w:t>
      </w:r>
    </w:p>
    <w:p w14:paraId="7A8FA98D" w14:textId="77777777" w:rsidR="000B639E" w:rsidRPr="007D770B" w:rsidRDefault="009E2B77" w:rsidP="00AE698A">
      <w:pPr>
        <w:numPr>
          <w:ilvl w:val="0"/>
          <w:numId w:val="179"/>
        </w:numPr>
        <w:spacing w:before="240" w:line="240" w:lineRule="auto"/>
        <w:rPr>
          <w:rFonts w:ascii="Times New Roman" w:hAnsi="Times New Roman"/>
          <w:lang w:val="en-US"/>
        </w:rPr>
      </w:pPr>
      <w:r w:rsidRPr="007D770B">
        <w:rPr>
          <w:rFonts w:ascii="Times New Roman" w:hAnsi="Times New Roman"/>
          <w:lang w:val="en-US"/>
        </w:rPr>
        <w:t xml:space="preserve">the amount of the correction at the beginning of the </w:t>
      </w:r>
      <w:r w:rsidR="000B639E" w:rsidRPr="007D770B">
        <w:rPr>
          <w:rFonts w:ascii="Times New Roman" w:hAnsi="Times New Roman"/>
          <w:lang w:val="en-US"/>
        </w:rPr>
        <w:t>previous reporting period; and</w:t>
      </w:r>
    </w:p>
    <w:p w14:paraId="7468866C" w14:textId="77777777" w:rsidR="009E2B77" w:rsidRPr="007D770B" w:rsidRDefault="009E2B77" w:rsidP="00AE698A">
      <w:pPr>
        <w:numPr>
          <w:ilvl w:val="0"/>
          <w:numId w:val="179"/>
        </w:numPr>
        <w:spacing w:before="240" w:line="240" w:lineRule="auto"/>
        <w:rPr>
          <w:rFonts w:ascii="Times New Roman" w:hAnsi="Times New Roman"/>
          <w:lang w:val="en-US"/>
        </w:rPr>
      </w:pPr>
      <w:r w:rsidRPr="007D770B">
        <w:rPr>
          <w:rFonts w:ascii="Times New Roman" w:hAnsi="Times New Roman"/>
          <w:lang w:val="en-US"/>
        </w:rPr>
        <w:t>If retrospective restatement is impracticable for any prior period, the circumstances leading to the impracticability and a description</w:t>
      </w:r>
      <w:r w:rsidR="008E09A0" w:rsidRPr="007D770B">
        <w:rPr>
          <w:rFonts w:ascii="Times New Roman" w:hAnsi="Times New Roman"/>
          <w:lang w:val="en-US"/>
        </w:rPr>
        <w:t xml:space="preserve">. </w:t>
      </w:r>
      <w:r w:rsidRPr="007D770B">
        <w:rPr>
          <w:rFonts w:ascii="Times New Roman" w:hAnsi="Times New Roman"/>
          <w:lang w:val="en-US"/>
        </w:rPr>
        <w:t>how and from which period the error was corrected</w:t>
      </w:r>
      <w:r w:rsidR="008E09A0" w:rsidRPr="007D770B">
        <w:rPr>
          <w:rFonts w:ascii="Times New Roman" w:hAnsi="Times New Roman"/>
          <w:lang w:val="en-US"/>
        </w:rPr>
        <w:t>.</w:t>
      </w:r>
    </w:p>
    <w:p w14:paraId="68F9D558" w14:textId="77777777" w:rsidR="009E2B77" w:rsidRPr="007D770B" w:rsidRDefault="009E2B77" w:rsidP="00F96B17">
      <w:pPr>
        <w:spacing w:before="240" w:line="240" w:lineRule="auto"/>
        <w:ind w:left="0"/>
        <w:rPr>
          <w:rFonts w:ascii="Times New Roman" w:hAnsi="Times New Roman"/>
          <w:lang w:val="en-US"/>
        </w:rPr>
      </w:pPr>
      <w:r w:rsidRPr="007D770B">
        <w:rPr>
          <w:rFonts w:ascii="Times New Roman" w:hAnsi="Times New Roman"/>
          <w:lang w:val="en-US"/>
        </w:rPr>
        <w:t>Disclosure of the above information is not required in the financial statements for subsequent periods.</w:t>
      </w:r>
    </w:p>
    <w:p w14:paraId="537A7167" w14:textId="77777777" w:rsidR="00C70F15" w:rsidRPr="007D770B" w:rsidRDefault="00C70F15" w:rsidP="00F96B17">
      <w:pPr>
        <w:spacing w:before="240" w:line="240" w:lineRule="auto"/>
        <w:ind w:left="0"/>
        <w:rPr>
          <w:rFonts w:ascii="Times New Roman" w:hAnsi="Times New Roman"/>
          <w:lang w:val="en-US"/>
        </w:rPr>
      </w:pPr>
    </w:p>
    <w:p w14:paraId="1B5D4D7E" w14:textId="77777777" w:rsidR="00C70F15" w:rsidRPr="007D770B" w:rsidRDefault="00C70F15" w:rsidP="00F96B17">
      <w:pPr>
        <w:spacing w:before="240" w:line="240" w:lineRule="auto"/>
        <w:ind w:left="0"/>
        <w:rPr>
          <w:rFonts w:ascii="Times New Roman" w:hAnsi="Times New Roman"/>
          <w:lang w:val="en-US"/>
        </w:rPr>
        <w:sectPr w:rsidR="00C70F15" w:rsidRPr="007D770B" w:rsidSect="00224E1D">
          <w:headerReference w:type="even" r:id="rId17"/>
          <w:headerReference w:type="default" r:id="rId18"/>
          <w:headerReference w:type="first" r:id="rId19"/>
          <w:type w:val="continuous"/>
          <w:pgSz w:w="11906" w:h="16838"/>
          <w:pgMar w:top="1134" w:right="850" w:bottom="1134" w:left="1701" w:header="720" w:footer="432" w:gutter="0"/>
          <w:cols w:space="720"/>
          <w:docGrid w:linePitch="360"/>
        </w:sectPr>
      </w:pPr>
    </w:p>
    <w:p w14:paraId="6572A2C7" w14:textId="77777777" w:rsidR="009E2B77" w:rsidRPr="007D770B" w:rsidRDefault="009E2B77" w:rsidP="003C7B2F">
      <w:pPr>
        <w:pStyle w:val="2"/>
        <w:keepNext w:val="0"/>
        <w:keepLines w:val="0"/>
        <w:pageBreakBefore/>
        <w:spacing w:before="240"/>
        <w:ind w:firstLine="708"/>
        <w:jc w:val="both"/>
        <w:rPr>
          <w:rFonts w:ascii="Times New Roman" w:hAnsi="Times New Roman"/>
          <w:szCs w:val="20"/>
          <w:lang w:val="en-US"/>
        </w:rPr>
      </w:pPr>
      <w:bookmarkStart w:id="50" w:name="_Toc251950689"/>
      <w:bookmarkStart w:id="51" w:name="_Toc270435408"/>
      <w:bookmarkStart w:id="52" w:name="_Toc278120860"/>
      <w:bookmarkStart w:id="53" w:name="_Toc168502014"/>
      <w:bookmarkStart w:id="54" w:name="_Toc249285562"/>
      <w:bookmarkStart w:id="55" w:name="_Toc249285563"/>
      <w:bookmarkStart w:id="56" w:name="_Toc251950690"/>
      <w:bookmarkStart w:id="57" w:name="_Toc270435409"/>
      <w:r w:rsidRPr="007D770B">
        <w:rPr>
          <w:rFonts w:ascii="Times New Roman" w:hAnsi="Times New Roman"/>
          <w:szCs w:val="20"/>
          <w:lang w:val="en-US"/>
        </w:rPr>
        <w:lastRenderedPageBreak/>
        <w:t xml:space="preserve">Section 3: Accounting Judgments </w:t>
      </w:r>
      <w:bookmarkEnd w:id="50"/>
      <w:bookmarkEnd w:id="51"/>
      <w:bookmarkEnd w:id="52"/>
      <w:bookmarkEnd w:id="53"/>
      <w:bookmarkEnd w:id="54"/>
    </w:p>
    <w:p w14:paraId="79DB9B7C" w14:textId="7C151732" w:rsidR="009E2B77" w:rsidRPr="007D770B" w:rsidRDefault="009E2B77" w:rsidP="00E61D21">
      <w:pPr>
        <w:pStyle w:val="3"/>
        <w:rPr>
          <w:lang w:val="en-US"/>
        </w:rPr>
      </w:pPr>
      <w:bookmarkStart w:id="58" w:name="_Toc278120861"/>
      <w:bookmarkStart w:id="59" w:name="_Toc168502015"/>
      <w:r w:rsidRPr="007D770B">
        <w:rPr>
          <w:lang w:val="en-US"/>
        </w:rPr>
        <w:t>3.1 General provisions</w:t>
      </w:r>
      <w:bookmarkEnd w:id="55"/>
      <w:bookmarkEnd w:id="56"/>
      <w:bookmarkEnd w:id="57"/>
      <w:bookmarkEnd w:id="58"/>
      <w:bookmarkEnd w:id="59"/>
    </w:p>
    <w:p w14:paraId="78E8D32A" w14:textId="7D5D3490" w:rsidR="009E2B77" w:rsidRPr="007D770B" w:rsidRDefault="009E2B77" w:rsidP="00F96B17">
      <w:pPr>
        <w:pStyle w:val="ABC-paragrahinNotes"/>
        <w:spacing w:before="240"/>
        <w:rPr>
          <w:rFonts w:ascii="Times New Roman" w:hAnsi="Times New Roman"/>
          <w:sz w:val="20"/>
          <w:lang w:val="en-US"/>
        </w:rPr>
      </w:pPr>
      <w:r w:rsidRPr="007D770B">
        <w:rPr>
          <w:rFonts w:ascii="Times New Roman" w:hAnsi="Times New Roman"/>
          <w:sz w:val="20"/>
          <w:lang w:val="en-US"/>
        </w:rPr>
        <w:t xml:space="preserve">The preparation of financial statements requires management to make judgments, estimates and assumptions that affect the reported amounts of revenues, expenses, assets and liabilities, and </w:t>
      </w:r>
      <w:r w:rsidR="00F24535" w:rsidRPr="007D770B">
        <w:rPr>
          <w:rFonts w:ascii="Times New Roman" w:hAnsi="Times New Roman"/>
          <w:sz w:val="20"/>
          <w:lang w:val="en-US"/>
        </w:rPr>
        <w:t xml:space="preserve">the </w:t>
      </w:r>
      <w:r w:rsidRPr="007D770B">
        <w:rPr>
          <w:rFonts w:ascii="Times New Roman" w:hAnsi="Times New Roman"/>
          <w:sz w:val="20"/>
          <w:lang w:val="en-US"/>
        </w:rPr>
        <w:t>disclosure of contingent liabilities at the reporting date. Estimates and judgments are continually evaluated and are based on management'</w:t>
      </w:r>
      <w:r w:rsidR="00F9744B" w:rsidRPr="007D770B">
        <w:rPr>
          <w:rFonts w:ascii="Times New Roman" w:hAnsi="Times New Roman"/>
          <w:sz w:val="20"/>
          <w:lang w:val="en-US"/>
        </w:rPr>
        <w:t>s</w:t>
      </w:r>
      <w:r w:rsidRPr="007D770B">
        <w:rPr>
          <w:rFonts w:ascii="Times New Roman" w:hAnsi="Times New Roman"/>
          <w:sz w:val="20"/>
          <w:lang w:val="en-US"/>
        </w:rPr>
        <w:t xml:space="preserve"> past experience and other factors, including expectations of future events that are believed to be reasonable under the circumstances.</w:t>
      </w:r>
    </w:p>
    <w:p w14:paraId="16F9DA7C" w14:textId="2F8BAD3B" w:rsidR="009E2B77" w:rsidRPr="007D770B" w:rsidRDefault="009E2B77" w:rsidP="00E61D21">
      <w:pPr>
        <w:pStyle w:val="3"/>
        <w:rPr>
          <w:lang w:val="en-US"/>
        </w:rPr>
      </w:pPr>
      <w:bookmarkStart w:id="60" w:name="_Toc249285564"/>
      <w:bookmarkStart w:id="61" w:name="_Toc251950691"/>
      <w:bookmarkStart w:id="62" w:name="_Toc270435410"/>
      <w:bookmarkStart w:id="63" w:name="_Toc278120862"/>
      <w:bookmarkStart w:id="64" w:name="_Toc168502016"/>
      <w:r w:rsidRPr="007D770B">
        <w:rPr>
          <w:lang w:val="en-US"/>
        </w:rPr>
        <w:t>3.2 Accounting policies</w:t>
      </w:r>
      <w:bookmarkEnd w:id="60"/>
      <w:bookmarkEnd w:id="61"/>
      <w:bookmarkEnd w:id="62"/>
      <w:bookmarkEnd w:id="63"/>
      <w:bookmarkEnd w:id="64"/>
    </w:p>
    <w:p w14:paraId="0A3F9400" w14:textId="77777777" w:rsidR="009E2B77" w:rsidRPr="007D770B" w:rsidRDefault="009E2B77" w:rsidP="00F96B17">
      <w:pPr>
        <w:pStyle w:val="ABC-paragrahinNotes"/>
        <w:spacing w:before="240"/>
        <w:rPr>
          <w:rFonts w:ascii="Times New Roman" w:hAnsi="Times New Roman"/>
          <w:sz w:val="20"/>
          <w:lang w:val="en-US"/>
        </w:rPr>
      </w:pPr>
      <w:r w:rsidRPr="007D770B">
        <w:rPr>
          <w:rFonts w:ascii="Times New Roman" w:hAnsi="Times New Roman"/>
          <w:sz w:val="20"/>
          <w:lang w:val="en-US"/>
        </w:rPr>
        <w:t xml:space="preserve">The </w:t>
      </w:r>
      <w:r w:rsidR="00F9744B" w:rsidRPr="007D770B">
        <w:rPr>
          <w:rFonts w:ascii="Times New Roman" w:hAnsi="Times New Roman"/>
          <w:sz w:val="20"/>
          <w:lang w:val="en-US"/>
        </w:rPr>
        <w:t xml:space="preserve">Bank </w:t>
      </w:r>
      <w:r w:rsidRPr="007D770B">
        <w:rPr>
          <w:rFonts w:ascii="Times New Roman" w:hAnsi="Times New Roman"/>
          <w:sz w:val="20"/>
          <w:lang w:val="en-US"/>
        </w:rPr>
        <w:t>makes certain judgments, apart from those involving estimations, in the process of applying accounting policies. Judgments that have the most significant effect on the amounts recognized in the financial statements and estimates that can cause a significant adjustment to the carrying amount of assets and liabilities within the accounting financial period include the following:</w:t>
      </w:r>
    </w:p>
    <w:p w14:paraId="5970BF7F" w14:textId="48ECA7FF" w:rsidR="008F7DA0" w:rsidRPr="007D770B" w:rsidRDefault="00EB2E23" w:rsidP="008F7DA0">
      <w:pPr>
        <w:pStyle w:val="ABC-paragrahinNotes"/>
        <w:spacing w:before="240" w:after="0"/>
        <w:rPr>
          <w:rFonts w:ascii="Times New Roman" w:hAnsi="Times New Roman"/>
          <w:sz w:val="20"/>
          <w:lang w:val="en-US"/>
        </w:rPr>
      </w:pPr>
      <w:r w:rsidRPr="007D770B">
        <w:rPr>
          <w:rFonts w:ascii="Times New Roman" w:hAnsi="Times New Roman"/>
          <w:b/>
          <w:i/>
          <w:sz w:val="20"/>
          <w:lang w:val="en-US"/>
        </w:rPr>
        <w:t xml:space="preserve">Assessment of financial assets for impairment. </w:t>
      </w:r>
      <w:r w:rsidRPr="007D770B">
        <w:rPr>
          <w:rFonts w:ascii="Times New Roman" w:hAnsi="Times New Roman"/>
          <w:sz w:val="20"/>
          <w:lang w:val="en-US"/>
        </w:rPr>
        <w:t xml:space="preserve">All financial assets carried at amortized cost and financial assets at fair value </w:t>
      </w:r>
      <w:r w:rsidR="00F24535" w:rsidRPr="007D770B">
        <w:rPr>
          <w:rFonts w:ascii="Times New Roman" w:hAnsi="Times New Roman"/>
          <w:sz w:val="20"/>
          <w:lang w:val="en-US"/>
        </w:rPr>
        <w:t xml:space="preserve">through other comprehensive income are </w:t>
      </w:r>
      <w:r w:rsidRPr="007D770B">
        <w:rPr>
          <w:rFonts w:ascii="Times New Roman" w:hAnsi="Times New Roman"/>
          <w:sz w:val="20"/>
          <w:lang w:val="en-US"/>
        </w:rPr>
        <w:t xml:space="preserve">subject to review and recognition of an allowance for expected credit losses. </w:t>
      </w:r>
      <w:r w:rsidR="00E968CF" w:rsidRPr="007D770B">
        <w:rPr>
          <w:rFonts w:ascii="Times New Roman" w:hAnsi="Times New Roman"/>
          <w:sz w:val="20"/>
          <w:lang w:val="en-US"/>
        </w:rPr>
        <w:t xml:space="preserve">For the purpose of determining the allowance for expected credit losses, loans are assessed monthly at each reporting date.  </w:t>
      </w:r>
      <w:r w:rsidR="008F7DA0" w:rsidRPr="007D770B">
        <w:rPr>
          <w:rFonts w:ascii="Times New Roman" w:hAnsi="Times New Roman"/>
          <w:sz w:val="20"/>
          <w:lang w:val="en-US"/>
        </w:rPr>
        <w:t>The Bank measures expected credit losses on a financial asset in a manner that reflects:</w:t>
      </w:r>
    </w:p>
    <w:p w14:paraId="556F5802" w14:textId="2453731D" w:rsidR="008F7DA0" w:rsidRPr="007D770B" w:rsidRDefault="008F7DA0" w:rsidP="00AE698A">
      <w:pPr>
        <w:pStyle w:val="ABC-paragrahinNotes"/>
        <w:numPr>
          <w:ilvl w:val="0"/>
          <w:numId w:val="365"/>
        </w:numPr>
        <w:spacing w:after="0"/>
        <w:rPr>
          <w:rFonts w:ascii="Times New Roman" w:hAnsi="Times New Roman"/>
          <w:sz w:val="20"/>
          <w:lang w:val="en-US"/>
        </w:rPr>
      </w:pPr>
      <w:r w:rsidRPr="007D770B">
        <w:rPr>
          <w:rFonts w:ascii="Times New Roman" w:hAnsi="Times New Roman"/>
          <w:sz w:val="20"/>
          <w:lang w:val="en-US"/>
        </w:rPr>
        <w:t>unbiased and probability-weighted amount determined by assessing the range of possible outcomes;</w:t>
      </w:r>
    </w:p>
    <w:p w14:paraId="2B901BA5" w14:textId="3073EB97" w:rsidR="008F7DA0" w:rsidRPr="007D770B" w:rsidRDefault="008F7DA0" w:rsidP="00AE698A">
      <w:pPr>
        <w:pStyle w:val="ABC-paragrahinNotes"/>
        <w:numPr>
          <w:ilvl w:val="0"/>
          <w:numId w:val="365"/>
        </w:numPr>
        <w:spacing w:after="0"/>
        <w:rPr>
          <w:rFonts w:ascii="Times New Roman" w:hAnsi="Times New Roman"/>
          <w:sz w:val="20"/>
          <w:lang w:val="en-US"/>
        </w:rPr>
      </w:pPr>
      <w:r w:rsidRPr="007D770B">
        <w:rPr>
          <w:rFonts w:ascii="Times New Roman" w:hAnsi="Times New Roman"/>
          <w:sz w:val="20"/>
          <w:lang w:val="en-US"/>
        </w:rPr>
        <w:t>the time value of money; and</w:t>
      </w:r>
    </w:p>
    <w:p w14:paraId="3D6733CF" w14:textId="60B215A9" w:rsidR="00EB2E23" w:rsidRPr="007D770B" w:rsidRDefault="008F7DA0" w:rsidP="00AE698A">
      <w:pPr>
        <w:pStyle w:val="ABC-paragrahinNotes"/>
        <w:numPr>
          <w:ilvl w:val="0"/>
          <w:numId w:val="365"/>
        </w:numPr>
        <w:rPr>
          <w:rFonts w:ascii="Times New Roman" w:hAnsi="Times New Roman"/>
          <w:b/>
          <w:i/>
          <w:sz w:val="20"/>
          <w:lang w:val="en-US"/>
        </w:rPr>
      </w:pPr>
      <w:r w:rsidRPr="007D770B">
        <w:rPr>
          <w:rFonts w:ascii="Times New Roman" w:hAnsi="Times New Roman"/>
          <w:sz w:val="20"/>
          <w:lang w:val="en-US"/>
        </w:rPr>
        <w:t>Reasonable and supportable information about past events, current conditions and projected future economic conditions that is available at the reporting date.</w:t>
      </w:r>
    </w:p>
    <w:p w14:paraId="385FE0CC" w14:textId="33D5DB62" w:rsidR="00615D53" w:rsidRPr="007D770B" w:rsidRDefault="00615D53" w:rsidP="00615D53">
      <w:pPr>
        <w:pStyle w:val="ABC-paragrahinNotes"/>
        <w:spacing w:after="0"/>
        <w:rPr>
          <w:rFonts w:ascii="Times New Roman" w:hAnsi="Times New Roman"/>
          <w:sz w:val="20"/>
          <w:lang w:val="en-US"/>
        </w:rPr>
      </w:pPr>
      <w:r w:rsidRPr="007D770B">
        <w:rPr>
          <w:rFonts w:ascii="Times New Roman" w:hAnsi="Times New Roman"/>
          <w:sz w:val="20"/>
          <w:lang w:val="en-US"/>
        </w:rPr>
        <w:t xml:space="preserve">The Bank </w:t>
      </w:r>
      <w:r w:rsidR="004775CF" w:rsidRPr="007D770B">
        <w:rPr>
          <w:rFonts w:ascii="Times New Roman" w:hAnsi="Times New Roman"/>
          <w:sz w:val="20"/>
          <w:lang w:val="en-US"/>
        </w:rPr>
        <w:t xml:space="preserve">uses a three basket model in assessing financial assets for impairment </w:t>
      </w:r>
      <w:r w:rsidRPr="007D770B">
        <w:rPr>
          <w:rFonts w:ascii="Times New Roman" w:hAnsi="Times New Roman"/>
          <w:sz w:val="20"/>
          <w:lang w:val="en-US"/>
        </w:rPr>
        <w:t>based on changes in credit quality since initial recognition as summarized below:</w:t>
      </w:r>
    </w:p>
    <w:p w14:paraId="513FC01C" w14:textId="6A65EA83" w:rsidR="00615D53" w:rsidRPr="007D770B" w:rsidRDefault="00007194" w:rsidP="00AE698A">
      <w:pPr>
        <w:pStyle w:val="ABC-paragrahinNotes"/>
        <w:numPr>
          <w:ilvl w:val="0"/>
          <w:numId w:val="367"/>
        </w:numPr>
        <w:spacing w:after="0"/>
        <w:rPr>
          <w:rFonts w:ascii="Times New Roman" w:hAnsi="Times New Roman"/>
          <w:sz w:val="20"/>
          <w:lang w:val="en-US"/>
        </w:rPr>
      </w:pPr>
      <w:r w:rsidRPr="007D770B">
        <w:rPr>
          <w:rFonts w:ascii="Times New Roman" w:hAnsi="Times New Roman"/>
          <w:sz w:val="20"/>
          <w:lang w:val="en-US"/>
        </w:rPr>
        <w:t xml:space="preserve">The Bank classifies a </w:t>
      </w:r>
      <w:r w:rsidR="00615D53" w:rsidRPr="007D770B">
        <w:rPr>
          <w:rFonts w:ascii="Times New Roman" w:hAnsi="Times New Roman"/>
          <w:sz w:val="20"/>
          <w:lang w:val="en-US"/>
        </w:rPr>
        <w:t xml:space="preserve">financial instrument that is not credit-impaired at initial </w:t>
      </w:r>
      <w:r w:rsidRPr="007D770B">
        <w:rPr>
          <w:rFonts w:ascii="Times New Roman" w:hAnsi="Times New Roman"/>
          <w:sz w:val="20"/>
          <w:lang w:val="en-US"/>
        </w:rPr>
        <w:t xml:space="preserve">recognition into </w:t>
      </w:r>
      <w:r w:rsidR="00802136" w:rsidRPr="007D770B">
        <w:rPr>
          <w:rFonts w:ascii="Times New Roman" w:hAnsi="Times New Roman"/>
          <w:sz w:val="20"/>
          <w:lang w:val="en-US"/>
        </w:rPr>
        <w:t>"</w:t>
      </w:r>
      <w:r w:rsidR="00F214E3" w:rsidRPr="007D770B">
        <w:rPr>
          <w:rFonts w:ascii="Times New Roman" w:hAnsi="Times New Roman"/>
          <w:sz w:val="20"/>
          <w:lang w:val="en-US"/>
        </w:rPr>
        <w:t xml:space="preserve">Basket </w:t>
      </w:r>
      <w:r w:rsidRPr="007D770B">
        <w:rPr>
          <w:rFonts w:ascii="Times New Roman" w:hAnsi="Times New Roman"/>
          <w:sz w:val="20"/>
          <w:lang w:val="en-US"/>
        </w:rPr>
        <w:t>1</w:t>
      </w:r>
      <w:r w:rsidR="00802136" w:rsidRPr="007D770B">
        <w:rPr>
          <w:rFonts w:ascii="Times New Roman" w:hAnsi="Times New Roman"/>
          <w:sz w:val="20"/>
          <w:lang w:val="en-US"/>
        </w:rPr>
        <w:t xml:space="preserve">" </w:t>
      </w:r>
      <w:r w:rsidRPr="007D770B">
        <w:rPr>
          <w:rFonts w:ascii="Times New Roman" w:hAnsi="Times New Roman"/>
          <w:sz w:val="20"/>
          <w:lang w:val="en-US"/>
        </w:rPr>
        <w:t xml:space="preserve">and monitors its credit risk on </w:t>
      </w:r>
      <w:r w:rsidR="00F35DD0" w:rsidRPr="007D770B">
        <w:rPr>
          <w:rFonts w:ascii="Times New Roman" w:hAnsi="Times New Roman"/>
          <w:sz w:val="20"/>
          <w:lang w:val="en-US"/>
        </w:rPr>
        <w:t>an ongoing basis</w:t>
      </w:r>
      <w:r w:rsidR="00615D53" w:rsidRPr="007D770B">
        <w:rPr>
          <w:rFonts w:ascii="Times New Roman" w:hAnsi="Times New Roman"/>
          <w:sz w:val="20"/>
          <w:lang w:val="en-US"/>
        </w:rPr>
        <w:t>.</w:t>
      </w:r>
    </w:p>
    <w:p w14:paraId="15B9CF63" w14:textId="2685500A" w:rsidR="00615D53" w:rsidRPr="007D770B" w:rsidRDefault="00615D53" w:rsidP="00AE698A">
      <w:pPr>
        <w:pStyle w:val="ABC-paragrahinNotes"/>
        <w:numPr>
          <w:ilvl w:val="0"/>
          <w:numId w:val="367"/>
        </w:numPr>
        <w:spacing w:after="0"/>
        <w:rPr>
          <w:rFonts w:ascii="Times New Roman" w:hAnsi="Times New Roman"/>
          <w:sz w:val="20"/>
          <w:lang w:val="en-US"/>
        </w:rPr>
      </w:pPr>
      <w:r w:rsidRPr="007D770B">
        <w:rPr>
          <w:rFonts w:ascii="Times New Roman" w:hAnsi="Times New Roman"/>
          <w:sz w:val="20"/>
          <w:lang w:val="en-US"/>
        </w:rPr>
        <w:t>If a significant increase in credit risk from initial recognition is identified</w:t>
      </w:r>
      <w:r w:rsidR="003E14F2" w:rsidRPr="007D770B">
        <w:rPr>
          <w:rFonts w:ascii="Times New Roman" w:hAnsi="Times New Roman"/>
          <w:sz w:val="20"/>
          <w:lang w:val="en-US"/>
        </w:rPr>
        <w:t xml:space="preserve">, but the financial instrument is not credit-impaired, the </w:t>
      </w:r>
      <w:r w:rsidRPr="007D770B">
        <w:rPr>
          <w:rFonts w:ascii="Times New Roman" w:hAnsi="Times New Roman"/>
          <w:sz w:val="20"/>
          <w:lang w:val="en-US"/>
        </w:rPr>
        <w:t xml:space="preserve">financial instrument is transferred to </w:t>
      </w:r>
      <w:r w:rsidR="00802136" w:rsidRPr="007D770B">
        <w:rPr>
          <w:rFonts w:ascii="Times New Roman" w:hAnsi="Times New Roman"/>
          <w:sz w:val="20"/>
          <w:lang w:val="en-US"/>
        </w:rPr>
        <w:t>"</w:t>
      </w:r>
      <w:r w:rsidR="00F214E3" w:rsidRPr="007D770B">
        <w:rPr>
          <w:rFonts w:ascii="Times New Roman" w:hAnsi="Times New Roman"/>
          <w:sz w:val="20"/>
          <w:lang w:val="en-US"/>
        </w:rPr>
        <w:t xml:space="preserve">Basket </w:t>
      </w:r>
      <w:r w:rsidRPr="007D770B">
        <w:rPr>
          <w:rFonts w:ascii="Times New Roman" w:hAnsi="Times New Roman"/>
          <w:sz w:val="20"/>
          <w:lang w:val="en-US"/>
        </w:rPr>
        <w:t>2</w:t>
      </w:r>
      <w:r w:rsidR="00802136" w:rsidRPr="007D770B">
        <w:rPr>
          <w:rFonts w:ascii="Times New Roman" w:hAnsi="Times New Roman"/>
          <w:sz w:val="20"/>
          <w:lang w:val="en-US"/>
        </w:rPr>
        <w:t>"</w:t>
      </w:r>
    </w:p>
    <w:p w14:paraId="1455BAF2" w14:textId="6D770689" w:rsidR="00615D53" w:rsidRPr="007D770B" w:rsidRDefault="00615D53" w:rsidP="00AE698A">
      <w:pPr>
        <w:pStyle w:val="ABC-paragrahinNotes"/>
        <w:numPr>
          <w:ilvl w:val="0"/>
          <w:numId w:val="367"/>
        </w:numPr>
        <w:spacing w:after="0"/>
        <w:rPr>
          <w:rFonts w:ascii="Times New Roman" w:hAnsi="Times New Roman"/>
          <w:sz w:val="20"/>
          <w:lang w:val="en-US"/>
        </w:rPr>
      </w:pPr>
      <w:r w:rsidRPr="007D770B">
        <w:rPr>
          <w:rFonts w:ascii="Times New Roman" w:hAnsi="Times New Roman"/>
          <w:sz w:val="20"/>
          <w:lang w:val="en-US"/>
        </w:rPr>
        <w:t xml:space="preserve">If a financial instrument </w:t>
      </w:r>
      <w:r w:rsidR="00F35DD0" w:rsidRPr="007D770B">
        <w:rPr>
          <w:rFonts w:ascii="Times New Roman" w:hAnsi="Times New Roman"/>
          <w:sz w:val="20"/>
          <w:lang w:val="en-US"/>
        </w:rPr>
        <w:t>is credit-impaired</w:t>
      </w:r>
      <w:r w:rsidRPr="007D770B">
        <w:rPr>
          <w:rFonts w:ascii="Times New Roman" w:hAnsi="Times New Roman"/>
          <w:sz w:val="20"/>
          <w:lang w:val="en-US"/>
        </w:rPr>
        <w:t xml:space="preserve">, the </w:t>
      </w:r>
      <w:r w:rsidR="00007194" w:rsidRPr="007D770B">
        <w:rPr>
          <w:rFonts w:ascii="Times New Roman" w:hAnsi="Times New Roman"/>
          <w:sz w:val="20"/>
          <w:lang w:val="en-US"/>
        </w:rPr>
        <w:t xml:space="preserve">Bank transfers the financial instrument </w:t>
      </w:r>
      <w:r w:rsidRPr="007D770B">
        <w:rPr>
          <w:rFonts w:ascii="Times New Roman" w:hAnsi="Times New Roman"/>
          <w:sz w:val="20"/>
          <w:lang w:val="en-US"/>
        </w:rPr>
        <w:t xml:space="preserve">to </w:t>
      </w:r>
      <w:r w:rsidR="00802136" w:rsidRPr="007D770B">
        <w:rPr>
          <w:rFonts w:ascii="Times New Roman" w:hAnsi="Times New Roman"/>
          <w:sz w:val="20"/>
          <w:lang w:val="en-US"/>
        </w:rPr>
        <w:t>"</w:t>
      </w:r>
      <w:r w:rsidR="00F214E3" w:rsidRPr="007D770B">
        <w:rPr>
          <w:rFonts w:ascii="Times New Roman" w:hAnsi="Times New Roman"/>
          <w:sz w:val="20"/>
          <w:lang w:val="en-US"/>
        </w:rPr>
        <w:t xml:space="preserve">Basket </w:t>
      </w:r>
      <w:r w:rsidRPr="007D770B">
        <w:rPr>
          <w:rFonts w:ascii="Times New Roman" w:hAnsi="Times New Roman"/>
          <w:sz w:val="20"/>
          <w:lang w:val="en-US"/>
        </w:rPr>
        <w:t>3</w:t>
      </w:r>
      <w:r w:rsidR="00802136" w:rsidRPr="007D770B">
        <w:rPr>
          <w:rFonts w:ascii="Times New Roman" w:hAnsi="Times New Roman"/>
          <w:sz w:val="20"/>
          <w:lang w:val="en-US"/>
        </w:rPr>
        <w:t>"</w:t>
      </w:r>
      <w:r w:rsidRPr="007D770B">
        <w:rPr>
          <w:rFonts w:ascii="Times New Roman" w:hAnsi="Times New Roman"/>
          <w:sz w:val="20"/>
          <w:lang w:val="en-US"/>
        </w:rPr>
        <w:t xml:space="preserve">. </w:t>
      </w:r>
    </w:p>
    <w:p w14:paraId="37F18F4F" w14:textId="042A251B" w:rsidR="00615D53" w:rsidRPr="007D770B" w:rsidRDefault="00615D53" w:rsidP="00AE698A">
      <w:pPr>
        <w:pStyle w:val="ABC-paragrahinNotes"/>
        <w:numPr>
          <w:ilvl w:val="0"/>
          <w:numId w:val="367"/>
        </w:numPr>
        <w:spacing w:after="0"/>
        <w:rPr>
          <w:rFonts w:ascii="Times New Roman" w:hAnsi="Times New Roman"/>
          <w:sz w:val="20"/>
          <w:lang w:val="en-US"/>
        </w:rPr>
      </w:pPr>
      <w:r w:rsidRPr="007D770B">
        <w:rPr>
          <w:rFonts w:ascii="Times New Roman" w:hAnsi="Times New Roman"/>
          <w:sz w:val="20"/>
          <w:lang w:val="en-US"/>
        </w:rPr>
        <w:t xml:space="preserve">The expected credit losses (ECL) of financial instruments </w:t>
      </w:r>
      <w:r w:rsidR="001252D3" w:rsidRPr="007D770B">
        <w:rPr>
          <w:rFonts w:ascii="Times New Roman" w:hAnsi="Times New Roman"/>
          <w:sz w:val="20"/>
          <w:lang w:val="en-US"/>
        </w:rPr>
        <w:t xml:space="preserve">in </w:t>
      </w:r>
      <w:r w:rsidR="00F214E3" w:rsidRPr="007D770B">
        <w:rPr>
          <w:rFonts w:ascii="Times New Roman" w:hAnsi="Times New Roman"/>
          <w:sz w:val="20"/>
          <w:lang w:val="en-US"/>
        </w:rPr>
        <w:t xml:space="preserve">Basket </w:t>
      </w:r>
      <w:r w:rsidRPr="007D770B">
        <w:rPr>
          <w:rFonts w:ascii="Times New Roman" w:hAnsi="Times New Roman"/>
          <w:sz w:val="20"/>
          <w:lang w:val="en-US"/>
        </w:rPr>
        <w:t xml:space="preserve">1 are measured at an amount equal to the </w:t>
      </w:r>
      <w:r w:rsidR="001252D3" w:rsidRPr="007D770B">
        <w:rPr>
          <w:rFonts w:ascii="Times New Roman" w:hAnsi="Times New Roman"/>
          <w:sz w:val="20"/>
          <w:lang w:val="en-US"/>
        </w:rPr>
        <w:t xml:space="preserve">expected credit losses </w:t>
      </w:r>
      <w:r w:rsidRPr="007D770B">
        <w:rPr>
          <w:rFonts w:ascii="Times New Roman" w:hAnsi="Times New Roman"/>
          <w:sz w:val="20"/>
          <w:lang w:val="en-US"/>
        </w:rPr>
        <w:t xml:space="preserve">that </w:t>
      </w:r>
      <w:r w:rsidR="001252D3" w:rsidRPr="007D770B">
        <w:rPr>
          <w:rFonts w:ascii="Times New Roman" w:hAnsi="Times New Roman"/>
          <w:sz w:val="20"/>
          <w:lang w:val="en-US"/>
        </w:rPr>
        <w:t xml:space="preserve">could arise </w:t>
      </w:r>
      <w:r w:rsidRPr="007D770B">
        <w:rPr>
          <w:rFonts w:ascii="Times New Roman" w:hAnsi="Times New Roman"/>
          <w:sz w:val="20"/>
          <w:lang w:val="en-US"/>
        </w:rPr>
        <w:t xml:space="preserve">from an event of default </w:t>
      </w:r>
      <w:r w:rsidR="001252D3" w:rsidRPr="007D770B">
        <w:rPr>
          <w:rFonts w:ascii="Times New Roman" w:hAnsi="Times New Roman"/>
          <w:sz w:val="20"/>
          <w:lang w:val="en-US"/>
        </w:rPr>
        <w:t>within</w:t>
      </w:r>
      <w:r w:rsidRPr="007D770B">
        <w:rPr>
          <w:rFonts w:ascii="Times New Roman" w:hAnsi="Times New Roman"/>
          <w:sz w:val="20"/>
          <w:lang w:val="en-US"/>
        </w:rPr>
        <w:t xml:space="preserve"> the </w:t>
      </w:r>
      <w:r w:rsidR="001252D3" w:rsidRPr="007D770B">
        <w:rPr>
          <w:rFonts w:ascii="Times New Roman" w:hAnsi="Times New Roman"/>
          <w:sz w:val="20"/>
          <w:lang w:val="en-US"/>
        </w:rPr>
        <w:t xml:space="preserve">next </w:t>
      </w:r>
      <w:r w:rsidRPr="007D770B">
        <w:rPr>
          <w:rFonts w:ascii="Times New Roman" w:hAnsi="Times New Roman"/>
          <w:sz w:val="20"/>
          <w:lang w:val="en-US"/>
        </w:rPr>
        <w:t xml:space="preserve">12 months. The CMOs of instruments in </w:t>
      </w:r>
      <w:r w:rsidR="00F214E3" w:rsidRPr="007D770B">
        <w:rPr>
          <w:rFonts w:ascii="Times New Roman" w:hAnsi="Times New Roman"/>
          <w:sz w:val="20"/>
          <w:lang w:val="en-US"/>
        </w:rPr>
        <w:t xml:space="preserve">Baskets </w:t>
      </w:r>
      <w:r w:rsidRPr="007D770B">
        <w:rPr>
          <w:rFonts w:ascii="Times New Roman" w:hAnsi="Times New Roman"/>
          <w:sz w:val="20"/>
          <w:lang w:val="en-US"/>
        </w:rPr>
        <w:t xml:space="preserve">2 or 3 are estimated based on expected credit losses based on the </w:t>
      </w:r>
      <w:r w:rsidR="001252D3" w:rsidRPr="007D770B">
        <w:rPr>
          <w:rFonts w:ascii="Times New Roman" w:hAnsi="Times New Roman"/>
          <w:sz w:val="20"/>
          <w:lang w:val="en-US"/>
        </w:rPr>
        <w:t>life of the instrument</w:t>
      </w:r>
      <w:r w:rsidRPr="007D770B">
        <w:rPr>
          <w:rFonts w:ascii="Times New Roman" w:hAnsi="Times New Roman"/>
          <w:sz w:val="20"/>
          <w:lang w:val="en-US"/>
        </w:rPr>
        <w:t xml:space="preserve">. </w:t>
      </w:r>
    </w:p>
    <w:p w14:paraId="4913A8C8" w14:textId="62B7B31A" w:rsidR="00615D53" w:rsidRPr="007D770B" w:rsidRDefault="00615D53" w:rsidP="00AE698A">
      <w:pPr>
        <w:pStyle w:val="ABC-paragrahinNotes"/>
        <w:numPr>
          <w:ilvl w:val="0"/>
          <w:numId w:val="367"/>
        </w:numPr>
        <w:spacing w:after="0"/>
        <w:rPr>
          <w:rFonts w:ascii="Times New Roman" w:hAnsi="Times New Roman"/>
          <w:sz w:val="20"/>
          <w:lang w:val="en-US"/>
        </w:rPr>
      </w:pPr>
      <w:r w:rsidRPr="007D770B">
        <w:rPr>
          <w:rFonts w:ascii="Times New Roman" w:hAnsi="Times New Roman"/>
          <w:sz w:val="20"/>
          <w:lang w:val="en-US"/>
        </w:rPr>
        <w:t xml:space="preserve">The Bank considers forward-looking information to assess CMOs in accordance with IFRS 9. </w:t>
      </w:r>
    </w:p>
    <w:p w14:paraId="4E69BB8C" w14:textId="1AF96A1E" w:rsidR="008D2912" w:rsidRPr="008D2912" w:rsidRDefault="00615D53" w:rsidP="00AE698A">
      <w:pPr>
        <w:pStyle w:val="ABC-paragrahinNotes"/>
        <w:numPr>
          <w:ilvl w:val="0"/>
          <w:numId w:val="367"/>
        </w:numPr>
        <w:rPr>
          <w:rFonts w:ascii="Times New Roman" w:hAnsi="Times New Roman"/>
          <w:sz w:val="20"/>
          <w:lang w:val="ru-RU"/>
        </w:rPr>
      </w:pPr>
      <w:r w:rsidRPr="007D770B">
        <w:rPr>
          <w:rFonts w:ascii="Times New Roman" w:hAnsi="Times New Roman"/>
          <w:sz w:val="20"/>
          <w:lang w:val="en-US"/>
        </w:rPr>
        <w:t xml:space="preserve">Acquired </w:t>
      </w:r>
      <w:r w:rsidR="001252D3" w:rsidRPr="007D770B">
        <w:rPr>
          <w:rFonts w:ascii="Times New Roman" w:hAnsi="Times New Roman"/>
          <w:sz w:val="20"/>
          <w:lang w:val="en-US"/>
        </w:rPr>
        <w:t xml:space="preserve">or </w:t>
      </w:r>
      <w:r w:rsidR="00F24535" w:rsidRPr="007D770B">
        <w:rPr>
          <w:rFonts w:ascii="Times New Roman" w:hAnsi="Times New Roman"/>
          <w:sz w:val="20"/>
          <w:lang w:val="en-US"/>
        </w:rPr>
        <w:t xml:space="preserve">originated credit-impaired </w:t>
      </w:r>
      <w:r w:rsidRPr="007D770B">
        <w:rPr>
          <w:rFonts w:ascii="Times New Roman" w:hAnsi="Times New Roman"/>
          <w:sz w:val="20"/>
          <w:lang w:val="en-US"/>
        </w:rPr>
        <w:t xml:space="preserve">financial assets are financial assets that </w:t>
      </w:r>
      <w:r w:rsidR="001252D3" w:rsidRPr="007D770B">
        <w:rPr>
          <w:rFonts w:ascii="Times New Roman" w:hAnsi="Times New Roman"/>
          <w:sz w:val="20"/>
          <w:lang w:val="en-US"/>
        </w:rPr>
        <w:t xml:space="preserve">are credit-impaired </w:t>
      </w:r>
      <w:r w:rsidRPr="007D770B">
        <w:rPr>
          <w:rFonts w:ascii="Times New Roman" w:hAnsi="Times New Roman"/>
          <w:sz w:val="20"/>
          <w:lang w:val="en-US"/>
        </w:rPr>
        <w:t xml:space="preserve">upon initial recognition.  </w:t>
      </w:r>
      <w:r>
        <w:rPr>
          <w:rFonts w:ascii="Times New Roman" w:hAnsi="Times New Roman"/>
          <w:sz w:val="20"/>
          <w:lang w:val="ru-RU"/>
        </w:rPr>
        <w:t xml:space="preserve">The Bank assesses </w:t>
      </w:r>
      <w:r w:rsidR="001252D3">
        <w:rPr>
          <w:rFonts w:ascii="Times New Roman" w:hAnsi="Times New Roman"/>
          <w:sz w:val="20"/>
          <w:lang w:val="ru-RU"/>
        </w:rPr>
        <w:t xml:space="preserve">lifetime </w:t>
      </w:r>
      <w:r>
        <w:rPr>
          <w:rFonts w:ascii="Times New Roman" w:hAnsi="Times New Roman"/>
          <w:sz w:val="20"/>
          <w:lang w:val="ru-RU"/>
        </w:rPr>
        <w:t xml:space="preserve">CMOs </w:t>
      </w:r>
      <w:r w:rsidRPr="00615D53">
        <w:rPr>
          <w:rFonts w:ascii="Times New Roman" w:hAnsi="Times New Roman"/>
          <w:sz w:val="20"/>
          <w:lang w:val="ru-RU"/>
        </w:rPr>
        <w:t>(</w:t>
      </w:r>
      <w:r w:rsidR="003E14F2">
        <w:rPr>
          <w:rFonts w:ascii="Times New Roman" w:hAnsi="Times New Roman"/>
          <w:sz w:val="20"/>
          <w:lang w:val="en-US"/>
        </w:rPr>
        <w:t>POCI</w:t>
      </w:r>
      <w:r w:rsidRPr="00615D53">
        <w:rPr>
          <w:rFonts w:ascii="Times New Roman" w:hAnsi="Times New Roman"/>
          <w:sz w:val="20"/>
          <w:lang w:val="ru-RU"/>
        </w:rPr>
        <w:t>).</w:t>
      </w:r>
    </w:p>
    <w:p w14:paraId="516F72CB" w14:textId="3DBF2E0C" w:rsidR="008D2912" w:rsidRPr="007D770B" w:rsidRDefault="009B1F22" w:rsidP="00B55183">
      <w:pPr>
        <w:pStyle w:val="ABC-paragrahinNotes"/>
        <w:rPr>
          <w:rFonts w:ascii="Times New Roman" w:hAnsi="Times New Roman"/>
          <w:sz w:val="20"/>
          <w:lang w:val="en-US"/>
        </w:rPr>
      </w:pPr>
      <w:r w:rsidRPr="007D770B">
        <w:rPr>
          <w:rFonts w:ascii="Times New Roman" w:hAnsi="Times New Roman"/>
          <w:b/>
          <w:i/>
          <w:sz w:val="20"/>
          <w:lang w:val="en-US"/>
        </w:rPr>
        <w:t xml:space="preserve">Impairment of </w:t>
      </w:r>
      <w:r w:rsidR="006B7034" w:rsidRPr="007D770B">
        <w:rPr>
          <w:rFonts w:ascii="Times New Roman" w:hAnsi="Times New Roman"/>
          <w:b/>
          <w:i/>
          <w:sz w:val="20"/>
          <w:lang w:val="en-US"/>
        </w:rPr>
        <w:t>loans</w:t>
      </w:r>
      <w:r w:rsidR="008F7DA0" w:rsidRPr="007D770B">
        <w:rPr>
          <w:rFonts w:ascii="Times New Roman" w:hAnsi="Times New Roman"/>
          <w:b/>
          <w:i/>
          <w:sz w:val="20"/>
          <w:lang w:val="en-US"/>
        </w:rPr>
        <w:t xml:space="preserve">. </w:t>
      </w:r>
      <w:r w:rsidR="008F7DA0" w:rsidRPr="007D770B">
        <w:rPr>
          <w:rFonts w:ascii="Times New Roman" w:hAnsi="Times New Roman"/>
          <w:sz w:val="20"/>
          <w:lang w:val="en-US"/>
        </w:rPr>
        <w:t xml:space="preserve">As at the reporting date, the Bank estimates a significant increase in credit risk. The assessment of portfolio credit risk includes further estimates of probability of default, relevant loss ratios and default ratios between counterparties. The </w:t>
      </w:r>
      <w:r w:rsidR="00EB33DF" w:rsidRPr="007D770B">
        <w:rPr>
          <w:rFonts w:ascii="Times New Roman" w:hAnsi="Times New Roman"/>
          <w:sz w:val="20"/>
          <w:lang w:val="en-US"/>
        </w:rPr>
        <w:t xml:space="preserve">Bank </w:t>
      </w:r>
      <w:r w:rsidR="008F7DA0" w:rsidRPr="007D770B">
        <w:rPr>
          <w:rFonts w:ascii="Times New Roman" w:hAnsi="Times New Roman"/>
          <w:sz w:val="20"/>
          <w:lang w:val="en-US"/>
        </w:rPr>
        <w:t xml:space="preserve">assesses credit risk using Probability of Default (PD), </w:t>
      </w:r>
      <w:r w:rsidR="003E14F2" w:rsidRPr="007D770B">
        <w:rPr>
          <w:rFonts w:ascii="Times New Roman" w:hAnsi="Times New Roman"/>
          <w:sz w:val="20"/>
          <w:lang w:val="en-US"/>
        </w:rPr>
        <w:t xml:space="preserve">Exposure to </w:t>
      </w:r>
      <w:r w:rsidR="00F24535" w:rsidRPr="007D770B">
        <w:rPr>
          <w:rFonts w:ascii="Times New Roman" w:hAnsi="Times New Roman"/>
          <w:sz w:val="20"/>
          <w:lang w:val="en-US"/>
        </w:rPr>
        <w:t xml:space="preserve">Default </w:t>
      </w:r>
      <w:r w:rsidR="008F7DA0" w:rsidRPr="007D770B">
        <w:rPr>
          <w:rFonts w:ascii="Times New Roman" w:hAnsi="Times New Roman"/>
          <w:sz w:val="20"/>
          <w:lang w:val="en-US"/>
        </w:rPr>
        <w:t xml:space="preserve">(EAD) and Loss Given Default (LGD). </w:t>
      </w:r>
      <w:r w:rsidR="00EB33DF" w:rsidRPr="007D770B">
        <w:rPr>
          <w:rFonts w:ascii="Times New Roman" w:hAnsi="Times New Roman"/>
          <w:sz w:val="20"/>
          <w:lang w:val="en-US"/>
        </w:rPr>
        <w:t xml:space="preserve">Based on the qualitative and quantitative analysis, the Bank divides loans issued into 3 </w:t>
      </w:r>
      <w:r w:rsidR="00F214E3" w:rsidRPr="007D770B">
        <w:rPr>
          <w:rFonts w:ascii="Times New Roman" w:hAnsi="Times New Roman"/>
          <w:sz w:val="20"/>
          <w:lang w:val="en-US"/>
        </w:rPr>
        <w:t>baskets</w:t>
      </w:r>
      <w:r w:rsidR="00EB33DF" w:rsidRPr="007D770B">
        <w:rPr>
          <w:rFonts w:ascii="Times New Roman" w:hAnsi="Times New Roman"/>
          <w:sz w:val="20"/>
          <w:lang w:val="en-US"/>
        </w:rPr>
        <w:t xml:space="preserve">: </w:t>
      </w:r>
      <w:r w:rsidR="00F214E3" w:rsidRPr="007D770B">
        <w:rPr>
          <w:rFonts w:ascii="Times New Roman" w:hAnsi="Times New Roman"/>
          <w:sz w:val="20"/>
          <w:lang w:val="en-US"/>
        </w:rPr>
        <w:t xml:space="preserve">Basket </w:t>
      </w:r>
      <w:r w:rsidR="00EB33DF" w:rsidRPr="007D770B">
        <w:rPr>
          <w:rFonts w:ascii="Times New Roman" w:hAnsi="Times New Roman"/>
          <w:sz w:val="20"/>
          <w:lang w:val="en-US"/>
        </w:rPr>
        <w:t xml:space="preserve">1 (initial recognition </w:t>
      </w:r>
      <w:r w:rsidR="00E03082" w:rsidRPr="007D770B">
        <w:rPr>
          <w:rFonts w:ascii="Times New Roman" w:hAnsi="Times New Roman"/>
          <w:sz w:val="20"/>
          <w:lang w:val="en-US"/>
        </w:rPr>
        <w:t>or no significant increase in risk</w:t>
      </w:r>
      <w:r w:rsidR="00EB33DF" w:rsidRPr="007D770B">
        <w:rPr>
          <w:rFonts w:ascii="Times New Roman" w:hAnsi="Times New Roman"/>
          <w:sz w:val="20"/>
          <w:lang w:val="en-US"/>
        </w:rPr>
        <w:t xml:space="preserve">), </w:t>
      </w:r>
      <w:r w:rsidR="00F214E3" w:rsidRPr="007D770B">
        <w:rPr>
          <w:rFonts w:ascii="Times New Roman" w:hAnsi="Times New Roman"/>
          <w:sz w:val="20"/>
          <w:lang w:val="en-US"/>
        </w:rPr>
        <w:t xml:space="preserve">Basket </w:t>
      </w:r>
      <w:r w:rsidR="00EB33DF" w:rsidRPr="007D770B">
        <w:rPr>
          <w:rFonts w:ascii="Times New Roman" w:hAnsi="Times New Roman"/>
          <w:sz w:val="20"/>
          <w:lang w:val="en-US"/>
        </w:rPr>
        <w:t>2 (</w:t>
      </w:r>
      <w:r w:rsidR="006B7034" w:rsidRPr="007D770B">
        <w:rPr>
          <w:rFonts w:ascii="Times New Roman" w:hAnsi="Times New Roman"/>
          <w:sz w:val="20"/>
          <w:lang w:val="en-US"/>
        </w:rPr>
        <w:t xml:space="preserve">significant increase in credit risk since initial recognition) and </w:t>
      </w:r>
      <w:r w:rsidR="00F214E3" w:rsidRPr="007D770B">
        <w:rPr>
          <w:rFonts w:ascii="Times New Roman" w:hAnsi="Times New Roman"/>
          <w:sz w:val="20"/>
          <w:lang w:val="en-US"/>
        </w:rPr>
        <w:t xml:space="preserve">Basket </w:t>
      </w:r>
      <w:r w:rsidR="006B7034" w:rsidRPr="007D770B">
        <w:rPr>
          <w:rFonts w:ascii="Times New Roman" w:hAnsi="Times New Roman"/>
          <w:sz w:val="20"/>
          <w:lang w:val="en-US"/>
        </w:rPr>
        <w:t xml:space="preserve">3 (credit-impaired loans). </w:t>
      </w:r>
      <w:r w:rsidR="00CC5FBD" w:rsidRPr="007D770B">
        <w:rPr>
          <w:rFonts w:ascii="Times New Roman" w:hAnsi="Times New Roman"/>
          <w:sz w:val="20"/>
          <w:lang w:val="en-US"/>
        </w:rPr>
        <w:t>The qualitative analysis includes an assessment of the credit history of the loans, loan restructuring measures, cases where the borrower has been charged off against payment requests</w:t>
      </w:r>
      <w:r w:rsidR="003E14F2" w:rsidRPr="007D770B">
        <w:rPr>
          <w:rFonts w:ascii="Times New Roman" w:hAnsi="Times New Roman"/>
          <w:sz w:val="20"/>
          <w:lang w:val="en-US"/>
        </w:rPr>
        <w:t xml:space="preserve">, collection orders </w:t>
      </w:r>
      <w:r w:rsidR="00CC5FBD" w:rsidRPr="007D770B">
        <w:rPr>
          <w:rFonts w:ascii="Times New Roman" w:hAnsi="Times New Roman"/>
          <w:sz w:val="20"/>
          <w:lang w:val="en-US"/>
        </w:rPr>
        <w:t xml:space="preserve">and </w:t>
      </w:r>
      <w:r w:rsidR="00110A33" w:rsidRPr="007D770B">
        <w:rPr>
          <w:rFonts w:ascii="Times New Roman" w:hAnsi="Times New Roman"/>
          <w:sz w:val="20"/>
          <w:lang w:val="en-US"/>
        </w:rPr>
        <w:t xml:space="preserve">loans, </w:t>
      </w:r>
      <w:r w:rsidR="00CC5FBD" w:rsidRPr="007D770B">
        <w:rPr>
          <w:rFonts w:ascii="Times New Roman" w:hAnsi="Times New Roman"/>
          <w:sz w:val="20"/>
          <w:lang w:val="en-US"/>
        </w:rPr>
        <w:t xml:space="preserve">and cases where the loans have experienced a decrease in the market value of </w:t>
      </w:r>
      <w:r w:rsidR="003E14F2" w:rsidRPr="007D770B">
        <w:rPr>
          <w:rFonts w:ascii="Times New Roman" w:hAnsi="Times New Roman"/>
          <w:sz w:val="20"/>
          <w:lang w:val="en-US"/>
        </w:rPr>
        <w:t xml:space="preserve">real estate </w:t>
      </w:r>
      <w:r w:rsidR="00CC5FBD" w:rsidRPr="007D770B">
        <w:rPr>
          <w:rFonts w:ascii="Times New Roman" w:hAnsi="Times New Roman"/>
          <w:sz w:val="20"/>
          <w:lang w:val="en-US"/>
        </w:rPr>
        <w:t xml:space="preserve">as a result of revaluation. </w:t>
      </w:r>
      <w:r w:rsidR="00FE0804" w:rsidRPr="007D770B">
        <w:rPr>
          <w:rFonts w:ascii="Times New Roman" w:hAnsi="Times New Roman"/>
          <w:sz w:val="20"/>
          <w:lang w:val="en-US"/>
        </w:rPr>
        <w:t xml:space="preserve">For quantitative analysis, the Bank compares the probability of default (PD) ratio at the reporting date and at the date of initial recognition of the loan. </w:t>
      </w:r>
      <w:r w:rsidR="007F3751" w:rsidRPr="007D770B">
        <w:rPr>
          <w:rFonts w:ascii="Times New Roman" w:hAnsi="Times New Roman"/>
          <w:sz w:val="20"/>
          <w:lang w:val="en-US"/>
        </w:rPr>
        <w:t xml:space="preserve">The PD ratio is calculated based on historical data as well as projections using macroeconomic factors. </w:t>
      </w:r>
      <w:r w:rsidR="00302685" w:rsidRPr="007D770B">
        <w:rPr>
          <w:rFonts w:ascii="Times New Roman" w:hAnsi="Times New Roman"/>
          <w:sz w:val="20"/>
          <w:lang w:val="en-US"/>
        </w:rPr>
        <w:t xml:space="preserve">The Bank </w:t>
      </w:r>
      <w:r w:rsidR="007547B5" w:rsidRPr="007D770B">
        <w:rPr>
          <w:rFonts w:ascii="Times New Roman" w:hAnsi="Times New Roman"/>
          <w:sz w:val="20"/>
          <w:lang w:val="en-US"/>
        </w:rPr>
        <w:t xml:space="preserve">also </w:t>
      </w:r>
      <w:r w:rsidR="00302685" w:rsidRPr="007D770B">
        <w:rPr>
          <w:rFonts w:ascii="Times New Roman" w:hAnsi="Times New Roman"/>
          <w:sz w:val="20"/>
          <w:lang w:val="en-US"/>
        </w:rPr>
        <w:t xml:space="preserve">considers a loan to have a significant increase in credit risk if the borrower is more than 30 </w:t>
      </w:r>
      <w:r w:rsidR="00DA665D" w:rsidRPr="007D770B">
        <w:rPr>
          <w:rFonts w:ascii="Times New Roman" w:hAnsi="Times New Roman"/>
          <w:sz w:val="20"/>
          <w:lang w:val="en-US"/>
        </w:rPr>
        <w:t xml:space="preserve">calendar </w:t>
      </w:r>
      <w:r w:rsidR="00302685" w:rsidRPr="007D770B">
        <w:rPr>
          <w:rFonts w:ascii="Times New Roman" w:hAnsi="Times New Roman"/>
          <w:sz w:val="20"/>
          <w:lang w:val="en-US"/>
        </w:rPr>
        <w:t>days past due on its contractual payments</w:t>
      </w:r>
    </w:p>
    <w:p w14:paraId="57CF6955" w14:textId="58F684C4" w:rsidR="00110A33" w:rsidRPr="007D770B" w:rsidRDefault="009B1F22" w:rsidP="008F7DA0">
      <w:pPr>
        <w:pStyle w:val="ABC-paragrahinNotes"/>
        <w:rPr>
          <w:rFonts w:ascii="Times New Roman" w:hAnsi="Times New Roman"/>
          <w:sz w:val="20"/>
          <w:lang w:val="en-US"/>
        </w:rPr>
      </w:pPr>
      <w:r w:rsidRPr="007D770B">
        <w:rPr>
          <w:rFonts w:ascii="Times New Roman" w:hAnsi="Times New Roman"/>
          <w:b/>
          <w:i/>
          <w:sz w:val="20"/>
          <w:lang w:val="en-US"/>
        </w:rPr>
        <w:t xml:space="preserve">Impairment of other financial assets. </w:t>
      </w:r>
      <w:r w:rsidR="00E03082" w:rsidRPr="007D770B">
        <w:rPr>
          <w:rFonts w:ascii="Times New Roman" w:hAnsi="Times New Roman"/>
          <w:sz w:val="20"/>
          <w:lang w:val="en-US"/>
        </w:rPr>
        <w:t xml:space="preserve">The Bank assesses credit risk using Probability of Default (PD), Risk of Loss in the Event of Default (EAD) and Loss Given Default (LGD). </w:t>
      </w:r>
      <w:r w:rsidRPr="007D770B">
        <w:rPr>
          <w:rFonts w:ascii="Times New Roman" w:hAnsi="Times New Roman"/>
          <w:sz w:val="20"/>
          <w:lang w:val="en-US"/>
        </w:rPr>
        <w:t xml:space="preserve">Based on the qualitative and quantitative analysis, the Bank divides other financial assets into 3 </w:t>
      </w:r>
      <w:r w:rsidR="00F214E3" w:rsidRPr="007D770B">
        <w:rPr>
          <w:rFonts w:ascii="Times New Roman" w:hAnsi="Times New Roman"/>
          <w:sz w:val="20"/>
          <w:lang w:val="en-US"/>
        </w:rPr>
        <w:t>baskets</w:t>
      </w:r>
      <w:r w:rsidRPr="007D770B">
        <w:rPr>
          <w:rFonts w:ascii="Times New Roman" w:hAnsi="Times New Roman"/>
          <w:sz w:val="20"/>
          <w:lang w:val="en-US"/>
        </w:rPr>
        <w:t xml:space="preserve">: </w:t>
      </w:r>
      <w:r w:rsidR="00F214E3" w:rsidRPr="007D770B">
        <w:rPr>
          <w:rFonts w:ascii="Times New Roman" w:hAnsi="Times New Roman"/>
          <w:sz w:val="20"/>
          <w:lang w:val="en-US"/>
        </w:rPr>
        <w:t xml:space="preserve">Basket </w:t>
      </w:r>
      <w:r w:rsidRPr="007D770B">
        <w:rPr>
          <w:rFonts w:ascii="Times New Roman" w:hAnsi="Times New Roman"/>
          <w:sz w:val="20"/>
          <w:lang w:val="en-US"/>
        </w:rPr>
        <w:t xml:space="preserve">1 (initial recognition </w:t>
      </w:r>
      <w:r w:rsidR="00E03082" w:rsidRPr="007D770B">
        <w:rPr>
          <w:rFonts w:ascii="Times New Roman" w:hAnsi="Times New Roman"/>
          <w:sz w:val="20"/>
          <w:lang w:val="en-US"/>
        </w:rPr>
        <w:t>or no significant increase in risk</w:t>
      </w:r>
      <w:r w:rsidRPr="007D770B">
        <w:rPr>
          <w:rFonts w:ascii="Times New Roman" w:hAnsi="Times New Roman"/>
          <w:sz w:val="20"/>
          <w:lang w:val="en-US"/>
        </w:rPr>
        <w:t xml:space="preserve">), </w:t>
      </w:r>
      <w:r w:rsidR="00F214E3" w:rsidRPr="007D770B">
        <w:rPr>
          <w:rFonts w:ascii="Times New Roman" w:hAnsi="Times New Roman"/>
          <w:sz w:val="20"/>
          <w:lang w:val="en-US"/>
        </w:rPr>
        <w:t xml:space="preserve">Basket </w:t>
      </w:r>
      <w:r w:rsidRPr="007D770B">
        <w:rPr>
          <w:rFonts w:ascii="Times New Roman" w:hAnsi="Times New Roman"/>
          <w:sz w:val="20"/>
          <w:lang w:val="en-US"/>
        </w:rPr>
        <w:t xml:space="preserve">2 (significant increase in credit risk since initial recognition) and </w:t>
      </w:r>
      <w:r w:rsidR="00F214E3" w:rsidRPr="007D770B">
        <w:rPr>
          <w:rFonts w:ascii="Times New Roman" w:hAnsi="Times New Roman"/>
          <w:sz w:val="20"/>
          <w:lang w:val="en-US"/>
        </w:rPr>
        <w:t xml:space="preserve">Basket </w:t>
      </w:r>
      <w:r w:rsidRPr="007D770B">
        <w:rPr>
          <w:rFonts w:ascii="Times New Roman" w:hAnsi="Times New Roman"/>
          <w:sz w:val="20"/>
          <w:lang w:val="en-US"/>
        </w:rPr>
        <w:t>3 (</w:t>
      </w:r>
      <w:r w:rsidR="00E03082" w:rsidRPr="007D770B">
        <w:rPr>
          <w:rFonts w:ascii="Times New Roman" w:hAnsi="Times New Roman"/>
          <w:sz w:val="20"/>
          <w:lang w:val="en-US"/>
        </w:rPr>
        <w:t>financial assets with objective evidence of impairment at the reporting date</w:t>
      </w:r>
      <w:r w:rsidRPr="007D770B">
        <w:rPr>
          <w:rFonts w:ascii="Times New Roman" w:hAnsi="Times New Roman"/>
          <w:sz w:val="20"/>
          <w:lang w:val="en-US"/>
        </w:rPr>
        <w:t xml:space="preserve">). </w:t>
      </w:r>
      <w:r w:rsidR="00E03082" w:rsidRPr="007D770B">
        <w:rPr>
          <w:rFonts w:ascii="Times New Roman" w:hAnsi="Times New Roman"/>
          <w:sz w:val="20"/>
          <w:lang w:val="en-US"/>
        </w:rPr>
        <w:t xml:space="preserve">Qualitative analysis includes factors such as actual or expected changes in the external credit rating of the asset; existing or forecasted changes in commercial, financial or economic conditions; changes in the operating results of the counterparty from which the asset was acquired; disappearance of an active market for the financial asset; decrease in the fair value by more than 20% compared to the initial value; </w:t>
      </w:r>
      <w:r w:rsidR="00E03082" w:rsidRPr="007D770B">
        <w:rPr>
          <w:rFonts w:ascii="Times New Roman" w:hAnsi="Times New Roman"/>
          <w:sz w:val="20"/>
          <w:lang w:val="en-US"/>
        </w:rPr>
        <w:lastRenderedPageBreak/>
        <w:t xml:space="preserve">decrease in the value of collateral or guarantees provided. </w:t>
      </w:r>
      <w:r w:rsidR="005E0FB1" w:rsidRPr="007D770B">
        <w:rPr>
          <w:rFonts w:ascii="Times New Roman" w:hAnsi="Times New Roman"/>
          <w:sz w:val="20"/>
          <w:lang w:val="en-US"/>
        </w:rPr>
        <w:t xml:space="preserve">To perform the quantitative analysis, the Bank compares the probability of default (PD) ratio at the reporting date and at the date of initial recognition of the asset. The </w:t>
      </w:r>
      <w:r w:rsidR="007F3751" w:rsidRPr="007D770B">
        <w:rPr>
          <w:rFonts w:ascii="Times New Roman" w:hAnsi="Times New Roman"/>
          <w:sz w:val="20"/>
          <w:lang w:val="en-US"/>
        </w:rPr>
        <w:t xml:space="preserve">probability of default </w:t>
      </w:r>
      <w:r w:rsidR="005E0FB1" w:rsidRPr="007D770B">
        <w:rPr>
          <w:rFonts w:ascii="Times New Roman" w:hAnsi="Times New Roman"/>
          <w:sz w:val="20"/>
          <w:lang w:val="en-US"/>
        </w:rPr>
        <w:t xml:space="preserve">ratio is calculated using a migration matrix based on data from external sources (rating </w:t>
      </w:r>
      <w:r w:rsidR="007F3751" w:rsidRPr="007D770B">
        <w:rPr>
          <w:rFonts w:ascii="Times New Roman" w:hAnsi="Times New Roman"/>
          <w:sz w:val="20"/>
          <w:lang w:val="en-US"/>
        </w:rPr>
        <w:t>agencies</w:t>
      </w:r>
      <w:r w:rsidR="005E0FB1" w:rsidRPr="007D770B">
        <w:rPr>
          <w:rFonts w:ascii="Times New Roman" w:hAnsi="Times New Roman"/>
          <w:sz w:val="20"/>
          <w:lang w:val="en-US"/>
        </w:rPr>
        <w:t xml:space="preserve">). </w:t>
      </w:r>
      <w:r w:rsidR="00302685" w:rsidRPr="007D770B">
        <w:rPr>
          <w:rFonts w:ascii="Times New Roman" w:hAnsi="Times New Roman"/>
          <w:sz w:val="20"/>
          <w:lang w:val="en-US"/>
        </w:rPr>
        <w:t>The Bank considers that a financial asset has undergone a significant increase in credit risk if the counterparty is more than 30 days past due on its contractual payments.</w:t>
      </w:r>
    </w:p>
    <w:p w14:paraId="254C115F" w14:textId="1D9C41EA" w:rsidR="00D81A5F" w:rsidRPr="007D770B" w:rsidRDefault="00441BC2" w:rsidP="00D81A5F">
      <w:pPr>
        <w:pStyle w:val="ABC-paragrahinNotes"/>
        <w:spacing w:before="240"/>
        <w:rPr>
          <w:rFonts w:ascii="Times New Roman" w:hAnsi="Times New Roman"/>
          <w:sz w:val="20"/>
          <w:lang w:val="en-US"/>
        </w:rPr>
      </w:pPr>
      <w:r w:rsidRPr="007D770B">
        <w:rPr>
          <w:rFonts w:ascii="Times New Roman" w:hAnsi="Times New Roman"/>
          <w:b/>
          <w:i/>
          <w:sz w:val="20"/>
          <w:lang w:val="en-US"/>
        </w:rPr>
        <w:t xml:space="preserve">Reversal of allowance for impairment losses </w:t>
      </w:r>
      <w:r w:rsidRPr="007D770B">
        <w:rPr>
          <w:rFonts w:ascii="Times New Roman" w:hAnsi="Times New Roman"/>
          <w:sz w:val="20"/>
          <w:lang w:val="en-US"/>
        </w:rPr>
        <w:t xml:space="preserve">is recognized in the income statement for financial assets </w:t>
      </w:r>
      <w:r w:rsidR="003F0689" w:rsidRPr="007D770B">
        <w:rPr>
          <w:rFonts w:ascii="Times New Roman" w:hAnsi="Times New Roman"/>
          <w:sz w:val="20"/>
          <w:lang w:val="en-US"/>
        </w:rPr>
        <w:t xml:space="preserve">at amortized cost and </w:t>
      </w:r>
      <w:r w:rsidRPr="007D770B">
        <w:rPr>
          <w:rFonts w:ascii="Times New Roman" w:hAnsi="Times New Roman"/>
          <w:sz w:val="20"/>
          <w:lang w:val="en-US"/>
        </w:rPr>
        <w:t xml:space="preserve">for financial assets at fair value through other comprehensive income. </w:t>
      </w:r>
      <w:r w:rsidR="00D81A5F" w:rsidRPr="007D770B">
        <w:rPr>
          <w:rFonts w:ascii="Times New Roman" w:hAnsi="Times New Roman"/>
          <w:sz w:val="20"/>
          <w:lang w:val="en-US"/>
        </w:rPr>
        <w:t>If the Bank has calculated lifetime expected credit losses on a financial asset at the previous reporting date, but at the current reporting date the increase in credit risk on the financial asset is no longer observed/confirmed, the Bank reassesses the impairment provision for the financial instrument in the amount of expected credit losses within 12 months.</w:t>
      </w:r>
    </w:p>
    <w:p w14:paraId="3C9F50E9" w14:textId="0C907773" w:rsidR="004B1A67" w:rsidRPr="007D770B" w:rsidRDefault="00D81A5F" w:rsidP="00D81A5F">
      <w:pPr>
        <w:pStyle w:val="ABC-paragrahinNotes"/>
        <w:spacing w:before="240"/>
        <w:rPr>
          <w:rFonts w:ascii="Times New Roman" w:hAnsi="Times New Roman"/>
          <w:sz w:val="20"/>
          <w:highlight w:val="yellow"/>
          <w:lang w:val="en-US"/>
        </w:rPr>
      </w:pPr>
      <w:r w:rsidRPr="007D770B">
        <w:rPr>
          <w:rFonts w:ascii="Times New Roman" w:hAnsi="Times New Roman"/>
          <w:sz w:val="20"/>
          <w:lang w:val="en-US"/>
        </w:rPr>
        <w:t>The Bank recognizes in profit or loss as an impairment gain or loss the amount of expected credit losses (or reversals) required to adjust the impairment provision at the reporting date to the amount that is recognized in accordance with IFRS 9.</w:t>
      </w:r>
    </w:p>
    <w:p w14:paraId="26C01400" w14:textId="77777777" w:rsidR="009E2B77" w:rsidRPr="007D770B" w:rsidRDefault="009E2B77" w:rsidP="00F96B17">
      <w:pPr>
        <w:pStyle w:val="ABC-paragrahinNotes"/>
        <w:spacing w:before="240"/>
        <w:rPr>
          <w:rFonts w:ascii="Times New Roman" w:hAnsi="Times New Roman"/>
          <w:sz w:val="20"/>
          <w:lang w:val="en-US"/>
        </w:rPr>
      </w:pPr>
      <w:r w:rsidRPr="007D770B">
        <w:rPr>
          <w:rFonts w:ascii="Times New Roman" w:hAnsi="Times New Roman"/>
          <w:b/>
          <w:i/>
          <w:sz w:val="20"/>
          <w:lang w:val="en-US"/>
        </w:rPr>
        <w:t>Allowances for doubtful accounts receivable</w:t>
      </w:r>
      <w:r w:rsidRPr="007D770B">
        <w:rPr>
          <w:rFonts w:ascii="Times New Roman" w:hAnsi="Times New Roman"/>
          <w:b/>
          <w:sz w:val="20"/>
          <w:lang w:val="en-US"/>
        </w:rPr>
        <w:t xml:space="preserve">. </w:t>
      </w:r>
      <w:r w:rsidRPr="007D770B">
        <w:rPr>
          <w:rFonts w:ascii="Times New Roman" w:hAnsi="Times New Roman"/>
          <w:sz w:val="20"/>
          <w:lang w:val="en-US"/>
        </w:rPr>
        <w:t xml:space="preserve">The determination of the </w:t>
      </w:r>
      <w:r w:rsidR="00F9744B" w:rsidRPr="007D770B">
        <w:rPr>
          <w:rFonts w:ascii="Times New Roman" w:hAnsi="Times New Roman"/>
          <w:sz w:val="20"/>
          <w:lang w:val="en-US"/>
        </w:rPr>
        <w:t xml:space="preserve">Bank's </w:t>
      </w:r>
      <w:r w:rsidRPr="007D770B">
        <w:rPr>
          <w:rFonts w:ascii="Times New Roman" w:hAnsi="Times New Roman"/>
          <w:sz w:val="20"/>
          <w:lang w:val="en-US"/>
        </w:rPr>
        <w:t xml:space="preserve">allowance for doubtful accounts receivable requires considerable judgment on the part of management. Such allowances are accrued and reviewed based on the length of time the receivables have been outstanding and other influencing factors. </w:t>
      </w:r>
    </w:p>
    <w:p w14:paraId="31CBFE12" w14:textId="77777777" w:rsidR="009E2B77" w:rsidRPr="007D770B" w:rsidRDefault="009E2B77" w:rsidP="00F96B17">
      <w:pPr>
        <w:pStyle w:val="ABC-paragrahinNotes"/>
        <w:spacing w:before="240"/>
        <w:rPr>
          <w:rFonts w:ascii="Times New Roman" w:hAnsi="Times New Roman"/>
          <w:sz w:val="20"/>
          <w:lang w:val="en-US"/>
        </w:rPr>
      </w:pPr>
      <w:r w:rsidRPr="007D770B">
        <w:rPr>
          <w:rFonts w:ascii="Times New Roman" w:hAnsi="Times New Roman"/>
          <w:sz w:val="20"/>
          <w:lang w:val="en-US"/>
        </w:rPr>
        <w:t xml:space="preserve">If there are grounds and reasonable estimates, doubtful receivables may be written off at any time and before the specified period. Any write-off of receivables is made in accordance with procedures approved by the </w:t>
      </w:r>
      <w:r w:rsidR="00F9744B" w:rsidRPr="007D770B">
        <w:rPr>
          <w:rFonts w:ascii="Times New Roman" w:hAnsi="Times New Roman"/>
          <w:sz w:val="20"/>
          <w:lang w:val="en-US"/>
        </w:rPr>
        <w:t>Bank.</w:t>
      </w:r>
    </w:p>
    <w:p w14:paraId="79DEC99C" w14:textId="72812F32" w:rsidR="00F05C49" w:rsidRPr="007D770B" w:rsidRDefault="009E2B77" w:rsidP="00F96B17">
      <w:pPr>
        <w:pStyle w:val="ABC-paragrahinNotes"/>
        <w:spacing w:before="240"/>
        <w:rPr>
          <w:rFonts w:ascii="Times New Roman" w:hAnsi="Times New Roman"/>
          <w:sz w:val="20"/>
          <w:lang w:val="en-US"/>
        </w:rPr>
      </w:pPr>
      <w:r w:rsidRPr="007D770B">
        <w:rPr>
          <w:rFonts w:ascii="Times New Roman" w:hAnsi="Times New Roman"/>
          <w:b/>
          <w:i/>
          <w:sz w:val="20"/>
          <w:lang w:val="en-US"/>
        </w:rPr>
        <w:t>Inventories</w:t>
      </w:r>
      <w:r w:rsidRPr="007D770B">
        <w:rPr>
          <w:rFonts w:ascii="Times New Roman" w:hAnsi="Times New Roman"/>
          <w:b/>
          <w:sz w:val="20"/>
          <w:lang w:val="en-US"/>
        </w:rPr>
        <w:t xml:space="preserve">. </w:t>
      </w:r>
      <w:r w:rsidRPr="007D770B">
        <w:rPr>
          <w:rFonts w:ascii="Times New Roman" w:hAnsi="Times New Roman"/>
          <w:sz w:val="20"/>
          <w:lang w:val="en-US"/>
        </w:rPr>
        <w:t xml:space="preserve">Based on the data of annual inventories performed as of </w:t>
      </w:r>
      <w:r w:rsidR="00767818" w:rsidRPr="007D770B">
        <w:rPr>
          <w:rFonts w:ascii="Times New Roman" w:hAnsi="Times New Roman"/>
          <w:sz w:val="20"/>
          <w:lang w:val="en-US"/>
        </w:rPr>
        <w:t xml:space="preserve">October 1 of the current year, the </w:t>
      </w:r>
      <w:r w:rsidR="00F9744B" w:rsidRPr="007D770B">
        <w:rPr>
          <w:rFonts w:ascii="Times New Roman" w:hAnsi="Times New Roman"/>
          <w:sz w:val="20"/>
          <w:lang w:val="en-US"/>
        </w:rPr>
        <w:t xml:space="preserve">Bank </w:t>
      </w:r>
      <w:r w:rsidR="00767818" w:rsidRPr="007D770B">
        <w:rPr>
          <w:rFonts w:ascii="Times New Roman" w:hAnsi="Times New Roman"/>
          <w:sz w:val="20"/>
          <w:lang w:val="en-US"/>
        </w:rPr>
        <w:t xml:space="preserve">writes off and disposes of stale </w:t>
      </w:r>
      <w:r w:rsidR="00F05C49" w:rsidRPr="007D770B">
        <w:rPr>
          <w:rFonts w:ascii="Times New Roman" w:hAnsi="Times New Roman"/>
          <w:sz w:val="20"/>
          <w:lang w:val="en-US"/>
        </w:rPr>
        <w:t xml:space="preserve">and obsolete inventories </w:t>
      </w:r>
      <w:r w:rsidR="00767818" w:rsidRPr="007D770B">
        <w:rPr>
          <w:rFonts w:ascii="Times New Roman" w:hAnsi="Times New Roman"/>
          <w:sz w:val="20"/>
          <w:lang w:val="en-US"/>
        </w:rPr>
        <w:t xml:space="preserve">in accordance with the internal </w:t>
      </w:r>
      <w:r w:rsidR="00F24535" w:rsidRPr="007D770B">
        <w:rPr>
          <w:rFonts w:ascii="Times New Roman" w:hAnsi="Times New Roman"/>
          <w:sz w:val="20"/>
          <w:lang w:val="en-US"/>
        </w:rPr>
        <w:t xml:space="preserve">document </w:t>
      </w:r>
      <w:r w:rsidR="00767818" w:rsidRPr="007D770B">
        <w:rPr>
          <w:rFonts w:ascii="Times New Roman" w:hAnsi="Times New Roman"/>
          <w:sz w:val="20"/>
          <w:lang w:val="en-US"/>
        </w:rPr>
        <w:t xml:space="preserve">regulating write-off and disposal of fixed assets, intangible assets and </w:t>
      </w:r>
      <w:r w:rsidR="00F05C49" w:rsidRPr="007D770B">
        <w:rPr>
          <w:rFonts w:ascii="Times New Roman" w:hAnsi="Times New Roman"/>
          <w:sz w:val="20"/>
          <w:lang w:val="en-US"/>
        </w:rPr>
        <w:t>stale and obsolete inventories</w:t>
      </w:r>
    </w:p>
    <w:p w14:paraId="72E9540A" w14:textId="584A3011" w:rsidR="009E2B77" w:rsidRPr="007D770B" w:rsidRDefault="009E2B77" w:rsidP="00F96B17">
      <w:pPr>
        <w:pStyle w:val="ABC-paragrahinNotes"/>
        <w:spacing w:before="240"/>
        <w:rPr>
          <w:rFonts w:ascii="Times New Roman" w:hAnsi="Times New Roman"/>
          <w:sz w:val="20"/>
          <w:lang w:val="en-US"/>
        </w:rPr>
      </w:pPr>
      <w:r w:rsidRPr="007D770B">
        <w:rPr>
          <w:rFonts w:ascii="Times New Roman" w:hAnsi="Times New Roman"/>
          <w:b/>
          <w:i/>
          <w:sz w:val="20"/>
          <w:lang w:val="en-US"/>
        </w:rPr>
        <w:t>Provisions for tax risks</w:t>
      </w:r>
      <w:r w:rsidRPr="007D770B">
        <w:rPr>
          <w:rFonts w:ascii="Times New Roman" w:hAnsi="Times New Roman"/>
          <w:sz w:val="20"/>
          <w:lang w:val="en-US"/>
        </w:rPr>
        <w:t xml:space="preserve">. In assessing tax risks, the </w:t>
      </w:r>
      <w:r w:rsidR="00F9744B" w:rsidRPr="007D770B">
        <w:rPr>
          <w:rFonts w:ascii="Times New Roman" w:hAnsi="Times New Roman"/>
          <w:sz w:val="20"/>
          <w:lang w:val="en-US"/>
        </w:rPr>
        <w:t xml:space="preserve">Bank </w:t>
      </w:r>
      <w:r w:rsidRPr="007D770B">
        <w:rPr>
          <w:rFonts w:ascii="Times New Roman" w:hAnsi="Times New Roman"/>
          <w:sz w:val="20"/>
          <w:lang w:val="en-US"/>
        </w:rPr>
        <w:t xml:space="preserve">considers the likelihood that obligations will arise in respect of areas of tax positions for which it is known that the </w:t>
      </w:r>
      <w:r w:rsidR="00F9744B" w:rsidRPr="007D770B">
        <w:rPr>
          <w:rFonts w:ascii="Times New Roman" w:hAnsi="Times New Roman"/>
          <w:sz w:val="20"/>
          <w:lang w:val="en-US"/>
        </w:rPr>
        <w:t xml:space="preserve">Bank </w:t>
      </w:r>
      <w:r w:rsidRPr="007D770B">
        <w:rPr>
          <w:rFonts w:ascii="Times New Roman" w:hAnsi="Times New Roman"/>
          <w:sz w:val="20"/>
          <w:lang w:val="en-US"/>
        </w:rPr>
        <w:t xml:space="preserve">will not appeal the assessments of the tax authorities or does not believe that the outcome of such appeals will be successful. Such estimates are based on significant judgments and are subject to change in the event of changes in tax legislation, assessments of the expected outcome of potential litigations and the outcome of ongoing tax audits by the tax authorities. Where judgement is required to establish a provision for tax risks, provisions are accrued or revised based on the results of the </w:t>
      </w:r>
      <w:r w:rsidR="00F9744B" w:rsidRPr="007D770B">
        <w:rPr>
          <w:rFonts w:ascii="Times New Roman" w:hAnsi="Times New Roman"/>
          <w:sz w:val="20"/>
          <w:lang w:val="en-US"/>
        </w:rPr>
        <w:t xml:space="preserve">Bank's </w:t>
      </w:r>
      <w:r w:rsidRPr="007D770B">
        <w:rPr>
          <w:rFonts w:ascii="Times New Roman" w:hAnsi="Times New Roman"/>
          <w:sz w:val="20"/>
          <w:lang w:val="en-US"/>
        </w:rPr>
        <w:t xml:space="preserve">judgement as to the amount and likelihood of liabilities. Further details of tax liabilities and contingent tax liabilities are disclosed in section </w:t>
      </w:r>
      <w:r w:rsidR="0058742E" w:rsidRPr="007D770B">
        <w:rPr>
          <w:rFonts w:ascii="Times New Roman" w:hAnsi="Times New Roman"/>
          <w:sz w:val="20"/>
          <w:lang w:val="en-US"/>
        </w:rPr>
        <w:t xml:space="preserve">13 </w:t>
      </w:r>
      <w:r w:rsidR="00802136" w:rsidRPr="007D770B">
        <w:rPr>
          <w:rFonts w:ascii="Times New Roman" w:hAnsi="Times New Roman"/>
          <w:sz w:val="20"/>
          <w:lang w:val="en-US"/>
        </w:rPr>
        <w:t>"</w:t>
      </w:r>
      <w:r w:rsidRPr="007D770B">
        <w:rPr>
          <w:rFonts w:ascii="Times New Roman" w:hAnsi="Times New Roman"/>
          <w:sz w:val="20"/>
          <w:lang w:val="en-US"/>
        </w:rPr>
        <w:t>Taxes (IAS 12)</w:t>
      </w:r>
      <w:r w:rsidR="00802136" w:rsidRPr="007D770B">
        <w:rPr>
          <w:rFonts w:ascii="Times New Roman" w:hAnsi="Times New Roman"/>
          <w:sz w:val="20"/>
          <w:lang w:val="en-US"/>
        </w:rPr>
        <w:t xml:space="preserve">" </w:t>
      </w:r>
      <w:r w:rsidRPr="007D770B">
        <w:rPr>
          <w:rFonts w:ascii="Times New Roman" w:hAnsi="Times New Roman"/>
          <w:sz w:val="20"/>
          <w:lang w:val="en-US"/>
        </w:rPr>
        <w:t>in Chapter 2.</w:t>
      </w:r>
    </w:p>
    <w:p w14:paraId="7C49F2E6" w14:textId="77777777" w:rsidR="009E2B77" w:rsidRPr="007D770B" w:rsidRDefault="009E2B77" w:rsidP="00F96B17">
      <w:pPr>
        <w:pStyle w:val="ABC-paragrahinNotes"/>
        <w:spacing w:before="240"/>
        <w:rPr>
          <w:rFonts w:ascii="Times New Roman" w:hAnsi="Times New Roman"/>
          <w:sz w:val="20"/>
          <w:lang w:val="en-US"/>
        </w:rPr>
      </w:pPr>
      <w:r w:rsidRPr="007D770B">
        <w:rPr>
          <w:rFonts w:ascii="Times New Roman" w:hAnsi="Times New Roman"/>
          <w:b/>
          <w:i/>
          <w:sz w:val="20"/>
          <w:lang w:val="en-US"/>
        </w:rPr>
        <w:t>Other assets</w:t>
      </w:r>
      <w:r w:rsidRPr="007D770B">
        <w:rPr>
          <w:rFonts w:ascii="Times New Roman" w:hAnsi="Times New Roman"/>
          <w:i/>
          <w:sz w:val="20"/>
          <w:lang w:val="en-US"/>
        </w:rPr>
        <w:t xml:space="preserve">. </w:t>
      </w:r>
      <w:r w:rsidRPr="007D770B">
        <w:rPr>
          <w:rFonts w:ascii="Times New Roman" w:hAnsi="Times New Roman"/>
          <w:sz w:val="20"/>
          <w:lang w:val="en-US"/>
        </w:rPr>
        <w:t xml:space="preserve">The </w:t>
      </w:r>
      <w:r w:rsidR="00F9744B" w:rsidRPr="007D770B">
        <w:rPr>
          <w:rFonts w:ascii="Times New Roman" w:hAnsi="Times New Roman"/>
          <w:sz w:val="20"/>
          <w:lang w:val="en-US"/>
        </w:rPr>
        <w:t xml:space="preserve">Bank </w:t>
      </w:r>
      <w:r w:rsidRPr="007D770B">
        <w:rPr>
          <w:rFonts w:ascii="Times New Roman" w:hAnsi="Times New Roman"/>
          <w:sz w:val="20"/>
          <w:lang w:val="en-US"/>
        </w:rPr>
        <w:t xml:space="preserve">assesses whether there is any indication that other assets may be impaired. If any such indication exists, or when annual impairment testing for is required, the </w:t>
      </w:r>
      <w:r w:rsidR="00F9744B" w:rsidRPr="007D770B">
        <w:rPr>
          <w:rFonts w:ascii="Times New Roman" w:hAnsi="Times New Roman"/>
          <w:sz w:val="20"/>
          <w:lang w:val="en-US"/>
        </w:rPr>
        <w:t xml:space="preserve">Bank </w:t>
      </w:r>
      <w:r w:rsidRPr="007D770B">
        <w:rPr>
          <w:rFonts w:ascii="Times New Roman" w:hAnsi="Times New Roman"/>
          <w:sz w:val="20"/>
          <w:lang w:val="en-US"/>
        </w:rPr>
        <w:t>records assets at the lower of their carrying amount and recoverable amount. An asset's recoverable amount is the higher of an asset's fair value less costs to sell and its value in use.</w:t>
      </w:r>
    </w:p>
    <w:p w14:paraId="3BF857B8" w14:textId="50F4DC6A" w:rsidR="009E2B77" w:rsidRPr="007D770B" w:rsidRDefault="009E2B77" w:rsidP="00F96B17">
      <w:pPr>
        <w:pStyle w:val="ABC-paragrahinNotes"/>
        <w:spacing w:before="240"/>
        <w:rPr>
          <w:rFonts w:ascii="Times New Roman" w:hAnsi="Times New Roman"/>
          <w:sz w:val="20"/>
          <w:lang w:val="en-US"/>
        </w:rPr>
      </w:pPr>
      <w:r w:rsidRPr="007D770B">
        <w:rPr>
          <w:rFonts w:ascii="Times New Roman" w:hAnsi="Times New Roman"/>
          <w:b/>
          <w:i/>
          <w:sz w:val="20"/>
          <w:lang w:val="en-US"/>
        </w:rPr>
        <w:t>Recognition of deferred tax asset</w:t>
      </w:r>
      <w:r w:rsidRPr="007D770B">
        <w:rPr>
          <w:rFonts w:ascii="Times New Roman" w:hAnsi="Times New Roman"/>
          <w:b/>
          <w:sz w:val="20"/>
          <w:lang w:val="en-US"/>
        </w:rPr>
        <w:t xml:space="preserve">. </w:t>
      </w:r>
      <w:r w:rsidRPr="007D770B">
        <w:rPr>
          <w:rFonts w:ascii="Times New Roman" w:hAnsi="Times New Roman"/>
          <w:sz w:val="20"/>
          <w:lang w:val="en-US"/>
        </w:rPr>
        <w:t xml:space="preserve">The recognized deferred tax asset represents income taxes recoverable through future income tax payments and is recorded in the statement of financial position. A deferred tax asset is recognized for all unused tax losses to the extent that it is probable that taxable profit will be available against which the unused tax losses can be utilized. The determination of future taxable profits and the amount of tax benefits that are probable in the future is based on the medium-term business plan prepared by the </w:t>
      </w:r>
      <w:r w:rsidR="00F9744B" w:rsidRPr="007D770B">
        <w:rPr>
          <w:rFonts w:ascii="Times New Roman" w:hAnsi="Times New Roman"/>
          <w:sz w:val="20"/>
          <w:lang w:val="en-US"/>
        </w:rPr>
        <w:t xml:space="preserve">Bank's </w:t>
      </w:r>
      <w:r w:rsidRPr="007D770B">
        <w:rPr>
          <w:rFonts w:ascii="Times New Roman" w:hAnsi="Times New Roman"/>
          <w:sz w:val="20"/>
          <w:lang w:val="en-US"/>
        </w:rPr>
        <w:t xml:space="preserve">management and its extrapolation </w:t>
      </w:r>
      <w:r w:rsidR="00F24535" w:rsidRPr="007D770B">
        <w:rPr>
          <w:rFonts w:ascii="Times New Roman" w:hAnsi="Times New Roman"/>
          <w:sz w:val="20"/>
          <w:lang w:val="en-US"/>
        </w:rPr>
        <w:t>to the future</w:t>
      </w:r>
      <w:r w:rsidRPr="007D770B">
        <w:rPr>
          <w:rFonts w:ascii="Times New Roman" w:hAnsi="Times New Roman"/>
          <w:sz w:val="20"/>
          <w:lang w:val="en-US"/>
        </w:rPr>
        <w:t>. The business plan is based on management'</w:t>
      </w:r>
      <w:r w:rsidR="00F9744B" w:rsidRPr="007D770B">
        <w:rPr>
          <w:rFonts w:ascii="Times New Roman" w:hAnsi="Times New Roman"/>
          <w:sz w:val="20"/>
          <w:lang w:val="en-US"/>
        </w:rPr>
        <w:t>s</w:t>
      </w:r>
      <w:r w:rsidRPr="007D770B">
        <w:rPr>
          <w:rFonts w:ascii="Times New Roman" w:hAnsi="Times New Roman"/>
          <w:sz w:val="20"/>
          <w:lang w:val="en-US"/>
        </w:rPr>
        <w:t xml:space="preserve"> expectations, which are believed to be reasonable under the circumstances. </w:t>
      </w:r>
    </w:p>
    <w:p w14:paraId="4149F28E" w14:textId="77777777" w:rsidR="009E2B77" w:rsidRPr="007D770B" w:rsidRDefault="009E2B77" w:rsidP="00F96B17">
      <w:pPr>
        <w:pStyle w:val="ABC-paragrahinNotes"/>
        <w:tabs>
          <w:tab w:val="right" w:pos="9720"/>
        </w:tabs>
        <w:spacing w:before="240"/>
        <w:rPr>
          <w:rFonts w:ascii="Times New Roman" w:hAnsi="Times New Roman"/>
          <w:sz w:val="20"/>
          <w:lang w:val="en-US"/>
        </w:rPr>
      </w:pPr>
      <w:r w:rsidRPr="007D770B">
        <w:rPr>
          <w:rFonts w:ascii="Times New Roman" w:hAnsi="Times New Roman"/>
          <w:b/>
          <w:i/>
          <w:sz w:val="20"/>
          <w:lang w:val="en-US"/>
        </w:rPr>
        <w:t>Going concern principle</w:t>
      </w:r>
      <w:r w:rsidRPr="007D770B">
        <w:rPr>
          <w:rFonts w:ascii="Times New Roman" w:hAnsi="Times New Roman"/>
          <w:sz w:val="20"/>
          <w:lang w:val="en-US"/>
        </w:rPr>
        <w:t xml:space="preserve">. The </w:t>
      </w:r>
      <w:r w:rsidR="00F9744B" w:rsidRPr="007D770B">
        <w:rPr>
          <w:rFonts w:ascii="Times New Roman" w:hAnsi="Times New Roman"/>
          <w:sz w:val="20"/>
          <w:lang w:val="en-US"/>
        </w:rPr>
        <w:t xml:space="preserve">Bank's </w:t>
      </w:r>
      <w:r w:rsidRPr="007D770B">
        <w:rPr>
          <w:rFonts w:ascii="Times New Roman" w:hAnsi="Times New Roman"/>
          <w:sz w:val="20"/>
          <w:lang w:val="en-US"/>
        </w:rPr>
        <w:t>management prepares the financial statements on a going concern basis. Management bases this judgment on its consideration of the Bank'</w:t>
      </w:r>
      <w:r w:rsidR="00F9744B" w:rsidRPr="007D770B">
        <w:rPr>
          <w:rFonts w:ascii="Times New Roman" w:hAnsi="Times New Roman"/>
          <w:sz w:val="20"/>
          <w:lang w:val="en-US"/>
        </w:rPr>
        <w:t>s</w:t>
      </w:r>
      <w:r w:rsidRPr="007D770B">
        <w:rPr>
          <w:rFonts w:ascii="Times New Roman" w:hAnsi="Times New Roman"/>
          <w:sz w:val="20"/>
          <w:lang w:val="en-US"/>
        </w:rPr>
        <w:t xml:space="preserve"> financial position, current plans, profitability of operations and access to financial resources and on its analysis of the impact of the financial crisis on future operations of the </w:t>
      </w:r>
      <w:r w:rsidR="00F9744B" w:rsidRPr="007D770B">
        <w:rPr>
          <w:rFonts w:ascii="Times New Roman" w:hAnsi="Times New Roman"/>
          <w:sz w:val="20"/>
          <w:lang w:val="en-US"/>
        </w:rPr>
        <w:t>Bank</w:t>
      </w:r>
      <w:r w:rsidRPr="007D770B">
        <w:rPr>
          <w:rFonts w:ascii="Times New Roman" w:hAnsi="Times New Roman"/>
          <w:sz w:val="20"/>
          <w:lang w:val="en-US"/>
        </w:rPr>
        <w:t>.</w:t>
      </w:r>
    </w:p>
    <w:p w14:paraId="4CEAFAB7" w14:textId="2458F383" w:rsidR="009E2B77" w:rsidRPr="007D770B" w:rsidRDefault="009E2B77" w:rsidP="00F96B17">
      <w:pPr>
        <w:pStyle w:val="ABC-paragrahinNotes"/>
        <w:tabs>
          <w:tab w:val="right" w:pos="9720"/>
        </w:tabs>
        <w:spacing w:before="240"/>
        <w:rPr>
          <w:rFonts w:ascii="Times New Roman" w:hAnsi="Times New Roman"/>
          <w:sz w:val="20"/>
          <w:lang w:val="en-US"/>
        </w:rPr>
      </w:pPr>
      <w:r w:rsidRPr="007D770B">
        <w:rPr>
          <w:rFonts w:ascii="Times New Roman" w:hAnsi="Times New Roman"/>
          <w:b/>
          <w:i/>
          <w:sz w:val="20"/>
          <w:lang w:val="en-US"/>
        </w:rPr>
        <w:t>Useful lives of items of property, plant and equipment</w:t>
      </w:r>
      <w:r w:rsidRPr="007D770B">
        <w:rPr>
          <w:rFonts w:ascii="Times New Roman" w:hAnsi="Times New Roman"/>
          <w:sz w:val="20"/>
          <w:lang w:val="en-US"/>
        </w:rPr>
        <w:t xml:space="preserve">. </w:t>
      </w:r>
      <w:r w:rsidR="00F9744B" w:rsidRPr="007D770B">
        <w:rPr>
          <w:rFonts w:ascii="Times New Roman" w:hAnsi="Times New Roman"/>
          <w:sz w:val="20"/>
          <w:lang w:val="en-US"/>
        </w:rPr>
        <w:t xml:space="preserve">The Bank </w:t>
      </w:r>
      <w:r w:rsidRPr="007D770B">
        <w:rPr>
          <w:rFonts w:ascii="Times New Roman" w:hAnsi="Times New Roman"/>
          <w:sz w:val="20"/>
          <w:lang w:val="en-US"/>
        </w:rPr>
        <w:t xml:space="preserve">assesses the remaining useful lives of items of property, plant and equipment at least at each financial year-end and, if expectations differ from previous estimates, the changes are accounted for as a change in an accounting estimate in accordance with section 2 </w:t>
      </w:r>
      <w:r w:rsidR="00802136" w:rsidRPr="007D770B">
        <w:rPr>
          <w:rFonts w:ascii="Times New Roman" w:hAnsi="Times New Roman"/>
          <w:sz w:val="20"/>
          <w:lang w:val="en-US"/>
        </w:rPr>
        <w:t>"</w:t>
      </w:r>
      <w:r w:rsidRPr="007D770B">
        <w:rPr>
          <w:rFonts w:ascii="Times New Roman" w:hAnsi="Times New Roman"/>
          <w:sz w:val="20"/>
          <w:lang w:val="en-US"/>
        </w:rPr>
        <w:t>Changes in accounting policies, estimates and errors (IAS 8)</w:t>
      </w:r>
      <w:r w:rsidR="00802136" w:rsidRPr="007D770B">
        <w:rPr>
          <w:rFonts w:ascii="Times New Roman" w:hAnsi="Times New Roman"/>
          <w:sz w:val="20"/>
          <w:lang w:val="en-US"/>
        </w:rPr>
        <w:t xml:space="preserve">" of </w:t>
      </w:r>
      <w:r w:rsidRPr="007D770B">
        <w:rPr>
          <w:rFonts w:ascii="Times New Roman" w:hAnsi="Times New Roman"/>
          <w:sz w:val="20"/>
          <w:lang w:val="en-US"/>
        </w:rPr>
        <w:t>Chapter 1 of this Financial Reporting Manual.</w:t>
      </w:r>
      <w:r w:rsidR="001817A6" w:rsidRPr="007D770B">
        <w:rPr>
          <w:rFonts w:ascii="Times New Roman" w:hAnsi="Times New Roman"/>
          <w:sz w:val="20"/>
          <w:lang w:val="en-US"/>
        </w:rPr>
        <w:br/>
      </w:r>
      <w:r w:rsidRPr="007D770B">
        <w:rPr>
          <w:rFonts w:ascii="Times New Roman" w:hAnsi="Times New Roman"/>
          <w:sz w:val="20"/>
          <w:lang w:val="en-US"/>
        </w:rPr>
        <w:t>Chapter 1.</w:t>
      </w:r>
    </w:p>
    <w:p w14:paraId="6DA1231B" w14:textId="77777777" w:rsidR="009E2B77" w:rsidRPr="007D770B" w:rsidRDefault="009E2B77" w:rsidP="00BA6492">
      <w:pPr>
        <w:pStyle w:val="ABC-paragrahinNotes"/>
        <w:keepNext/>
        <w:tabs>
          <w:tab w:val="right" w:pos="9720"/>
        </w:tabs>
        <w:spacing w:before="240"/>
        <w:rPr>
          <w:rFonts w:ascii="Times New Roman" w:hAnsi="Times New Roman"/>
          <w:b/>
          <w:sz w:val="20"/>
          <w:lang w:val="en-US"/>
        </w:rPr>
      </w:pPr>
      <w:r w:rsidRPr="007D770B">
        <w:rPr>
          <w:rFonts w:ascii="Times New Roman" w:hAnsi="Times New Roman"/>
          <w:b/>
          <w:sz w:val="20"/>
          <w:lang w:val="en-US"/>
        </w:rPr>
        <w:lastRenderedPageBreak/>
        <w:t>Financial instruments</w:t>
      </w:r>
    </w:p>
    <w:p w14:paraId="59CCC0D6" w14:textId="77777777" w:rsidR="00275830" w:rsidRPr="007D770B" w:rsidRDefault="009E2B77" w:rsidP="00F96B17">
      <w:pPr>
        <w:pStyle w:val="ABC-paragrahinNotes"/>
        <w:spacing w:before="240"/>
        <w:rPr>
          <w:rFonts w:ascii="Times New Roman" w:hAnsi="Times New Roman"/>
          <w:sz w:val="20"/>
          <w:lang w:val="en-US"/>
        </w:rPr>
      </w:pPr>
      <w:r w:rsidRPr="007D770B">
        <w:rPr>
          <w:rFonts w:ascii="Times New Roman" w:hAnsi="Times New Roman"/>
          <w:b/>
          <w:i/>
          <w:sz w:val="20"/>
          <w:lang w:val="en-US"/>
        </w:rPr>
        <w:t>Initial recognition of financial instruments</w:t>
      </w:r>
    </w:p>
    <w:p w14:paraId="1F0EBFAA" w14:textId="77777777" w:rsidR="00275830" w:rsidRPr="007D770B" w:rsidRDefault="00275830" w:rsidP="00472BA2">
      <w:pPr>
        <w:pStyle w:val="ABC-paragrahinNotes"/>
        <w:spacing w:before="240" w:after="0"/>
        <w:rPr>
          <w:rFonts w:ascii="Times New Roman" w:hAnsi="Times New Roman"/>
          <w:sz w:val="20"/>
          <w:lang w:val="en-US"/>
        </w:rPr>
      </w:pPr>
      <w:r w:rsidRPr="007D770B">
        <w:rPr>
          <w:rFonts w:ascii="Times New Roman" w:hAnsi="Times New Roman"/>
          <w:sz w:val="20"/>
          <w:lang w:val="en-US"/>
        </w:rPr>
        <w:t>The Bank recognizes a financial asset or financial liability on its statement of financial position when, and only when, it becomes a party to the contractual provisions of the instrument. The trade date or settlement date method of accounting is used to recognize or derecognize purchases or sales of financial assets made under standard terms and conditions.</w:t>
      </w:r>
    </w:p>
    <w:p w14:paraId="13DBA225" w14:textId="13330CCB" w:rsidR="00275830" w:rsidRPr="007D770B" w:rsidRDefault="00275830" w:rsidP="00472BA2">
      <w:pPr>
        <w:pStyle w:val="ABC-paragrahinNotes"/>
        <w:spacing w:before="240" w:after="0"/>
        <w:rPr>
          <w:rFonts w:ascii="Times New Roman" w:hAnsi="Times New Roman"/>
          <w:sz w:val="20"/>
          <w:lang w:val="en-US"/>
        </w:rPr>
      </w:pPr>
      <w:r w:rsidRPr="007D770B">
        <w:rPr>
          <w:rFonts w:ascii="Times New Roman" w:hAnsi="Times New Roman"/>
          <w:sz w:val="20"/>
          <w:lang w:val="en-US"/>
        </w:rPr>
        <w:t xml:space="preserve">At initial recognition, the Bank </w:t>
      </w:r>
      <w:r w:rsidR="00615D53" w:rsidRPr="007D770B">
        <w:rPr>
          <w:rFonts w:ascii="Times New Roman" w:hAnsi="Times New Roman"/>
          <w:sz w:val="20"/>
          <w:lang w:val="en-US"/>
        </w:rPr>
        <w:t xml:space="preserve">measures a </w:t>
      </w:r>
      <w:r w:rsidRPr="007D770B">
        <w:rPr>
          <w:rFonts w:ascii="Times New Roman" w:hAnsi="Times New Roman"/>
          <w:sz w:val="20"/>
          <w:lang w:val="en-US"/>
        </w:rPr>
        <w:t>financial asset or financial liability at fair value plus or minus</w:t>
      </w:r>
      <w:r w:rsidR="00B64A0A" w:rsidRPr="007D770B">
        <w:rPr>
          <w:rFonts w:ascii="Times New Roman" w:hAnsi="Times New Roman"/>
          <w:sz w:val="20"/>
          <w:lang w:val="en-US"/>
        </w:rPr>
        <w:t xml:space="preserve">, in the case of a financial asset </w:t>
      </w:r>
      <w:r w:rsidRPr="007D770B">
        <w:rPr>
          <w:rFonts w:ascii="Times New Roman" w:hAnsi="Times New Roman"/>
          <w:sz w:val="20"/>
          <w:lang w:val="en-US"/>
        </w:rPr>
        <w:t>or financial liability not at fair value through profit or loss, transaction costs that are directly attributable to the acquisition or issue of the financial asset or financial liability.</w:t>
      </w:r>
      <w:r w:rsidR="00596059" w:rsidRPr="007D770B">
        <w:rPr>
          <w:rFonts w:ascii="Times New Roman" w:hAnsi="Times New Roman"/>
          <w:sz w:val="20"/>
          <w:lang w:val="en-US"/>
        </w:rPr>
        <w:t xml:space="preserve"> Transaction costs for financial assets and liabilities at fair value through profit or loss are expensed in the statement of profit or loss. Upon initial recognition, the Bank is also required to recognize expected credit losses on financial assets measured at amortized cost and at fair value through other comprehensive income.</w:t>
      </w:r>
    </w:p>
    <w:p w14:paraId="6BE8208F" w14:textId="77777777" w:rsidR="00596059" w:rsidRPr="007D770B" w:rsidRDefault="00596059" w:rsidP="00472BA2">
      <w:pPr>
        <w:pStyle w:val="ABC-paragrahinNotes"/>
        <w:rPr>
          <w:rFonts w:ascii="Times New Roman" w:hAnsi="Times New Roman"/>
          <w:sz w:val="20"/>
          <w:lang w:val="en-US"/>
        </w:rPr>
      </w:pPr>
      <w:r w:rsidRPr="007D770B">
        <w:rPr>
          <w:rFonts w:ascii="Times New Roman" w:hAnsi="Times New Roman"/>
          <w:sz w:val="20"/>
          <w:lang w:val="en-US"/>
        </w:rPr>
        <w:t>The best evidence of the fair value of a financial instrument at initial recognition is generally the transaction price (i.e., the fair value of the consideration given or received; see also IFRS 13). If the Bank determines that the fair value at initial recognition differs from the transaction price, the Bank shall account for the instrument at that date as follows:</w:t>
      </w:r>
    </w:p>
    <w:p w14:paraId="4335F3DA" w14:textId="77777777" w:rsidR="0099223D" w:rsidRPr="007D770B" w:rsidRDefault="00596059" w:rsidP="00AE698A">
      <w:pPr>
        <w:pStyle w:val="ABC-paragrahinNotes"/>
        <w:numPr>
          <w:ilvl w:val="0"/>
          <w:numId w:val="315"/>
        </w:numPr>
        <w:spacing w:before="240"/>
        <w:rPr>
          <w:rFonts w:ascii="Times New Roman" w:hAnsi="Times New Roman"/>
          <w:sz w:val="20"/>
          <w:lang w:val="en-US"/>
        </w:rPr>
      </w:pPr>
      <w:r w:rsidRPr="007D770B">
        <w:rPr>
          <w:rFonts w:ascii="Times New Roman" w:hAnsi="Times New Roman"/>
          <w:sz w:val="20"/>
          <w:lang w:val="en-US"/>
        </w:rPr>
        <w:t>if that fair value is evidenced by a quoted price for an identical asset or liability in an active market (i.e., a Level 1 input) or based on a valuation technique that uses only data from observable markets</w:t>
      </w:r>
      <w:r w:rsidR="0099223D" w:rsidRPr="007D770B">
        <w:rPr>
          <w:rFonts w:ascii="Times New Roman" w:hAnsi="Times New Roman"/>
          <w:sz w:val="20"/>
          <w:lang w:val="en-US"/>
        </w:rPr>
        <w:t xml:space="preserve">, the Bank </w:t>
      </w:r>
      <w:r w:rsidRPr="007D770B">
        <w:rPr>
          <w:rFonts w:ascii="Times New Roman" w:hAnsi="Times New Roman"/>
          <w:sz w:val="20"/>
          <w:lang w:val="en-US"/>
        </w:rPr>
        <w:t>would recognize the difference between the fair value at initial recognition and the transaction price as a gain or loss;</w:t>
      </w:r>
    </w:p>
    <w:p w14:paraId="59CD0331" w14:textId="7841EA55" w:rsidR="009E2B77" w:rsidRPr="007D770B" w:rsidRDefault="00596059" w:rsidP="00AE698A">
      <w:pPr>
        <w:pStyle w:val="ABC-paragrahinNotes"/>
        <w:numPr>
          <w:ilvl w:val="0"/>
          <w:numId w:val="315"/>
        </w:numPr>
        <w:spacing w:before="240"/>
        <w:rPr>
          <w:rFonts w:ascii="Times New Roman" w:hAnsi="Times New Roman"/>
          <w:sz w:val="20"/>
          <w:lang w:val="en-US"/>
        </w:rPr>
      </w:pPr>
      <w:r w:rsidRPr="007D770B">
        <w:rPr>
          <w:rFonts w:ascii="Times New Roman" w:hAnsi="Times New Roman"/>
          <w:sz w:val="20"/>
          <w:lang w:val="en-US"/>
        </w:rPr>
        <w:t xml:space="preserve">in all other cases, the </w:t>
      </w:r>
      <w:r w:rsidR="0099223D" w:rsidRPr="007D770B">
        <w:rPr>
          <w:rFonts w:ascii="Times New Roman" w:hAnsi="Times New Roman"/>
          <w:sz w:val="20"/>
          <w:lang w:val="en-US"/>
        </w:rPr>
        <w:t xml:space="preserve">Bank </w:t>
      </w:r>
      <w:r w:rsidRPr="007D770B">
        <w:rPr>
          <w:rFonts w:ascii="Times New Roman" w:hAnsi="Times New Roman"/>
          <w:sz w:val="20"/>
          <w:lang w:val="en-US"/>
        </w:rPr>
        <w:t xml:space="preserve">shall recognize the deferred difference </w:t>
      </w:r>
      <w:r w:rsidR="0099223D" w:rsidRPr="007D770B">
        <w:rPr>
          <w:rFonts w:ascii="Times New Roman" w:hAnsi="Times New Roman"/>
          <w:sz w:val="20"/>
          <w:lang w:val="en-US"/>
        </w:rPr>
        <w:t xml:space="preserve">between the fair value at initial recognition and the transaction price </w:t>
      </w:r>
      <w:r w:rsidRPr="007D770B">
        <w:rPr>
          <w:rFonts w:ascii="Times New Roman" w:hAnsi="Times New Roman"/>
          <w:sz w:val="20"/>
          <w:lang w:val="en-US"/>
        </w:rPr>
        <w:t>as a gain or loss only to the extent that it arises from a change in a factor (including a temporary difference) that market participants would consider in setting a price for the asset or liability.</w:t>
      </w:r>
    </w:p>
    <w:p w14:paraId="29004306" w14:textId="48A39C11" w:rsidR="009E2B77" w:rsidRPr="007D770B" w:rsidRDefault="009E2B77" w:rsidP="00F96B17">
      <w:pPr>
        <w:pStyle w:val="ABC-paragrahinNotes"/>
        <w:tabs>
          <w:tab w:val="right" w:pos="9720"/>
        </w:tabs>
        <w:spacing w:before="240"/>
        <w:rPr>
          <w:rFonts w:ascii="Times New Roman" w:hAnsi="Times New Roman"/>
          <w:sz w:val="20"/>
          <w:lang w:val="en-US"/>
        </w:rPr>
      </w:pPr>
      <w:r w:rsidRPr="007D770B">
        <w:rPr>
          <w:rFonts w:ascii="Times New Roman" w:hAnsi="Times New Roman"/>
          <w:sz w:val="20"/>
          <w:lang w:val="en-US"/>
        </w:rPr>
        <w:t xml:space="preserve">The </w:t>
      </w:r>
      <w:r w:rsidR="00F9744B" w:rsidRPr="007D770B">
        <w:rPr>
          <w:rFonts w:ascii="Times New Roman" w:hAnsi="Times New Roman"/>
          <w:sz w:val="20"/>
          <w:lang w:val="en-US"/>
        </w:rPr>
        <w:t xml:space="preserve">Bank </w:t>
      </w:r>
      <w:r w:rsidRPr="007D770B">
        <w:rPr>
          <w:rFonts w:ascii="Times New Roman" w:hAnsi="Times New Roman"/>
          <w:sz w:val="20"/>
          <w:lang w:val="en-US"/>
        </w:rPr>
        <w:t xml:space="preserve">uses certain valuation techniques to determine the fair value of financial instruments (currency swaps, currency forwards, related party loans, etc.) that are not traded in an active market (see section 3 </w:t>
      </w:r>
      <w:r w:rsidR="00802136" w:rsidRPr="007D770B">
        <w:rPr>
          <w:rFonts w:ascii="Times New Roman" w:hAnsi="Times New Roman"/>
          <w:sz w:val="20"/>
          <w:lang w:val="en-US"/>
        </w:rPr>
        <w:t>"</w:t>
      </w:r>
      <w:r w:rsidRPr="007D770B">
        <w:rPr>
          <w:rFonts w:ascii="Times New Roman" w:hAnsi="Times New Roman"/>
          <w:sz w:val="20"/>
          <w:lang w:val="en-US" w:eastAsia="en-US"/>
        </w:rPr>
        <w:t xml:space="preserve">Financial assets and liabilities (IAS 32, </w:t>
      </w:r>
      <w:r w:rsidR="00F931DC" w:rsidRPr="007D770B">
        <w:rPr>
          <w:rFonts w:ascii="Times New Roman" w:hAnsi="Times New Roman"/>
          <w:sz w:val="20"/>
          <w:lang w:val="en-US" w:eastAsia="en-US"/>
        </w:rPr>
        <w:t>IFRS 9</w:t>
      </w:r>
      <w:r w:rsidRPr="007D770B">
        <w:rPr>
          <w:rFonts w:ascii="Times New Roman" w:hAnsi="Times New Roman"/>
          <w:sz w:val="20"/>
          <w:lang w:val="en-US" w:eastAsia="en-US"/>
        </w:rPr>
        <w:t>,</w:t>
      </w:r>
      <w:r w:rsidR="00F931DC" w:rsidRPr="007D770B">
        <w:rPr>
          <w:rFonts w:ascii="Times New Roman" w:hAnsi="Times New Roman"/>
          <w:sz w:val="20"/>
          <w:lang w:val="en-US" w:eastAsia="en-US"/>
        </w:rPr>
        <w:t xml:space="preserve"> IFRS </w:t>
      </w:r>
      <w:r w:rsidRPr="007D770B">
        <w:rPr>
          <w:rFonts w:ascii="Times New Roman" w:hAnsi="Times New Roman"/>
          <w:sz w:val="20"/>
          <w:lang w:val="en-US" w:eastAsia="en-US"/>
        </w:rPr>
        <w:t>7)</w:t>
      </w:r>
      <w:r w:rsidR="00802136" w:rsidRPr="007D770B">
        <w:rPr>
          <w:rFonts w:ascii="Times New Roman" w:hAnsi="Times New Roman"/>
          <w:sz w:val="20"/>
          <w:lang w:val="en-US" w:eastAsia="en-US"/>
        </w:rPr>
        <w:t xml:space="preserve">" of </w:t>
      </w:r>
      <w:r w:rsidRPr="007D770B">
        <w:rPr>
          <w:rFonts w:ascii="Times New Roman" w:hAnsi="Times New Roman"/>
          <w:sz w:val="20"/>
          <w:lang w:val="en-US" w:eastAsia="en-US"/>
        </w:rPr>
        <w:t>chapter 2</w:t>
      </w:r>
      <w:r w:rsidRPr="007D770B">
        <w:rPr>
          <w:rFonts w:ascii="Times New Roman" w:hAnsi="Times New Roman"/>
          <w:sz w:val="20"/>
          <w:lang w:val="en-US"/>
        </w:rPr>
        <w:t xml:space="preserve">. </w:t>
      </w:r>
    </w:p>
    <w:p w14:paraId="73BF4798" w14:textId="748B7A01" w:rsidR="00D95C2C" w:rsidRPr="007D770B" w:rsidRDefault="00D95C2C" w:rsidP="00F96B17">
      <w:pPr>
        <w:pStyle w:val="ABC-paragrahinNotes"/>
        <w:tabs>
          <w:tab w:val="right" w:pos="9720"/>
        </w:tabs>
        <w:spacing w:before="240"/>
        <w:rPr>
          <w:rFonts w:ascii="Times New Roman" w:hAnsi="Times New Roman"/>
          <w:i/>
          <w:sz w:val="20"/>
          <w:lang w:val="en-US"/>
        </w:rPr>
      </w:pPr>
      <w:r w:rsidRPr="007D770B">
        <w:rPr>
          <w:rFonts w:ascii="Times New Roman" w:hAnsi="Times New Roman"/>
          <w:b/>
          <w:i/>
          <w:sz w:val="20"/>
          <w:lang w:val="en-US"/>
        </w:rPr>
        <w:t>Initial recognition of transactions with related parties</w:t>
      </w:r>
      <w:r w:rsidR="001F70AD" w:rsidRPr="007D770B">
        <w:rPr>
          <w:rFonts w:ascii="Times New Roman" w:hAnsi="Times New Roman"/>
          <w:b/>
          <w:i/>
          <w:sz w:val="20"/>
          <w:lang w:val="en-US"/>
        </w:rPr>
        <w:t xml:space="preserve">. </w:t>
      </w:r>
      <w:r w:rsidRPr="007D770B">
        <w:rPr>
          <w:rFonts w:ascii="Times New Roman" w:hAnsi="Times New Roman"/>
          <w:sz w:val="20"/>
          <w:lang w:val="en-US"/>
        </w:rPr>
        <w:t xml:space="preserve">In the normal course of business the </w:t>
      </w:r>
      <w:r w:rsidR="00F9744B" w:rsidRPr="007D770B">
        <w:rPr>
          <w:rFonts w:ascii="Times New Roman" w:hAnsi="Times New Roman"/>
          <w:sz w:val="20"/>
          <w:lang w:val="en-US"/>
        </w:rPr>
        <w:t xml:space="preserve">Bank </w:t>
      </w:r>
      <w:r w:rsidRPr="007D770B">
        <w:rPr>
          <w:rFonts w:ascii="Times New Roman" w:hAnsi="Times New Roman"/>
          <w:sz w:val="20"/>
          <w:lang w:val="en-US"/>
        </w:rPr>
        <w:t xml:space="preserve">enters into transactions with related parties. </w:t>
      </w:r>
      <w:r w:rsidR="002D0926" w:rsidRPr="007D770B">
        <w:rPr>
          <w:rFonts w:ascii="Times New Roman" w:hAnsi="Times New Roman"/>
          <w:sz w:val="20"/>
          <w:lang w:val="en-US"/>
        </w:rPr>
        <w:t xml:space="preserve">IFRS 9 </w:t>
      </w:r>
      <w:r w:rsidRPr="007D770B">
        <w:rPr>
          <w:rFonts w:ascii="Times New Roman" w:hAnsi="Times New Roman"/>
          <w:sz w:val="20"/>
          <w:lang w:val="en-US"/>
        </w:rPr>
        <w:t>requires initial recognition of financial instruments at fair value</w:t>
      </w:r>
      <w:r w:rsidR="00851C4C" w:rsidRPr="007D770B">
        <w:rPr>
          <w:rFonts w:ascii="Times New Roman" w:hAnsi="Times New Roman"/>
          <w:sz w:val="20"/>
          <w:lang w:val="en-US"/>
        </w:rPr>
        <w:t>.</w:t>
      </w:r>
      <w:r w:rsidRPr="007D770B">
        <w:rPr>
          <w:rFonts w:ascii="Times New Roman" w:hAnsi="Times New Roman"/>
          <w:sz w:val="20"/>
          <w:lang w:val="en-US"/>
        </w:rPr>
        <w:t xml:space="preserve"> Where there is no active market for such transactions, judgment is used to determine whether transactions are priced at market or non-market interest rates. The basis for judgment is pricing for similar types of transactions with unrelated parties and effective interest rate analysis. </w:t>
      </w:r>
    </w:p>
    <w:p w14:paraId="0C2A7FEB" w14:textId="77777777" w:rsidR="009E2B77" w:rsidRPr="007D770B" w:rsidRDefault="009E2B77" w:rsidP="00851C4C">
      <w:pPr>
        <w:pStyle w:val="ABC-paragrahinNotes"/>
        <w:tabs>
          <w:tab w:val="right" w:pos="9720"/>
        </w:tabs>
        <w:spacing w:before="240" w:after="0"/>
        <w:rPr>
          <w:rFonts w:ascii="Times New Roman" w:hAnsi="Times New Roman"/>
          <w:sz w:val="20"/>
          <w:lang w:val="en-US"/>
        </w:rPr>
      </w:pPr>
      <w:r w:rsidRPr="007D770B">
        <w:rPr>
          <w:rFonts w:ascii="Times New Roman" w:hAnsi="Times New Roman"/>
          <w:b/>
          <w:i/>
          <w:sz w:val="20"/>
          <w:lang w:val="en-US"/>
        </w:rPr>
        <w:t>Materiality threshold</w:t>
      </w:r>
      <w:r w:rsidR="004F7668" w:rsidRPr="007D770B">
        <w:rPr>
          <w:rFonts w:ascii="Times New Roman" w:hAnsi="Times New Roman"/>
          <w:sz w:val="20"/>
          <w:lang w:val="en-US"/>
        </w:rPr>
        <w:t xml:space="preserve">. </w:t>
      </w:r>
      <w:r w:rsidRPr="007D770B">
        <w:rPr>
          <w:rFonts w:ascii="Times New Roman" w:hAnsi="Times New Roman"/>
          <w:sz w:val="20"/>
          <w:lang w:val="en-US"/>
        </w:rPr>
        <w:t xml:space="preserve">The </w:t>
      </w:r>
      <w:r w:rsidR="00F9744B" w:rsidRPr="007D770B">
        <w:rPr>
          <w:rFonts w:ascii="Times New Roman" w:hAnsi="Times New Roman"/>
          <w:sz w:val="20"/>
          <w:lang w:val="en-US"/>
        </w:rPr>
        <w:t xml:space="preserve">Bank </w:t>
      </w:r>
      <w:r w:rsidRPr="007D770B">
        <w:rPr>
          <w:rFonts w:ascii="Times New Roman" w:hAnsi="Times New Roman"/>
          <w:sz w:val="20"/>
          <w:lang w:val="en-US"/>
        </w:rPr>
        <w:t xml:space="preserve">makes significant judgments in deciding whether to apply the materiality threshold in its accounting and financial reporting. The materiality threshold is not applicable when the amount of the unadjusted adjustment does not exceed the established value of the materiality threshold of the reporting period, but there is a potential risk due to its nature or possible material effect on subsequent periods in case of non-recognition of the adjustment in the financial statements. </w:t>
      </w:r>
    </w:p>
    <w:p w14:paraId="65C915A0" w14:textId="38BBD74D" w:rsidR="00C70F15" w:rsidRPr="007D770B" w:rsidRDefault="008F053D" w:rsidP="009B369C">
      <w:pPr>
        <w:pStyle w:val="ABC-paragrahinNotes"/>
        <w:tabs>
          <w:tab w:val="right" w:pos="9720"/>
        </w:tabs>
        <w:spacing w:before="240"/>
        <w:rPr>
          <w:rFonts w:ascii="Times New Roman" w:hAnsi="Times New Roman"/>
          <w:sz w:val="20"/>
          <w:lang w:val="en-US"/>
        </w:rPr>
        <w:sectPr w:rsidR="00C70F15" w:rsidRPr="007D770B" w:rsidSect="004C597B">
          <w:headerReference w:type="even" r:id="rId20"/>
          <w:headerReference w:type="default" r:id="rId21"/>
          <w:headerReference w:type="first" r:id="rId22"/>
          <w:pgSz w:w="11906" w:h="16838"/>
          <w:pgMar w:top="1134" w:right="850" w:bottom="1134" w:left="1701" w:header="720" w:footer="432" w:gutter="0"/>
          <w:cols w:space="720"/>
          <w:docGrid w:linePitch="360"/>
        </w:sectPr>
      </w:pPr>
      <w:r w:rsidRPr="007D770B">
        <w:rPr>
          <w:rFonts w:ascii="Times New Roman" w:hAnsi="Times New Roman"/>
          <w:sz w:val="20"/>
          <w:lang w:val="en-US"/>
        </w:rPr>
        <w:t xml:space="preserve">Revenue is recognized to the extent that it is probable that the economic benefits will flow to the Bank </w:t>
      </w:r>
      <w:r w:rsidR="00F24535" w:rsidRPr="007D770B">
        <w:rPr>
          <w:rFonts w:ascii="Times New Roman" w:hAnsi="Times New Roman"/>
          <w:sz w:val="20"/>
          <w:lang w:val="en-US"/>
        </w:rPr>
        <w:t xml:space="preserve">and the </w:t>
      </w:r>
      <w:r w:rsidRPr="007D770B">
        <w:rPr>
          <w:rFonts w:ascii="Times New Roman" w:hAnsi="Times New Roman"/>
          <w:sz w:val="20"/>
          <w:lang w:val="en-US"/>
        </w:rPr>
        <w:t>revenue can be reliably measured. In recognizing revenue from sales of goods and services, the Bank is guided by the principle of materiality of judgment, based on the underlying indicators for each reporting period, a materiality threshold of 0.1% of the Balance Sheet currency is determined due to changes in the volume of business and nature of operations</w:t>
      </w:r>
      <w:r w:rsidR="00C7023F" w:rsidRPr="007D770B">
        <w:rPr>
          <w:rFonts w:ascii="Times New Roman" w:hAnsi="Times New Roman"/>
          <w:sz w:val="20"/>
          <w:lang w:val="en-US"/>
        </w:rPr>
        <w:t>.</w:t>
      </w:r>
    </w:p>
    <w:p w14:paraId="6E4F80BA" w14:textId="582A5209" w:rsidR="009E2B77" w:rsidRPr="007D770B" w:rsidRDefault="009E2B77" w:rsidP="00893309">
      <w:pPr>
        <w:pStyle w:val="2"/>
        <w:spacing w:before="240"/>
        <w:jc w:val="both"/>
        <w:rPr>
          <w:rFonts w:ascii="Times New Roman" w:hAnsi="Times New Roman"/>
          <w:szCs w:val="20"/>
          <w:lang w:val="en-US"/>
        </w:rPr>
      </w:pPr>
      <w:bookmarkStart w:id="65" w:name="_Toc168502017"/>
      <w:r w:rsidRPr="007D770B">
        <w:rPr>
          <w:rFonts w:ascii="Times New Roman" w:hAnsi="Times New Roman"/>
          <w:szCs w:val="20"/>
          <w:lang w:val="en-US"/>
        </w:rPr>
        <w:lastRenderedPageBreak/>
        <w:t xml:space="preserve">CHAPTER 2. GENERAL ACCOUNTING POLICIES </w:t>
      </w:r>
      <w:bookmarkEnd w:id="65"/>
    </w:p>
    <w:p w14:paraId="7B0A4518" w14:textId="6408B51F" w:rsidR="009E2B77" w:rsidRPr="007D770B" w:rsidRDefault="009E2B77" w:rsidP="00F96B17">
      <w:pPr>
        <w:pStyle w:val="2"/>
        <w:spacing w:before="240"/>
        <w:jc w:val="both"/>
        <w:rPr>
          <w:rFonts w:ascii="Times New Roman" w:hAnsi="Times New Roman"/>
          <w:szCs w:val="20"/>
          <w:lang w:val="en-US"/>
        </w:rPr>
      </w:pPr>
      <w:bookmarkStart w:id="66" w:name="_Toc168502018"/>
      <w:r w:rsidRPr="007D770B">
        <w:rPr>
          <w:rFonts w:ascii="Times New Roman" w:hAnsi="Times New Roman"/>
          <w:szCs w:val="20"/>
          <w:lang w:val="en-US"/>
        </w:rPr>
        <w:t>Section 1. Property, plant and equipment (IAS 16)</w:t>
      </w:r>
      <w:bookmarkEnd w:id="66"/>
    </w:p>
    <w:p w14:paraId="5409AEB7" w14:textId="37B59B73" w:rsidR="009E2B77" w:rsidRPr="007D770B" w:rsidRDefault="00090EDD" w:rsidP="00E61D21">
      <w:pPr>
        <w:pStyle w:val="3"/>
        <w:rPr>
          <w:lang w:val="en-US"/>
        </w:rPr>
      </w:pPr>
      <w:bookmarkStart w:id="67" w:name="_Toc168502019"/>
      <w:r w:rsidRPr="007D770B">
        <w:rPr>
          <w:lang w:val="en-US"/>
        </w:rPr>
        <w:t xml:space="preserve">1.1 </w:t>
      </w:r>
      <w:r w:rsidR="009E2B77" w:rsidRPr="007D770B">
        <w:rPr>
          <w:lang w:val="en-US"/>
        </w:rPr>
        <w:t>General provisions</w:t>
      </w:r>
      <w:bookmarkEnd w:id="0"/>
      <w:bookmarkEnd w:id="1"/>
      <w:bookmarkEnd w:id="67"/>
    </w:p>
    <w:p w14:paraId="688F8C0B" w14:textId="77777777" w:rsidR="00090EDD" w:rsidRPr="007D770B" w:rsidRDefault="00090EDD" w:rsidP="00090EDD">
      <w:pPr>
        <w:spacing w:before="240" w:line="240" w:lineRule="auto"/>
        <w:ind w:left="0"/>
        <w:rPr>
          <w:rFonts w:ascii="Times New Roman" w:hAnsi="Times New Roman"/>
          <w:lang w:val="en-US" w:eastAsia="ru-RU"/>
        </w:rPr>
      </w:pPr>
      <w:r w:rsidRPr="007D770B">
        <w:rPr>
          <w:rFonts w:ascii="Times New Roman" w:hAnsi="Times New Roman"/>
          <w:lang w:val="en-US" w:eastAsia="ru-RU"/>
        </w:rPr>
        <w:t xml:space="preserve">On initial recognition, property, plant and equipment are measured at cost. Subsequently, property, plant and equipment are carried at cost less accumulated depreciation and/or accumulated impairment losses, if any. </w:t>
      </w:r>
    </w:p>
    <w:p w14:paraId="65FC6413" w14:textId="77777777" w:rsidR="00090EDD" w:rsidRPr="007D770B" w:rsidRDefault="00090EDD" w:rsidP="00090EDD">
      <w:pPr>
        <w:spacing w:before="240" w:line="240" w:lineRule="auto"/>
        <w:ind w:left="0"/>
        <w:rPr>
          <w:rFonts w:ascii="Times New Roman" w:hAnsi="Times New Roman"/>
          <w:lang w:val="en-US" w:eastAsia="ru-RU"/>
        </w:rPr>
      </w:pPr>
      <w:r w:rsidRPr="007D770B">
        <w:rPr>
          <w:rFonts w:ascii="Times New Roman" w:hAnsi="Times New Roman"/>
          <w:lang w:val="en-US" w:eastAsia="ru-RU"/>
        </w:rPr>
        <w:t>Cost comprises the purchase price, including import duties and non-refundable taxes on acquisitions, less trade discounts and returns, and any costs directly attributable to bringing the asset to the location and condition necessary for its intended use.  The initial cost of self-constructed assets includes the cost of materials consumed, production work performed and a proportion of production overheads.</w:t>
      </w:r>
    </w:p>
    <w:p w14:paraId="1E982431" w14:textId="050096E2" w:rsidR="00090EDD" w:rsidRPr="007D770B" w:rsidRDefault="00090EDD" w:rsidP="00090EDD">
      <w:pPr>
        <w:ind w:left="0"/>
        <w:rPr>
          <w:rFonts w:ascii="Times New Roman" w:hAnsi="Times New Roman"/>
          <w:lang w:val="en-US" w:eastAsia="ru-RU"/>
        </w:rPr>
      </w:pPr>
      <w:r w:rsidRPr="007D770B">
        <w:rPr>
          <w:rFonts w:ascii="Times New Roman" w:hAnsi="Times New Roman"/>
          <w:lang w:val="en-US" w:eastAsia="ru-RU"/>
        </w:rPr>
        <w:t xml:space="preserve">Newly acquired fixed assets are accounted for in a separate balance sheet account with a zero </w:t>
      </w:r>
      <w:r w:rsidR="00F24535" w:rsidRPr="007D770B">
        <w:rPr>
          <w:rFonts w:ascii="Times New Roman" w:hAnsi="Times New Roman"/>
          <w:lang w:val="en-US" w:eastAsia="ru-RU"/>
        </w:rPr>
        <w:t xml:space="preserve">rate of depreciation </w:t>
      </w:r>
      <w:r w:rsidRPr="007D770B">
        <w:rPr>
          <w:rFonts w:ascii="Times New Roman" w:hAnsi="Times New Roman"/>
          <w:lang w:val="en-US" w:eastAsia="ru-RU"/>
        </w:rPr>
        <w:t>until they are put into operation.</w:t>
      </w:r>
    </w:p>
    <w:p w14:paraId="4DB125DF" w14:textId="77777777" w:rsidR="00090EDD" w:rsidRPr="007D770B" w:rsidRDefault="00090EDD" w:rsidP="00090EDD">
      <w:pPr>
        <w:spacing w:before="240" w:line="240" w:lineRule="auto"/>
        <w:ind w:left="0"/>
        <w:rPr>
          <w:rFonts w:ascii="Times New Roman" w:hAnsi="Times New Roman"/>
          <w:lang w:val="en-US" w:eastAsia="ru-RU"/>
        </w:rPr>
      </w:pPr>
      <w:r w:rsidRPr="007D770B">
        <w:rPr>
          <w:rFonts w:ascii="Times New Roman" w:hAnsi="Times New Roman"/>
          <w:lang w:val="en-US" w:eastAsia="ru-RU"/>
        </w:rPr>
        <w:t>Subsequent costs are included in the carrying amount of the asset, or recognized as a separate asset, only when it is probable that the economic benefits embodied within the asset will flow to the Bank and its cost can be measured reliably. The carrying amount of the replaced part is derecognized from the balance sheet. All other repairs and maintenance are charged to profit and loss for the period as incurred.</w:t>
      </w:r>
    </w:p>
    <w:p w14:paraId="2006AD16" w14:textId="2B264E2C" w:rsidR="00090EDD" w:rsidRPr="007D770B" w:rsidRDefault="00090EDD" w:rsidP="00090EDD">
      <w:pPr>
        <w:spacing w:before="240" w:line="240" w:lineRule="auto"/>
        <w:ind w:left="0"/>
        <w:rPr>
          <w:lang w:val="en-US"/>
        </w:rPr>
      </w:pPr>
      <w:r w:rsidRPr="007D770B">
        <w:rPr>
          <w:rFonts w:ascii="Times New Roman" w:hAnsi="Times New Roman"/>
          <w:lang w:val="en-US" w:eastAsia="ru-RU"/>
        </w:rPr>
        <w:t xml:space="preserve">An item of property, plant and equipment is derecognized upon disposal or when no future economic benefits are expected from its use or disposal. Any gain or loss arising on derecognition of the asset (calculated as the difference between the net disposal proceeds </w:t>
      </w:r>
      <w:r w:rsidR="00F24535" w:rsidRPr="007D770B">
        <w:rPr>
          <w:rFonts w:ascii="Times New Roman" w:hAnsi="Times New Roman"/>
          <w:lang w:val="en-US" w:eastAsia="ru-RU"/>
        </w:rPr>
        <w:t xml:space="preserve">and the carrying </w:t>
      </w:r>
      <w:r w:rsidRPr="007D770B">
        <w:rPr>
          <w:rFonts w:ascii="Times New Roman" w:hAnsi="Times New Roman"/>
          <w:lang w:val="en-US" w:eastAsia="ru-RU"/>
        </w:rPr>
        <w:t>amount of the asset) is included in profit or loss in the period in which the asset is derecognized</w:t>
      </w:r>
    </w:p>
    <w:p w14:paraId="3B2AED00" w14:textId="77777777" w:rsidR="00067FD5" w:rsidRPr="007D770B" w:rsidRDefault="00067FD5" w:rsidP="00C43712">
      <w:pPr>
        <w:spacing w:before="240" w:line="240" w:lineRule="auto"/>
        <w:ind w:left="0"/>
        <w:rPr>
          <w:rFonts w:ascii="Times New Roman" w:hAnsi="Times New Roman"/>
          <w:lang w:val="en-US" w:eastAsia="ru-RU"/>
        </w:rPr>
      </w:pPr>
      <w:r w:rsidRPr="007D770B">
        <w:rPr>
          <w:rFonts w:ascii="Times New Roman" w:hAnsi="Times New Roman"/>
          <w:lang w:val="en-US" w:eastAsia="ru-RU"/>
        </w:rPr>
        <w:t xml:space="preserve">Property, plant and equipment are </w:t>
      </w:r>
      <w:r w:rsidR="00090EDD" w:rsidRPr="007D770B">
        <w:rPr>
          <w:rFonts w:ascii="Times New Roman" w:hAnsi="Times New Roman"/>
          <w:lang w:val="en-US" w:eastAsia="ru-RU"/>
        </w:rPr>
        <w:t xml:space="preserve">accounted </w:t>
      </w:r>
      <w:r w:rsidRPr="007D770B">
        <w:rPr>
          <w:rFonts w:ascii="Times New Roman" w:hAnsi="Times New Roman"/>
          <w:lang w:val="en-US" w:eastAsia="ru-RU"/>
        </w:rPr>
        <w:t>for centrally on the balance sheet of the Bank's Head Office. The cost of the Bank's property, plant and equipment is recorded in whole tenge.</w:t>
      </w:r>
    </w:p>
    <w:p w14:paraId="78D2E1D4" w14:textId="59F81F25" w:rsidR="0073149E" w:rsidRPr="007D770B" w:rsidRDefault="00F24535" w:rsidP="0073149E">
      <w:pPr>
        <w:ind w:left="0"/>
        <w:rPr>
          <w:rFonts w:ascii="Times New Roman" w:hAnsi="Times New Roman"/>
          <w:lang w:val="en-US" w:eastAsia="ru-RU"/>
        </w:rPr>
      </w:pPr>
      <w:r w:rsidRPr="007D770B">
        <w:rPr>
          <w:rFonts w:ascii="Times New Roman" w:hAnsi="Times New Roman"/>
          <w:lang w:val="en-US" w:eastAsia="ru-RU"/>
        </w:rPr>
        <w:t xml:space="preserve">Fixed assets are accounted for in </w:t>
      </w:r>
      <w:r w:rsidR="0073149E" w:rsidRPr="007D770B">
        <w:rPr>
          <w:rFonts w:ascii="Times New Roman" w:hAnsi="Times New Roman"/>
          <w:lang w:val="en-US" w:eastAsia="ru-RU"/>
        </w:rPr>
        <w:t xml:space="preserve">fixed asset cards, inventory records and fixed asset statements. </w:t>
      </w:r>
    </w:p>
    <w:p w14:paraId="4D2E7122" w14:textId="77777777" w:rsidR="002946CE" w:rsidRPr="007D770B" w:rsidRDefault="002946CE" w:rsidP="0073149E">
      <w:pPr>
        <w:ind w:left="0"/>
        <w:rPr>
          <w:rFonts w:ascii="Times New Roman" w:hAnsi="Times New Roman"/>
          <w:lang w:val="en-US" w:eastAsia="ru-RU"/>
        </w:rPr>
      </w:pPr>
      <w:r w:rsidRPr="007D770B">
        <w:rPr>
          <w:rFonts w:ascii="Times New Roman" w:hAnsi="Times New Roman"/>
          <w:lang w:val="en-US" w:eastAsia="ru-RU"/>
        </w:rPr>
        <w:t>The estimated residual value is calculated from the useful life of the fixed asset and its original cost. The residual value of property, plant and equipment may be assumed by the Bank to be zero.</w:t>
      </w:r>
    </w:p>
    <w:p w14:paraId="09B70D95" w14:textId="2512C10C" w:rsidR="00241848" w:rsidRPr="007D770B" w:rsidRDefault="00F24535" w:rsidP="00241848">
      <w:pPr>
        <w:widowControl w:val="0"/>
        <w:tabs>
          <w:tab w:val="left" w:pos="0"/>
          <w:tab w:val="left" w:pos="609"/>
          <w:tab w:val="left" w:pos="2520"/>
          <w:tab w:val="left" w:pos="3960"/>
        </w:tabs>
        <w:autoSpaceDE w:val="0"/>
        <w:autoSpaceDN w:val="0"/>
        <w:adjustRightInd w:val="0"/>
        <w:spacing w:after="0" w:line="240" w:lineRule="auto"/>
        <w:ind w:left="0" w:right="-6"/>
        <w:rPr>
          <w:rFonts w:ascii="Times New Roman" w:hAnsi="Times New Roman"/>
          <w:lang w:val="en-US" w:eastAsia="ru-RU"/>
        </w:rPr>
      </w:pPr>
      <w:r w:rsidRPr="007D770B">
        <w:rPr>
          <w:rFonts w:ascii="Times New Roman" w:hAnsi="Times New Roman"/>
          <w:lang w:val="en-US" w:eastAsia="ru-RU"/>
        </w:rPr>
        <w:t xml:space="preserve">Property, plant and equipment </w:t>
      </w:r>
      <w:r w:rsidR="00241848" w:rsidRPr="007D770B">
        <w:rPr>
          <w:rFonts w:ascii="Times New Roman" w:hAnsi="Times New Roman"/>
          <w:lang w:val="en-US" w:eastAsia="ru-RU"/>
        </w:rPr>
        <w:t xml:space="preserve">registered in the name of the Bank are accounted for on the Bank's balance sheet. </w:t>
      </w:r>
    </w:p>
    <w:p w14:paraId="4E90B3A4" w14:textId="208FF7E6" w:rsidR="00870444" w:rsidRPr="007D770B" w:rsidRDefault="00241848" w:rsidP="00241848">
      <w:pPr>
        <w:widowControl w:val="0"/>
        <w:tabs>
          <w:tab w:val="left" w:pos="0"/>
          <w:tab w:val="left" w:pos="609"/>
          <w:tab w:val="left" w:pos="2520"/>
          <w:tab w:val="left" w:pos="3960"/>
        </w:tabs>
        <w:autoSpaceDE w:val="0"/>
        <w:autoSpaceDN w:val="0"/>
        <w:adjustRightInd w:val="0"/>
        <w:spacing w:after="0" w:line="240" w:lineRule="auto"/>
        <w:ind w:left="0" w:right="-6"/>
        <w:rPr>
          <w:rFonts w:ascii="Times New Roman" w:hAnsi="Times New Roman"/>
          <w:lang w:val="en-US" w:eastAsia="ru-RU"/>
        </w:rPr>
      </w:pPr>
      <w:r w:rsidRPr="007D770B">
        <w:rPr>
          <w:rFonts w:ascii="Times New Roman" w:hAnsi="Times New Roman"/>
          <w:lang w:val="en-US" w:eastAsia="ru-RU"/>
        </w:rPr>
        <w:t xml:space="preserve">The procedure for recording of fixed assets on the balance sheet and recognition of title to the Bank's property and equipment </w:t>
      </w:r>
      <w:r w:rsidR="00F24535" w:rsidRPr="007D770B">
        <w:rPr>
          <w:rFonts w:ascii="Times New Roman" w:hAnsi="Times New Roman"/>
          <w:lang w:val="en-US" w:eastAsia="ru-RU"/>
        </w:rPr>
        <w:t xml:space="preserve">is regulated by the internal </w:t>
      </w:r>
      <w:r w:rsidRPr="007D770B">
        <w:rPr>
          <w:rFonts w:ascii="Times New Roman" w:hAnsi="Times New Roman"/>
          <w:lang w:val="en-US" w:eastAsia="ru-RU"/>
        </w:rPr>
        <w:t>document on accounting for administrative and business activities.</w:t>
      </w:r>
    </w:p>
    <w:p w14:paraId="2048825B" w14:textId="77777777" w:rsidR="00241848" w:rsidRPr="007D770B" w:rsidRDefault="00241848" w:rsidP="00241848">
      <w:pPr>
        <w:widowControl w:val="0"/>
        <w:tabs>
          <w:tab w:val="left" w:pos="0"/>
          <w:tab w:val="left" w:pos="609"/>
          <w:tab w:val="left" w:pos="2520"/>
          <w:tab w:val="left" w:pos="3960"/>
        </w:tabs>
        <w:autoSpaceDE w:val="0"/>
        <w:autoSpaceDN w:val="0"/>
        <w:adjustRightInd w:val="0"/>
        <w:spacing w:after="0" w:line="240" w:lineRule="auto"/>
        <w:ind w:left="0" w:right="-6"/>
        <w:rPr>
          <w:rFonts w:ascii="Times New Roman" w:hAnsi="Times New Roman"/>
          <w:lang w:val="en-US" w:eastAsia="ru-RU"/>
        </w:rPr>
      </w:pPr>
    </w:p>
    <w:p w14:paraId="18BDA67E" w14:textId="1F832350" w:rsidR="00241848" w:rsidRPr="007D770B" w:rsidRDefault="00870444" w:rsidP="00241848">
      <w:pPr>
        <w:widowControl w:val="0"/>
        <w:tabs>
          <w:tab w:val="left" w:pos="0"/>
          <w:tab w:val="left" w:pos="609"/>
          <w:tab w:val="left" w:pos="2520"/>
          <w:tab w:val="left" w:pos="3960"/>
        </w:tabs>
        <w:autoSpaceDE w:val="0"/>
        <w:autoSpaceDN w:val="0"/>
        <w:adjustRightInd w:val="0"/>
        <w:spacing w:after="0" w:line="240" w:lineRule="auto"/>
        <w:ind w:left="0" w:right="-6"/>
        <w:rPr>
          <w:rFonts w:ascii="Times New Roman" w:hAnsi="Times New Roman"/>
          <w:lang w:val="en-US" w:eastAsia="ru-RU"/>
        </w:rPr>
      </w:pPr>
      <w:r w:rsidRPr="007D770B">
        <w:rPr>
          <w:rFonts w:ascii="Times New Roman" w:hAnsi="Times New Roman"/>
          <w:lang w:val="en-US" w:eastAsia="ru-RU"/>
        </w:rPr>
        <w:t xml:space="preserve">Fixed assets may be acquired both centrally </w:t>
      </w:r>
      <w:r w:rsidR="00F24535" w:rsidRPr="007D770B">
        <w:rPr>
          <w:rFonts w:ascii="Times New Roman" w:hAnsi="Times New Roman"/>
          <w:lang w:val="en-US" w:eastAsia="ru-RU"/>
        </w:rPr>
        <w:t xml:space="preserve">and </w:t>
      </w:r>
      <w:r w:rsidRPr="007D770B">
        <w:rPr>
          <w:rFonts w:ascii="Times New Roman" w:hAnsi="Times New Roman"/>
          <w:lang w:val="en-US" w:eastAsia="ru-RU"/>
        </w:rPr>
        <w:t>independently by the Bank's branches in accordance with the procedure established by the Central Office of the Bank, within the limits of the amounts stipulated by the Bank's capital investment plan.</w:t>
      </w:r>
    </w:p>
    <w:p w14:paraId="3EA8E38D" w14:textId="77777777" w:rsidR="00F1424D" w:rsidRPr="007D770B" w:rsidRDefault="00F1424D" w:rsidP="00241848">
      <w:pPr>
        <w:widowControl w:val="0"/>
        <w:tabs>
          <w:tab w:val="left" w:pos="0"/>
          <w:tab w:val="left" w:pos="609"/>
          <w:tab w:val="left" w:pos="2520"/>
          <w:tab w:val="left" w:pos="3960"/>
        </w:tabs>
        <w:autoSpaceDE w:val="0"/>
        <w:autoSpaceDN w:val="0"/>
        <w:adjustRightInd w:val="0"/>
        <w:spacing w:after="0" w:line="240" w:lineRule="auto"/>
        <w:ind w:left="0" w:right="-6"/>
        <w:rPr>
          <w:rFonts w:ascii="Times New Roman" w:hAnsi="Times New Roman"/>
          <w:lang w:val="en-US" w:eastAsia="ru-RU"/>
        </w:rPr>
      </w:pPr>
    </w:p>
    <w:p w14:paraId="702E5F67" w14:textId="1F1BF0E6" w:rsidR="00F1424D" w:rsidRPr="007D770B" w:rsidRDefault="00F1424D" w:rsidP="00F1424D">
      <w:pPr>
        <w:pStyle w:val="affff3"/>
        <w:ind w:right="-6"/>
        <w:jc w:val="both"/>
        <w:rPr>
          <w:rFonts w:eastAsia="Calibri"/>
          <w:sz w:val="20"/>
          <w:szCs w:val="20"/>
          <w:lang w:val="en-US"/>
        </w:rPr>
      </w:pPr>
      <w:r w:rsidRPr="007D770B">
        <w:rPr>
          <w:rFonts w:eastAsia="Calibri"/>
          <w:sz w:val="20"/>
          <w:szCs w:val="20"/>
          <w:lang w:val="en-US"/>
        </w:rPr>
        <w:t xml:space="preserve">Expenses on acquisition of library fund and perennial plantings are written off to expenses of the period and </w:t>
      </w:r>
      <w:r w:rsidR="00F24535" w:rsidRPr="007D770B">
        <w:rPr>
          <w:rFonts w:eastAsia="Calibri"/>
          <w:sz w:val="20"/>
          <w:szCs w:val="20"/>
          <w:lang w:val="en-US"/>
        </w:rPr>
        <w:t xml:space="preserve">accounted for in the journal of </w:t>
      </w:r>
      <w:r w:rsidRPr="007D770B">
        <w:rPr>
          <w:rFonts w:eastAsia="Calibri"/>
          <w:sz w:val="20"/>
          <w:szCs w:val="20"/>
          <w:lang w:val="en-US"/>
        </w:rPr>
        <w:t xml:space="preserve">non-expendable property. The standard service life of fixed assets is extended for the period of reconstruction and technical re-equipment according to the resolution of the Bank's Management Board. </w:t>
      </w:r>
    </w:p>
    <w:p w14:paraId="3E0EE1B0" w14:textId="77777777" w:rsidR="001345DB" w:rsidRPr="007D770B" w:rsidRDefault="001345DB" w:rsidP="00241848">
      <w:pPr>
        <w:widowControl w:val="0"/>
        <w:tabs>
          <w:tab w:val="left" w:pos="0"/>
          <w:tab w:val="left" w:pos="609"/>
          <w:tab w:val="left" w:pos="2520"/>
          <w:tab w:val="left" w:pos="3960"/>
        </w:tabs>
        <w:autoSpaceDE w:val="0"/>
        <w:autoSpaceDN w:val="0"/>
        <w:adjustRightInd w:val="0"/>
        <w:spacing w:after="0" w:line="240" w:lineRule="auto"/>
        <w:ind w:left="0" w:right="-6"/>
        <w:rPr>
          <w:rFonts w:ascii="Times New Roman" w:hAnsi="Times New Roman"/>
          <w:lang w:val="en-US" w:eastAsia="ru-RU"/>
        </w:rPr>
      </w:pPr>
    </w:p>
    <w:p w14:paraId="5BF4ECBC" w14:textId="77777777" w:rsidR="001345DB" w:rsidRPr="007D770B" w:rsidRDefault="001345DB" w:rsidP="00241848">
      <w:pPr>
        <w:widowControl w:val="0"/>
        <w:tabs>
          <w:tab w:val="left" w:pos="0"/>
          <w:tab w:val="left" w:pos="609"/>
          <w:tab w:val="left" w:pos="2520"/>
          <w:tab w:val="left" w:pos="3960"/>
        </w:tabs>
        <w:autoSpaceDE w:val="0"/>
        <w:autoSpaceDN w:val="0"/>
        <w:adjustRightInd w:val="0"/>
        <w:spacing w:after="0" w:line="240" w:lineRule="auto"/>
        <w:ind w:left="0" w:right="-6"/>
        <w:rPr>
          <w:rFonts w:ascii="Times New Roman" w:hAnsi="Times New Roman"/>
          <w:lang w:val="en-US" w:eastAsia="ru-RU"/>
        </w:rPr>
      </w:pPr>
      <w:r w:rsidRPr="007D770B">
        <w:rPr>
          <w:rFonts w:ascii="Times New Roman" w:hAnsi="Times New Roman"/>
          <w:lang w:val="en-US" w:eastAsia="ru-RU"/>
        </w:rPr>
        <w:t>Property, plant and equipment received for trust management under the concluded agreements are not assets of the Bank and are not included in its balance sheet. Assets received into trust management are accounted for by the Bank in memorandum accounts at the book value provided by the owner of the asset</w:t>
      </w:r>
    </w:p>
    <w:p w14:paraId="5E2AD34B" w14:textId="77777777" w:rsidR="009E2B77" w:rsidRPr="007D770B" w:rsidRDefault="009E2B77" w:rsidP="00F96B17">
      <w:pPr>
        <w:spacing w:before="240" w:line="240" w:lineRule="auto"/>
        <w:ind w:left="0"/>
        <w:rPr>
          <w:rFonts w:ascii="Times New Roman" w:hAnsi="Times New Roman"/>
          <w:lang w:val="en-US" w:eastAsia="ru-RU"/>
        </w:rPr>
      </w:pPr>
      <w:r w:rsidRPr="007D770B">
        <w:rPr>
          <w:rFonts w:ascii="Times New Roman" w:hAnsi="Times New Roman"/>
          <w:lang w:val="en-US" w:eastAsia="ru-RU"/>
        </w:rPr>
        <w:t xml:space="preserve">Useful </w:t>
      </w:r>
      <w:r w:rsidR="00F05C49" w:rsidRPr="007D770B">
        <w:rPr>
          <w:rFonts w:ascii="Times New Roman" w:hAnsi="Times New Roman"/>
          <w:lang w:val="en-US" w:eastAsia="ru-RU"/>
        </w:rPr>
        <w:t xml:space="preserve">lives </w:t>
      </w:r>
      <w:r w:rsidRPr="007D770B">
        <w:rPr>
          <w:rFonts w:ascii="Times New Roman" w:hAnsi="Times New Roman"/>
          <w:lang w:val="en-US" w:eastAsia="ru-RU"/>
        </w:rPr>
        <w:t xml:space="preserve">and methods of depreciation of assets are reviewed at each financial year end and adjusted as appropriate. </w:t>
      </w:r>
    </w:p>
    <w:p w14:paraId="2BF8CCC6" w14:textId="4EEC79B8" w:rsidR="009E2B77" w:rsidRPr="007D770B" w:rsidRDefault="009E2B77" w:rsidP="00E61D21">
      <w:pPr>
        <w:pStyle w:val="3"/>
        <w:rPr>
          <w:lang w:val="en-US"/>
        </w:rPr>
      </w:pPr>
      <w:bookmarkStart w:id="68" w:name="_Toc251839473"/>
      <w:bookmarkStart w:id="69" w:name="_Toc271032459"/>
      <w:bookmarkStart w:id="70" w:name="_Toc168502020"/>
      <w:r w:rsidRPr="007D770B">
        <w:rPr>
          <w:lang w:val="en-US"/>
        </w:rPr>
        <w:t>1.2 Definitions</w:t>
      </w:r>
      <w:bookmarkEnd w:id="68"/>
      <w:bookmarkEnd w:id="69"/>
      <w:bookmarkEnd w:id="70"/>
    </w:p>
    <w:p w14:paraId="02D48A52" w14:textId="107DD6A8" w:rsidR="009E2B77" w:rsidRPr="007D770B" w:rsidRDefault="009E2B77" w:rsidP="00F96B17">
      <w:pPr>
        <w:spacing w:before="240" w:line="240" w:lineRule="auto"/>
        <w:ind w:left="0"/>
        <w:rPr>
          <w:rFonts w:ascii="Times New Roman" w:hAnsi="Times New Roman"/>
          <w:lang w:val="en-US"/>
        </w:rPr>
      </w:pPr>
      <w:r w:rsidRPr="007D770B">
        <w:rPr>
          <w:rFonts w:ascii="Times New Roman" w:hAnsi="Times New Roman"/>
          <w:b/>
          <w:lang w:val="en-US"/>
        </w:rPr>
        <w:t xml:space="preserve">An asset </w:t>
      </w:r>
      <w:r w:rsidRPr="007D770B">
        <w:rPr>
          <w:rFonts w:ascii="Times New Roman" w:hAnsi="Times New Roman"/>
          <w:lang w:val="en-US"/>
        </w:rPr>
        <w:t xml:space="preserve">is a resource controlled by the </w:t>
      </w:r>
      <w:r w:rsidR="00F9744B" w:rsidRPr="007D770B">
        <w:rPr>
          <w:rFonts w:ascii="Times New Roman" w:hAnsi="Times New Roman"/>
          <w:lang w:val="en-US" w:eastAsia="ru-RU"/>
        </w:rPr>
        <w:t xml:space="preserve">Bank as </w:t>
      </w:r>
      <w:r w:rsidRPr="007D770B">
        <w:rPr>
          <w:rFonts w:ascii="Times New Roman" w:hAnsi="Times New Roman"/>
          <w:lang w:val="en-US"/>
        </w:rPr>
        <w:t xml:space="preserve">a result of past events and </w:t>
      </w:r>
      <w:r w:rsidR="00470F3A" w:rsidRPr="007D770B">
        <w:rPr>
          <w:rFonts w:ascii="Times New Roman" w:hAnsi="Times New Roman"/>
          <w:lang w:val="en-US"/>
        </w:rPr>
        <w:t xml:space="preserve">from </w:t>
      </w:r>
      <w:r w:rsidRPr="007D770B">
        <w:rPr>
          <w:rFonts w:ascii="Times New Roman" w:hAnsi="Times New Roman"/>
          <w:lang w:val="en-US"/>
        </w:rPr>
        <w:t xml:space="preserve">which the </w:t>
      </w:r>
      <w:r w:rsidR="00F9744B" w:rsidRPr="007D770B">
        <w:rPr>
          <w:rFonts w:ascii="Times New Roman" w:hAnsi="Times New Roman"/>
          <w:lang w:val="en-US" w:eastAsia="ru-RU"/>
        </w:rPr>
        <w:t xml:space="preserve">Bank </w:t>
      </w:r>
      <w:r w:rsidRPr="007D770B">
        <w:rPr>
          <w:rFonts w:ascii="Times New Roman" w:hAnsi="Times New Roman"/>
          <w:lang w:val="en-US"/>
        </w:rPr>
        <w:t>expects to derive future economic benefits.</w:t>
      </w:r>
    </w:p>
    <w:p w14:paraId="2ECB1CB8" w14:textId="46A0A447" w:rsidR="009E2B77" w:rsidRPr="007D770B" w:rsidRDefault="009E2B77" w:rsidP="00F96B17">
      <w:pPr>
        <w:spacing w:before="240" w:line="240" w:lineRule="auto"/>
        <w:ind w:left="0"/>
        <w:rPr>
          <w:rFonts w:ascii="Times New Roman" w:hAnsi="Times New Roman"/>
          <w:lang w:val="en-US"/>
        </w:rPr>
      </w:pPr>
      <w:r w:rsidRPr="007D770B">
        <w:rPr>
          <w:rFonts w:ascii="Times New Roman" w:hAnsi="Times New Roman"/>
          <w:b/>
          <w:lang w:val="en-US"/>
        </w:rPr>
        <w:t xml:space="preserve">Depreciation of property, plant and equipment </w:t>
      </w:r>
      <w:r w:rsidRPr="007D770B">
        <w:rPr>
          <w:rFonts w:ascii="Times New Roman" w:hAnsi="Times New Roman"/>
          <w:lang w:val="en-US"/>
        </w:rPr>
        <w:t>is the systematic allocation of the depreciable value of an asset over its useful life.</w:t>
      </w:r>
    </w:p>
    <w:p w14:paraId="411989C6" w14:textId="634C62A9" w:rsidR="009E2B77" w:rsidRPr="007D770B" w:rsidRDefault="009E2B77" w:rsidP="00F96B17">
      <w:pPr>
        <w:spacing w:before="240" w:line="240" w:lineRule="auto"/>
        <w:ind w:left="0"/>
        <w:rPr>
          <w:rFonts w:ascii="Times New Roman" w:hAnsi="Times New Roman"/>
          <w:lang w:val="en-US"/>
        </w:rPr>
      </w:pPr>
      <w:r w:rsidRPr="007D770B">
        <w:rPr>
          <w:rFonts w:ascii="Times New Roman" w:hAnsi="Times New Roman"/>
          <w:b/>
          <w:lang w:val="en-US"/>
        </w:rPr>
        <w:lastRenderedPageBreak/>
        <w:t xml:space="preserve">Depreciable </w:t>
      </w:r>
      <w:r w:rsidRPr="007D770B">
        <w:rPr>
          <w:rFonts w:ascii="Times New Roman" w:hAnsi="Times New Roman"/>
          <w:lang w:val="en-US"/>
        </w:rPr>
        <w:t>amount is the original cost of an asset or other amount recognized in the financial statements instead of its cost less its residual value.</w:t>
      </w:r>
    </w:p>
    <w:p w14:paraId="0BC753FD" w14:textId="21251EB9" w:rsidR="009E2B77" w:rsidRPr="007D770B" w:rsidRDefault="00470F3A" w:rsidP="00F96B17">
      <w:pPr>
        <w:spacing w:before="240" w:line="240" w:lineRule="auto"/>
        <w:ind w:left="0"/>
        <w:rPr>
          <w:rFonts w:ascii="Times New Roman" w:hAnsi="Times New Roman"/>
          <w:lang w:val="en-US"/>
        </w:rPr>
      </w:pPr>
      <w:r w:rsidRPr="007D770B">
        <w:rPr>
          <w:rFonts w:ascii="Times New Roman" w:hAnsi="Times New Roman"/>
          <w:lang w:val="en-US"/>
        </w:rPr>
        <w:t xml:space="preserve">The </w:t>
      </w:r>
      <w:r w:rsidR="009E2B77" w:rsidRPr="007D770B">
        <w:rPr>
          <w:rFonts w:ascii="Times New Roman" w:hAnsi="Times New Roman"/>
          <w:b/>
          <w:lang w:val="en-US"/>
        </w:rPr>
        <w:t xml:space="preserve">carrying </w:t>
      </w:r>
      <w:r w:rsidR="009E2B77" w:rsidRPr="007D770B">
        <w:rPr>
          <w:rFonts w:ascii="Times New Roman" w:hAnsi="Times New Roman"/>
          <w:lang w:val="en-US"/>
        </w:rPr>
        <w:t>amount (residual value) is the amount at which the asset is recognized in the statement of financial position after deducting the sum of all accumulated depreciation and accumulated impairment losses.</w:t>
      </w:r>
    </w:p>
    <w:p w14:paraId="78EDC954" w14:textId="4A39BD73" w:rsidR="009E2B77" w:rsidRPr="007D770B" w:rsidRDefault="009E2B77" w:rsidP="00F96B17">
      <w:pPr>
        <w:spacing w:before="240" w:line="240" w:lineRule="auto"/>
        <w:ind w:left="0"/>
        <w:rPr>
          <w:rFonts w:ascii="Times New Roman" w:hAnsi="Times New Roman"/>
          <w:lang w:val="en-US"/>
        </w:rPr>
      </w:pPr>
      <w:r w:rsidRPr="007D770B">
        <w:rPr>
          <w:rFonts w:ascii="Times New Roman" w:hAnsi="Times New Roman"/>
          <w:b/>
          <w:lang w:val="en-US"/>
        </w:rPr>
        <w:t xml:space="preserve">The recoverable </w:t>
      </w:r>
      <w:r w:rsidRPr="007D770B">
        <w:rPr>
          <w:rFonts w:ascii="Times New Roman" w:hAnsi="Times New Roman"/>
          <w:lang w:val="en-US"/>
        </w:rPr>
        <w:t xml:space="preserve">amount of an </w:t>
      </w:r>
      <w:r w:rsidRPr="007D770B">
        <w:rPr>
          <w:rFonts w:ascii="Times New Roman" w:hAnsi="Times New Roman"/>
          <w:b/>
          <w:lang w:val="en-US"/>
        </w:rPr>
        <w:t xml:space="preserve">asset </w:t>
      </w:r>
      <w:r w:rsidRPr="007D770B">
        <w:rPr>
          <w:rFonts w:ascii="Times New Roman" w:hAnsi="Times New Roman"/>
          <w:lang w:val="en-US"/>
        </w:rPr>
        <w:t>is the higher of its fair value less costs to sell or its value in use.</w:t>
      </w:r>
    </w:p>
    <w:p w14:paraId="5551931A" w14:textId="73456841" w:rsidR="009E2B77" w:rsidRPr="007D770B" w:rsidRDefault="009E2B77" w:rsidP="00F96B17">
      <w:pPr>
        <w:spacing w:before="240" w:line="240" w:lineRule="auto"/>
        <w:ind w:left="0"/>
        <w:rPr>
          <w:rFonts w:ascii="Times New Roman" w:hAnsi="Times New Roman"/>
          <w:lang w:val="en-US"/>
        </w:rPr>
      </w:pPr>
      <w:r w:rsidRPr="007D770B">
        <w:rPr>
          <w:rFonts w:ascii="Times New Roman" w:hAnsi="Times New Roman"/>
          <w:b/>
          <w:lang w:val="en-US"/>
        </w:rPr>
        <w:t xml:space="preserve">Disposal of fixed assets </w:t>
      </w:r>
      <w:r w:rsidRPr="007D770B">
        <w:rPr>
          <w:rFonts w:ascii="Times New Roman" w:hAnsi="Times New Roman"/>
          <w:lang w:val="en-US"/>
        </w:rPr>
        <w:t>is the liquidation or loss of fixed assets, as well as sale, exchange, withdrawal, gratuitous transfer or transfer as a contribution to the authorized capital of other organizations.</w:t>
      </w:r>
    </w:p>
    <w:p w14:paraId="35852264" w14:textId="6E4003C0" w:rsidR="009E2B77" w:rsidRPr="007D770B" w:rsidRDefault="009E2B77" w:rsidP="00F96B17">
      <w:pPr>
        <w:spacing w:before="240" w:line="240" w:lineRule="auto"/>
        <w:ind w:left="0"/>
        <w:rPr>
          <w:rFonts w:ascii="Times New Roman" w:hAnsi="Times New Roman"/>
          <w:lang w:val="en-US"/>
        </w:rPr>
      </w:pPr>
      <w:r w:rsidRPr="007D770B">
        <w:rPr>
          <w:rFonts w:ascii="Times New Roman" w:hAnsi="Times New Roman"/>
          <w:lang w:val="en-US"/>
        </w:rPr>
        <w:t>A disposal group is a group of assets held for disposal by sale, or otherwise, in a single transaction and liabilities directly associated with the assets.</w:t>
      </w:r>
    </w:p>
    <w:p w14:paraId="4F8516EA" w14:textId="58563653" w:rsidR="009E2B77" w:rsidRPr="007D770B" w:rsidRDefault="009E2B77" w:rsidP="00F96B17">
      <w:pPr>
        <w:spacing w:before="240" w:line="240" w:lineRule="auto"/>
        <w:ind w:left="0"/>
        <w:rPr>
          <w:rFonts w:ascii="Times New Roman" w:hAnsi="Times New Roman"/>
          <w:lang w:val="en-US"/>
        </w:rPr>
      </w:pPr>
      <w:r w:rsidRPr="007D770B">
        <w:rPr>
          <w:rFonts w:ascii="Times New Roman" w:hAnsi="Times New Roman"/>
          <w:b/>
          <w:lang w:val="en-US"/>
        </w:rPr>
        <w:t xml:space="preserve">Wear and tear </w:t>
      </w:r>
      <w:r w:rsidRPr="007D770B">
        <w:rPr>
          <w:rFonts w:ascii="Times New Roman" w:hAnsi="Times New Roman"/>
          <w:lang w:val="en-US"/>
        </w:rPr>
        <w:t>is the process of losing physical and moral characteristics.</w:t>
      </w:r>
    </w:p>
    <w:p w14:paraId="3FCCFEE0" w14:textId="7F1F9038" w:rsidR="009E2B77" w:rsidRPr="007D770B" w:rsidRDefault="009E2B77" w:rsidP="00F96B17">
      <w:pPr>
        <w:spacing w:before="240" w:line="240" w:lineRule="auto"/>
        <w:ind w:left="0"/>
        <w:rPr>
          <w:rFonts w:ascii="Times New Roman" w:hAnsi="Times New Roman"/>
          <w:lang w:val="en-US"/>
        </w:rPr>
      </w:pPr>
      <w:r w:rsidRPr="007D770B">
        <w:rPr>
          <w:rFonts w:ascii="Times New Roman" w:hAnsi="Times New Roman"/>
          <w:b/>
          <w:lang w:val="en-US"/>
        </w:rPr>
        <w:t xml:space="preserve">A qualifying asset </w:t>
      </w:r>
      <w:r w:rsidRPr="007D770B">
        <w:rPr>
          <w:rFonts w:ascii="Times New Roman" w:hAnsi="Times New Roman"/>
          <w:lang w:val="en-US"/>
        </w:rPr>
        <w:t>is an asset that necessarily takes a substantial amount of time to get ready for its intended use or sale.</w:t>
      </w:r>
    </w:p>
    <w:p w14:paraId="365AB87C" w14:textId="773D005A" w:rsidR="009E2B77" w:rsidRPr="007D770B" w:rsidRDefault="009E2B77" w:rsidP="00F96B17">
      <w:pPr>
        <w:spacing w:before="240" w:line="240" w:lineRule="auto"/>
        <w:ind w:left="0"/>
        <w:rPr>
          <w:rFonts w:ascii="Times New Roman" w:hAnsi="Times New Roman"/>
          <w:lang w:val="en-US"/>
        </w:rPr>
      </w:pPr>
      <w:r w:rsidRPr="007D770B">
        <w:rPr>
          <w:rFonts w:ascii="Times New Roman" w:hAnsi="Times New Roman"/>
          <w:b/>
          <w:lang w:val="en-US"/>
        </w:rPr>
        <w:t xml:space="preserve">Construction in progress </w:t>
      </w:r>
      <w:r w:rsidR="00A82D89" w:rsidRPr="007D770B">
        <w:rPr>
          <w:rFonts w:ascii="Times New Roman" w:hAnsi="Times New Roman"/>
          <w:lang w:val="en-US"/>
        </w:rPr>
        <w:t xml:space="preserve">is a </w:t>
      </w:r>
      <w:r w:rsidRPr="007D770B">
        <w:rPr>
          <w:rFonts w:ascii="Times New Roman" w:hAnsi="Times New Roman"/>
          <w:lang w:val="en-US"/>
        </w:rPr>
        <w:t xml:space="preserve">construction </w:t>
      </w:r>
      <w:r w:rsidR="00A82D89" w:rsidRPr="007D770B">
        <w:rPr>
          <w:rFonts w:ascii="Times New Roman" w:hAnsi="Times New Roman"/>
          <w:lang w:val="en-US"/>
        </w:rPr>
        <w:t xml:space="preserve">object </w:t>
      </w:r>
      <w:r w:rsidRPr="007D770B">
        <w:rPr>
          <w:rFonts w:ascii="Times New Roman" w:hAnsi="Times New Roman"/>
          <w:lang w:val="en-US"/>
        </w:rPr>
        <w:t>that has not been accepted in accordance with the established procedure by the customer for commissioning and is not used for its intended purpose (provision of services, production output, profit making and other types of exploitation).</w:t>
      </w:r>
    </w:p>
    <w:p w14:paraId="5164301B" w14:textId="78ECB122" w:rsidR="009E2B77" w:rsidRPr="007D770B" w:rsidRDefault="009E2B77" w:rsidP="00F96B17">
      <w:pPr>
        <w:spacing w:before="240" w:line="240" w:lineRule="auto"/>
        <w:ind w:left="0"/>
        <w:rPr>
          <w:rFonts w:ascii="Times New Roman" w:hAnsi="Times New Roman"/>
          <w:lang w:val="en-US"/>
        </w:rPr>
      </w:pPr>
      <w:r w:rsidRPr="007D770B">
        <w:rPr>
          <w:rFonts w:ascii="Times New Roman" w:hAnsi="Times New Roman"/>
          <w:b/>
          <w:lang w:val="en-US"/>
        </w:rPr>
        <w:t xml:space="preserve">Property, plant and equipment </w:t>
      </w:r>
      <w:r w:rsidRPr="007D770B">
        <w:rPr>
          <w:rFonts w:ascii="Times New Roman" w:hAnsi="Times New Roman"/>
          <w:lang w:val="en-US"/>
        </w:rPr>
        <w:t>are tangible assets that:</w:t>
      </w:r>
    </w:p>
    <w:p w14:paraId="0B966B75" w14:textId="1E1C7E28" w:rsidR="009E2B77" w:rsidRPr="007D770B" w:rsidRDefault="009E2B77" w:rsidP="00D46146">
      <w:pPr>
        <w:numPr>
          <w:ilvl w:val="0"/>
          <w:numId w:val="2"/>
        </w:numPr>
        <w:tabs>
          <w:tab w:val="num" w:pos="360"/>
        </w:tabs>
        <w:spacing w:before="240" w:line="240" w:lineRule="auto"/>
        <w:ind w:left="360"/>
        <w:rPr>
          <w:rFonts w:ascii="Times New Roman" w:hAnsi="Times New Roman"/>
          <w:lang w:val="en-US"/>
        </w:rPr>
      </w:pPr>
      <w:r w:rsidRPr="007D770B">
        <w:rPr>
          <w:rFonts w:ascii="Times New Roman" w:hAnsi="Times New Roman"/>
          <w:lang w:val="en-US"/>
        </w:rPr>
        <w:t xml:space="preserve">held by the </w:t>
      </w:r>
      <w:r w:rsidR="00F9744B" w:rsidRPr="007D770B">
        <w:rPr>
          <w:rFonts w:ascii="Times New Roman" w:hAnsi="Times New Roman"/>
          <w:lang w:val="en-US"/>
        </w:rPr>
        <w:t xml:space="preserve">Bank </w:t>
      </w:r>
      <w:r w:rsidRPr="007D770B">
        <w:rPr>
          <w:rFonts w:ascii="Times New Roman" w:hAnsi="Times New Roman"/>
          <w:lang w:val="en-US"/>
        </w:rPr>
        <w:t xml:space="preserve">for use (intended for use) in the production or supply of </w:t>
      </w:r>
      <w:r w:rsidR="00F24535" w:rsidRPr="007D770B">
        <w:rPr>
          <w:rFonts w:ascii="Times New Roman" w:hAnsi="Times New Roman"/>
          <w:lang w:val="en-US"/>
        </w:rPr>
        <w:t xml:space="preserve">goods </w:t>
      </w:r>
      <w:r w:rsidRPr="007D770B">
        <w:rPr>
          <w:rFonts w:ascii="Times New Roman" w:hAnsi="Times New Roman"/>
          <w:lang w:val="en-US"/>
        </w:rPr>
        <w:t>or services, for leasing to others or for administrative purposes; and</w:t>
      </w:r>
    </w:p>
    <w:p w14:paraId="24A50D58" w14:textId="77777777" w:rsidR="009E2B77" w:rsidRPr="007D770B" w:rsidRDefault="009E2B77" w:rsidP="00D46146">
      <w:pPr>
        <w:numPr>
          <w:ilvl w:val="0"/>
          <w:numId w:val="2"/>
        </w:numPr>
        <w:tabs>
          <w:tab w:val="num" w:pos="360"/>
        </w:tabs>
        <w:spacing w:before="240" w:line="240" w:lineRule="auto"/>
        <w:ind w:left="360"/>
        <w:rPr>
          <w:rFonts w:ascii="Times New Roman" w:hAnsi="Times New Roman"/>
          <w:lang w:val="en-US"/>
        </w:rPr>
      </w:pPr>
      <w:r w:rsidRPr="007D770B">
        <w:rPr>
          <w:rFonts w:ascii="Times New Roman" w:hAnsi="Times New Roman"/>
          <w:lang w:val="en-US"/>
        </w:rPr>
        <w:t>is expected to be utilized for more than one period.</w:t>
      </w:r>
    </w:p>
    <w:p w14:paraId="6AFDB864" w14:textId="09FB1599" w:rsidR="009E2B77" w:rsidRPr="007D770B" w:rsidRDefault="009E2B77" w:rsidP="00F96B17">
      <w:pPr>
        <w:spacing w:before="240" w:line="240" w:lineRule="auto"/>
        <w:ind w:left="0"/>
        <w:rPr>
          <w:rFonts w:ascii="Times New Roman" w:hAnsi="Times New Roman"/>
          <w:b/>
          <w:lang w:val="en-US"/>
        </w:rPr>
      </w:pPr>
      <w:r w:rsidRPr="007D770B">
        <w:rPr>
          <w:rFonts w:ascii="Times New Roman" w:hAnsi="Times New Roman"/>
          <w:b/>
          <w:lang w:val="en-US"/>
        </w:rPr>
        <w:t xml:space="preserve">The residual value </w:t>
      </w:r>
      <w:r w:rsidRPr="007D770B">
        <w:rPr>
          <w:rFonts w:ascii="Times New Roman" w:hAnsi="Times New Roman"/>
          <w:lang w:val="en-US"/>
        </w:rPr>
        <w:t xml:space="preserve">is the estimated amount that the </w:t>
      </w:r>
      <w:r w:rsidR="00F9744B" w:rsidRPr="007D770B">
        <w:rPr>
          <w:rFonts w:ascii="Times New Roman" w:hAnsi="Times New Roman"/>
          <w:lang w:val="en-US"/>
        </w:rPr>
        <w:t xml:space="preserve">Bank </w:t>
      </w:r>
      <w:r w:rsidRPr="007D770B">
        <w:rPr>
          <w:rFonts w:ascii="Times New Roman" w:hAnsi="Times New Roman"/>
          <w:lang w:val="en-US"/>
        </w:rPr>
        <w:t xml:space="preserve">would currently obtain from disposal of an </w:t>
      </w:r>
      <w:r w:rsidR="00F24535" w:rsidRPr="007D770B">
        <w:rPr>
          <w:rFonts w:ascii="Times New Roman" w:hAnsi="Times New Roman"/>
          <w:lang w:val="en-US"/>
        </w:rPr>
        <w:t xml:space="preserve">asset after </w:t>
      </w:r>
      <w:r w:rsidRPr="007D770B">
        <w:rPr>
          <w:rFonts w:ascii="Times New Roman" w:hAnsi="Times New Roman"/>
          <w:lang w:val="en-US"/>
        </w:rPr>
        <w:t>deducting the estimated costs of disposal, if the asset were already of the age and in the condition expected at the end of its useful life.</w:t>
      </w:r>
    </w:p>
    <w:p w14:paraId="2297C2D9" w14:textId="2B511A74" w:rsidR="009E2B77" w:rsidRPr="007D770B" w:rsidRDefault="009E2B77" w:rsidP="00F96B17">
      <w:pPr>
        <w:spacing w:before="240" w:line="240" w:lineRule="auto"/>
        <w:ind w:left="0"/>
        <w:rPr>
          <w:rFonts w:ascii="Times New Roman" w:hAnsi="Times New Roman"/>
          <w:lang w:val="en-US"/>
        </w:rPr>
      </w:pPr>
      <w:r w:rsidRPr="007D770B">
        <w:rPr>
          <w:rFonts w:ascii="Times New Roman" w:hAnsi="Times New Roman"/>
          <w:b/>
          <w:lang w:val="en-US"/>
        </w:rPr>
        <w:t xml:space="preserve">Cost </w:t>
      </w:r>
      <w:r w:rsidRPr="007D770B">
        <w:rPr>
          <w:rFonts w:ascii="Times New Roman" w:hAnsi="Times New Roman"/>
          <w:lang w:val="en-US"/>
        </w:rPr>
        <w:t xml:space="preserve">is the amount of cash or cash equivalents paid or the fair </w:t>
      </w:r>
      <w:r w:rsidRPr="007D770B">
        <w:rPr>
          <w:rFonts w:ascii="Times New Roman" w:hAnsi="Times New Roman"/>
          <w:b/>
          <w:lang w:val="en-US"/>
        </w:rPr>
        <w:t xml:space="preserve">value </w:t>
      </w:r>
      <w:r w:rsidRPr="007D770B">
        <w:rPr>
          <w:rFonts w:ascii="Times New Roman" w:hAnsi="Times New Roman"/>
          <w:lang w:val="en-US"/>
        </w:rPr>
        <w:t>of other consideration given to acquire an asset at the time of its acquisition, creation or, where applicable, the amounts allocated to the asset on initial recognition in accordance with the specific requirements of other accounting policies.</w:t>
      </w:r>
    </w:p>
    <w:p w14:paraId="331AD5AD" w14:textId="3734915F" w:rsidR="009E2B77" w:rsidRPr="007D770B" w:rsidRDefault="009E2B77" w:rsidP="00F96B17">
      <w:pPr>
        <w:spacing w:before="240" w:line="240" w:lineRule="auto"/>
        <w:ind w:left="0"/>
        <w:rPr>
          <w:rFonts w:ascii="Times New Roman" w:hAnsi="Times New Roman"/>
          <w:lang w:val="en-US"/>
        </w:rPr>
      </w:pPr>
      <w:r w:rsidRPr="007D770B">
        <w:rPr>
          <w:rFonts w:ascii="Times New Roman" w:hAnsi="Times New Roman"/>
          <w:b/>
          <w:lang w:val="en-US"/>
        </w:rPr>
        <w:t xml:space="preserve">Fair value </w:t>
      </w:r>
      <w:r w:rsidRPr="007D770B">
        <w:rPr>
          <w:rFonts w:ascii="Times New Roman" w:hAnsi="Times New Roman"/>
          <w:lang w:val="en-US"/>
        </w:rPr>
        <w:t>is the price that would be received to sell an asset or paid to transfer a liability in an orderly transaction between market participants at the measurement date.</w:t>
      </w:r>
    </w:p>
    <w:p w14:paraId="27841555" w14:textId="4C7D286A" w:rsidR="009E2B77" w:rsidRPr="002D4EA3" w:rsidRDefault="009E2B77" w:rsidP="008E0F78">
      <w:pPr>
        <w:keepNext/>
        <w:spacing w:before="240" w:line="240" w:lineRule="auto"/>
        <w:ind w:left="0"/>
        <w:rPr>
          <w:rFonts w:ascii="Times New Roman" w:hAnsi="Times New Roman"/>
        </w:rPr>
      </w:pPr>
      <w:r w:rsidRPr="002D4EA3">
        <w:rPr>
          <w:rFonts w:ascii="Times New Roman" w:hAnsi="Times New Roman"/>
          <w:b/>
        </w:rPr>
        <w:t xml:space="preserve">Useful life </w:t>
      </w:r>
      <w:r w:rsidRPr="002D4EA3">
        <w:rPr>
          <w:rFonts w:ascii="Times New Roman" w:hAnsi="Times New Roman"/>
        </w:rPr>
        <w:t>is:</w:t>
      </w:r>
    </w:p>
    <w:p w14:paraId="11331C4C" w14:textId="77777777" w:rsidR="009E2B77" w:rsidRPr="007D770B" w:rsidRDefault="009E2B77" w:rsidP="00D46146">
      <w:pPr>
        <w:numPr>
          <w:ilvl w:val="0"/>
          <w:numId w:val="3"/>
        </w:numPr>
        <w:tabs>
          <w:tab w:val="num" w:pos="360"/>
        </w:tabs>
        <w:spacing w:before="240" w:line="240" w:lineRule="auto"/>
        <w:ind w:left="360"/>
        <w:rPr>
          <w:rFonts w:ascii="Times New Roman" w:hAnsi="Times New Roman"/>
          <w:lang w:val="en-US"/>
        </w:rPr>
      </w:pPr>
      <w:r w:rsidRPr="007D770B">
        <w:rPr>
          <w:rFonts w:ascii="Times New Roman" w:hAnsi="Times New Roman"/>
          <w:lang w:val="en-US"/>
        </w:rPr>
        <w:t xml:space="preserve">the period of time over which the asset is expected to be available for use by </w:t>
      </w:r>
      <w:r w:rsidR="00F9744B" w:rsidRPr="007D770B">
        <w:rPr>
          <w:rFonts w:ascii="Times New Roman" w:hAnsi="Times New Roman"/>
          <w:lang w:val="en-US"/>
        </w:rPr>
        <w:t>the Bank</w:t>
      </w:r>
      <w:r w:rsidRPr="007D770B">
        <w:rPr>
          <w:rFonts w:ascii="Times New Roman" w:hAnsi="Times New Roman"/>
          <w:lang w:val="en-US"/>
        </w:rPr>
        <w:t>; or</w:t>
      </w:r>
    </w:p>
    <w:p w14:paraId="70D14ED9" w14:textId="6F78F3EF" w:rsidR="009E2B77" w:rsidRPr="007D770B" w:rsidRDefault="009E2B77" w:rsidP="00D46146">
      <w:pPr>
        <w:numPr>
          <w:ilvl w:val="0"/>
          <w:numId w:val="3"/>
        </w:numPr>
        <w:tabs>
          <w:tab w:val="num" w:pos="360"/>
        </w:tabs>
        <w:spacing w:before="240" w:line="240" w:lineRule="auto"/>
        <w:ind w:left="360"/>
        <w:rPr>
          <w:rFonts w:ascii="Times New Roman" w:hAnsi="Times New Roman"/>
          <w:lang w:val="en-US"/>
        </w:rPr>
      </w:pPr>
      <w:r w:rsidRPr="007D770B">
        <w:rPr>
          <w:rFonts w:ascii="Times New Roman" w:hAnsi="Times New Roman"/>
          <w:lang w:val="en-US"/>
        </w:rPr>
        <w:t xml:space="preserve">the quantity of products or similar items that the </w:t>
      </w:r>
      <w:r w:rsidR="00F9744B" w:rsidRPr="007D770B">
        <w:rPr>
          <w:rFonts w:ascii="Times New Roman" w:hAnsi="Times New Roman"/>
          <w:lang w:val="en-US"/>
        </w:rPr>
        <w:t xml:space="preserve">Bank </w:t>
      </w:r>
      <w:r w:rsidRPr="007D770B">
        <w:rPr>
          <w:rFonts w:ascii="Times New Roman" w:hAnsi="Times New Roman"/>
          <w:lang w:val="en-US"/>
        </w:rPr>
        <w:t>expects to obtain from the use of the asset.</w:t>
      </w:r>
    </w:p>
    <w:p w14:paraId="28CAC05D" w14:textId="05D45548" w:rsidR="009E2B77" w:rsidRPr="007D770B" w:rsidRDefault="009E2B77" w:rsidP="00F96B17">
      <w:pPr>
        <w:spacing w:before="240" w:line="240" w:lineRule="auto"/>
        <w:ind w:left="0"/>
        <w:rPr>
          <w:rFonts w:ascii="Times New Roman" w:hAnsi="Times New Roman"/>
          <w:lang w:val="en-US"/>
        </w:rPr>
      </w:pPr>
      <w:r w:rsidRPr="007D770B">
        <w:rPr>
          <w:rFonts w:ascii="Times New Roman" w:hAnsi="Times New Roman"/>
          <w:b/>
          <w:lang w:val="en-US"/>
        </w:rPr>
        <w:t xml:space="preserve">An impairment loss </w:t>
      </w:r>
      <w:r w:rsidRPr="007D770B">
        <w:rPr>
          <w:rFonts w:ascii="Times New Roman" w:hAnsi="Times New Roman"/>
          <w:lang w:val="en-US"/>
        </w:rPr>
        <w:t xml:space="preserve">is the amount by which the carrying amount of an asset or cash-generating unit exceeds its recoverable amount. </w:t>
      </w:r>
    </w:p>
    <w:p w14:paraId="0542680F" w14:textId="330923A0" w:rsidR="009E2B77" w:rsidRPr="007D770B" w:rsidRDefault="009E2B77" w:rsidP="00F96B17">
      <w:pPr>
        <w:spacing w:before="240" w:line="240" w:lineRule="auto"/>
        <w:ind w:left="0"/>
        <w:rPr>
          <w:rFonts w:ascii="Times New Roman" w:hAnsi="Times New Roman"/>
          <w:lang w:val="en-US"/>
        </w:rPr>
      </w:pPr>
      <w:r w:rsidRPr="007D770B">
        <w:rPr>
          <w:rFonts w:ascii="Times New Roman" w:hAnsi="Times New Roman"/>
          <w:b/>
          <w:lang w:val="en-US"/>
        </w:rPr>
        <w:t xml:space="preserve">Value in use </w:t>
      </w:r>
      <w:r w:rsidRPr="007D770B">
        <w:rPr>
          <w:rFonts w:ascii="Times New Roman" w:hAnsi="Times New Roman"/>
          <w:lang w:val="en-US"/>
        </w:rPr>
        <w:t>is the present value of the future cash flows expected to be derived from the asset or cash-generating unit.</w:t>
      </w:r>
    </w:p>
    <w:p w14:paraId="5F9ECABC" w14:textId="61244DCC" w:rsidR="009E2B77" w:rsidRPr="007D770B" w:rsidRDefault="009E2B77" w:rsidP="00E61D21">
      <w:pPr>
        <w:pStyle w:val="3"/>
        <w:rPr>
          <w:lang w:val="en-US"/>
        </w:rPr>
      </w:pPr>
      <w:bookmarkStart w:id="71" w:name="_Toc251839474"/>
      <w:bookmarkStart w:id="72" w:name="_Toc271032460"/>
      <w:bookmarkStart w:id="73" w:name="_Toc168502021"/>
      <w:r w:rsidRPr="007D770B">
        <w:rPr>
          <w:lang w:val="en-US"/>
        </w:rPr>
        <w:t xml:space="preserve">1.3 Classification </w:t>
      </w:r>
      <w:bookmarkEnd w:id="71"/>
      <w:bookmarkEnd w:id="72"/>
      <w:bookmarkEnd w:id="73"/>
    </w:p>
    <w:p w14:paraId="69D46C7B"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 xml:space="preserve">The </w:t>
      </w:r>
      <w:r w:rsidR="00F9744B" w:rsidRPr="007D770B">
        <w:rPr>
          <w:rFonts w:ascii="Times New Roman" w:hAnsi="Times New Roman"/>
          <w:lang w:val="en-US"/>
        </w:rPr>
        <w:t xml:space="preserve">Bank </w:t>
      </w:r>
      <w:r w:rsidRPr="007D770B">
        <w:rPr>
          <w:rFonts w:ascii="Times New Roman" w:hAnsi="Times New Roman"/>
          <w:lang w:val="en-US"/>
        </w:rPr>
        <w:t>uses the following classification of property, plant and equipment by groups for the purposes of the financial statements:</w:t>
      </w:r>
    </w:p>
    <w:p w14:paraId="155290E4" w14:textId="77777777" w:rsidR="00372BE3" w:rsidRDefault="00372BE3" w:rsidP="00AE698A">
      <w:pPr>
        <w:numPr>
          <w:ilvl w:val="0"/>
          <w:numId w:val="188"/>
        </w:numPr>
        <w:autoSpaceDE w:val="0"/>
        <w:autoSpaceDN w:val="0"/>
        <w:adjustRightInd w:val="0"/>
        <w:spacing w:before="240" w:line="240" w:lineRule="auto"/>
        <w:rPr>
          <w:rFonts w:ascii="Times New Roman" w:hAnsi="Times New Roman"/>
        </w:rPr>
      </w:pPr>
      <w:r>
        <w:rPr>
          <w:rFonts w:ascii="Times New Roman" w:hAnsi="Times New Roman"/>
        </w:rPr>
        <w:t>Earth;</w:t>
      </w:r>
    </w:p>
    <w:p w14:paraId="1B8D2504" w14:textId="77777777" w:rsidR="009E2B77" w:rsidRDefault="009E2B77" w:rsidP="00AE698A">
      <w:pPr>
        <w:numPr>
          <w:ilvl w:val="0"/>
          <w:numId w:val="188"/>
        </w:numPr>
        <w:autoSpaceDE w:val="0"/>
        <w:autoSpaceDN w:val="0"/>
        <w:adjustRightInd w:val="0"/>
        <w:spacing w:before="240" w:line="240" w:lineRule="auto"/>
        <w:rPr>
          <w:rFonts w:ascii="Times New Roman" w:hAnsi="Times New Roman"/>
        </w:rPr>
      </w:pPr>
      <w:r w:rsidRPr="002D4EA3">
        <w:rPr>
          <w:rFonts w:ascii="Times New Roman" w:hAnsi="Times New Roman"/>
        </w:rPr>
        <w:lastRenderedPageBreak/>
        <w:t>Buildings and Structures;</w:t>
      </w:r>
    </w:p>
    <w:p w14:paraId="10D1C80C" w14:textId="77777777" w:rsidR="00372BE3" w:rsidRPr="002D4EA3" w:rsidRDefault="00372BE3" w:rsidP="00AE698A">
      <w:pPr>
        <w:numPr>
          <w:ilvl w:val="0"/>
          <w:numId w:val="188"/>
        </w:numPr>
        <w:autoSpaceDE w:val="0"/>
        <w:autoSpaceDN w:val="0"/>
        <w:adjustRightInd w:val="0"/>
        <w:spacing w:before="240" w:line="240" w:lineRule="auto"/>
        <w:rPr>
          <w:rFonts w:ascii="Times New Roman" w:hAnsi="Times New Roman"/>
        </w:rPr>
      </w:pPr>
      <w:r>
        <w:rPr>
          <w:rFonts w:ascii="Times New Roman" w:hAnsi="Times New Roman"/>
        </w:rPr>
        <w:t>Vehicles;</w:t>
      </w:r>
    </w:p>
    <w:p w14:paraId="5AF433AC" w14:textId="77777777" w:rsidR="0002695C" w:rsidRDefault="0002695C" w:rsidP="00AE698A">
      <w:pPr>
        <w:numPr>
          <w:ilvl w:val="0"/>
          <w:numId w:val="188"/>
        </w:numPr>
        <w:autoSpaceDE w:val="0"/>
        <w:autoSpaceDN w:val="0"/>
        <w:adjustRightInd w:val="0"/>
        <w:spacing w:before="240" w:line="240" w:lineRule="auto"/>
        <w:rPr>
          <w:rFonts w:ascii="Times New Roman" w:hAnsi="Times New Roman"/>
        </w:rPr>
      </w:pPr>
      <w:r w:rsidRPr="002D4EA3">
        <w:rPr>
          <w:rFonts w:ascii="Times New Roman" w:hAnsi="Times New Roman"/>
        </w:rPr>
        <w:t xml:space="preserve">Office and computer equipment </w:t>
      </w:r>
    </w:p>
    <w:p w14:paraId="656F39FB" w14:textId="77777777" w:rsidR="009E2B77" w:rsidRPr="009D3EE3" w:rsidRDefault="009E2B77" w:rsidP="00AE698A">
      <w:pPr>
        <w:numPr>
          <w:ilvl w:val="0"/>
          <w:numId w:val="188"/>
        </w:numPr>
        <w:autoSpaceDE w:val="0"/>
        <w:autoSpaceDN w:val="0"/>
        <w:adjustRightInd w:val="0"/>
        <w:spacing w:before="240" w:line="240" w:lineRule="auto"/>
        <w:rPr>
          <w:rFonts w:ascii="Times New Roman" w:hAnsi="Times New Roman"/>
        </w:rPr>
      </w:pPr>
      <w:r w:rsidRPr="009D3EE3">
        <w:rPr>
          <w:rFonts w:ascii="Times New Roman" w:hAnsi="Times New Roman"/>
        </w:rPr>
        <w:t>Construction in progress;</w:t>
      </w:r>
    </w:p>
    <w:p w14:paraId="77102C9E" w14:textId="77777777" w:rsidR="009E2B77" w:rsidRPr="002D4EA3" w:rsidRDefault="009E2B77" w:rsidP="00AE698A">
      <w:pPr>
        <w:numPr>
          <w:ilvl w:val="0"/>
          <w:numId w:val="188"/>
        </w:numPr>
        <w:autoSpaceDE w:val="0"/>
        <w:autoSpaceDN w:val="0"/>
        <w:adjustRightInd w:val="0"/>
        <w:spacing w:before="240" w:line="240" w:lineRule="auto"/>
        <w:rPr>
          <w:rFonts w:ascii="Times New Roman" w:hAnsi="Times New Roman"/>
        </w:rPr>
      </w:pPr>
      <w:r w:rsidRPr="002D4EA3">
        <w:rPr>
          <w:rFonts w:ascii="Times New Roman" w:hAnsi="Times New Roman"/>
        </w:rPr>
        <w:t>Other.</w:t>
      </w:r>
    </w:p>
    <w:p w14:paraId="428CB2D1"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 xml:space="preserve">In the event of changes in the </w:t>
      </w:r>
      <w:r w:rsidR="00F9744B" w:rsidRPr="007D770B">
        <w:rPr>
          <w:rFonts w:ascii="Times New Roman" w:hAnsi="Times New Roman"/>
          <w:lang w:val="en-US"/>
        </w:rPr>
        <w:t xml:space="preserve">Bank's </w:t>
      </w:r>
      <w:r w:rsidRPr="007D770B">
        <w:rPr>
          <w:rFonts w:ascii="Times New Roman" w:hAnsi="Times New Roman"/>
          <w:lang w:val="en-US"/>
        </w:rPr>
        <w:t xml:space="preserve">investment or social policies that affect the composition of property, plant and equipment, the </w:t>
      </w:r>
      <w:r w:rsidR="00F9744B" w:rsidRPr="007D770B">
        <w:rPr>
          <w:rFonts w:ascii="Times New Roman" w:hAnsi="Times New Roman"/>
          <w:lang w:val="en-US"/>
        </w:rPr>
        <w:t xml:space="preserve">Bank's </w:t>
      </w:r>
      <w:r w:rsidRPr="007D770B">
        <w:rPr>
          <w:rFonts w:ascii="Times New Roman" w:hAnsi="Times New Roman"/>
          <w:lang w:val="en-US"/>
        </w:rPr>
        <w:t>management reclassifies assets within the above groups by transferring them to one or another group.</w:t>
      </w:r>
    </w:p>
    <w:p w14:paraId="2AB4DADD" w14:textId="757A5FC4" w:rsidR="009E2B77" w:rsidRPr="007D770B" w:rsidRDefault="009E2B77" w:rsidP="00E61D21">
      <w:pPr>
        <w:pStyle w:val="3"/>
        <w:rPr>
          <w:lang w:val="en-US"/>
        </w:rPr>
      </w:pPr>
      <w:bookmarkStart w:id="74" w:name="_Toc251839475"/>
      <w:bookmarkStart w:id="75" w:name="_Toc271032461"/>
      <w:bookmarkStart w:id="76" w:name="_Toc168502022"/>
      <w:r w:rsidRPr="007D770B">
        <w:rPr>
          <w:lang w:val="en-US"/>
        </w:rPr>
        <w:t>1.4 Accounting policies</w:t>
      </w:r>
      <w:bookmarkEnd w:id="74"/>
      <w:bookmarkEnd w:id="75"/>
      <w:bookmarkEnd w:id="76"/>
    </w:p>
    <w:p w14:paraId="773D0914" w14:textId="77777777" w:rsidR="009E2B77" w:rsidRPr="007D770B" w:rsidRDefault="009E2B77" w:rsidP="00F96B17">
      <w:pPr>
        <w:spacing w:before="240" w:line="240" w:lineRule="auto"/>
        <w:ind w:left="0"/>
        <w:rPr>
          <w:rFonts w:ascii="Times New Roman" w:hAnsi="Times New Roman"/>
          <w:b/>
          <w:lang w:val="en-US"/>
        </w:rPr>
      </w:pPr>
      <w:r w:rsidRPr="007D770B">
        <w:rPr>
          <w:rFonts w:ascii="Times New Roman" w:hAnsi="Times New Roman"/>
          <w:b/>
          <w:lang w:val="en-US" w:eastAsia="ru-RU"/>
        </w:rPr>
        <w:t>Recognition</w:t>
      </w:r>
    </w:p>
    <w:p w14:paraId="7B923854" w14:textId="77777777" w:rsidR="009E2B77" w:rsidRPr="007D770B" w:rsidRDefault="009E2B77" w:rsidP="00F96B17">
      <w:pPr>
        <w:spacing w:before="240" w:line="240" w:lineRule="auto"/>
        <w:ind w:left="0"/>
        <w:rPr>
          <w:rFonts w:ascii="Times New Roman" w:hAnsi="Times New Roman"/>
          <w:lang w:val="en-US"/>
        </w:rPr>
      </w:pPr>
      <w:r w:rsidRPr="007D770B">
        <w:rPr>
          <w:rFonts w:ascii="Times New Roman" w:hAnsi="Times New Roman"/>
          <w:lang w:val="en-US" w:eastAsia="ru-RU"/>
        </w:rPr>
        <w:t>An item of property, plant and equipment is recognized as an asset if and only if it meets the following two conditions (recognition criteria):</w:t>
      </w:r>
    </w:p>
    <w:p w14:paraId="3387D64B" w14:textId="77777777" w:rsidR="009E2B77" w:rsidRPr="007D770B" w:rsidRDefault="009E2B77" w:rsidP="00AE698A">
      <w:pPr>
        <w:numPr>
          <w:ilvl w:val="0"/>
          <w:numId w:val="189"/>
        </w:numPr>
        <w:tabs>
          <w:tab w:val="left" w:pos="360"/>
        </w:tabs>
        <w:spacing w:before="240" w:line="240" w:lineRule="auto"/>
        <w:rPr>
          <w:rFonts w:ascii="Times New Roman" w:hAnsi="Times New Roman"/>
          <w:lang w:val="en-US"/>
        </w:rPr>
      </w:pPr>
      <w:r w:rsidRPr="007D770B">
        <w:rPr>
          <w:rFonts w:ascii="Times New Roman" w:hAnsi="Times New Roman"/>
          <w:lang w:val="en-US" w:eastAsia="ru-RU"/>
        </w:rPr>
        <w:t xml:space="preserve">it is probable that future economic benefits associated with the item will flow to the </w:t>
      </w:r>
      <w:r w:rsidR="00F9744B" w:rsidRPr="007D770B">
        <w:rPr>
          <w:rFonts w:ascii="Times New Roman" w:hAnsi="Times New Roman"/>
          <w:lang w:val="en-US"/>
        </w:rPr>
        <w:t>Bank</w:t>
      </w:r>
      <w:r w:rsidRPr="007D770B">
        <w:rPr>
          <w:rFonts w:ascii="Times New Roman" w:hAnsi="Times New Roman"/>
          <w:lang w:val="en-US" w:eastAsia="ru-RU"/>
        </w:rPr>
        <w:t>;</w:t>
      </w:r>
    </w:p>
    <w:p w14:paraId="7D34C4BF" w14:textId="77777777" w:rsidR="009E2B77" w:rsidRPr="007D770B" w:rsidRDefault="009E2B77" w:rsidP="00AE698A">
      <w:pPr>
        <w:numPr>
          <w:ilvl w:val="0"/>
          <w:numId w:val="189"/>
        </w:numPr>
        <w:tabs>
          <w:tab w:val="left" w:pos="360"/>
        </w:tabs>
        <w:spacing w:before="240" w:line="240" w:lineRule="auto"/>
        <w:rPr>
          <w:rFonts w:ascii="Times New Roman" w:hAnsi="Times New Roman"/>
          <w:lang w:val="en-US"/>
        </w:rPr>
      </w:pPr>
      <w:r w:rsidRPr="007D770B">
        <w:rPr>
          <w:rFonts w:ascii="Times New Roman" w:hAnsi="Times New Roman"/>
          <w:lang w:val="en-US" w:eastAsia="ru-RU"/>
        </w:rPr>
        <w:t>the cost of acquiring the item can be measured reliably.</w:t>
      </w:r>
    </w:p>
    <w:p w14:paraId="6C6CDADB" w14:textId="042211A8"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 xml:space="preserve">To obtain future economic benefits, an item of property, plant and equipment may be used in the </w:t>
      </w:r>
      <w:r w:rsidR="00F9744B" w:rsidRPr="007D770B">
        <w:rPr>
          <w:rFonts w:ascii="Times New Roman" w:hAnsi="Times New Roman"/>
          <w:lang w:val="en-US"/>
        </w:rPr>
        <w:t xml:space="preserve">Bank's </w:t>
      </w:r>
      <w:r w:rsidRPr="007D770B">
        <w:rPr>
          <w:rFonts w:ascii="Times New Roman" w:hAnsi="Times New Roman"/>
          <w:lang w:val="en-US"/>
        </w:rPr>
        <w:t>operations for more than one annual period, either individually or in combination with other property</w:t>
      </w:r>
      <w:r w:rsidR="009D3EE3" w:rsidRPr="007D770B">
        <w:rPr>
          <w:rFonts w:ascii="Times New Roman" w:hAnsi="Times New Roman"/>
          <w:lang w:val="en-US"/>
        </w:rPr>
        <w:t>,</w:t>
      </w:r>
      <w:r w:rsidRPr="007D770B">
        <w:rPr>
          <w:rFonts w:ascii="Times New Roman" w:hAnsi="Times New Roman"/>
          <w:lang w:val="en-US"/>
        </w:rPr>
        <w:t xml:space="preserve"> plant  equipment:</w:t>
      </w:r>
    </w:p>
    <w:p w14:paraId="2714ECFC" w14:textId="77777777" w:rsidR="009E2B77" w:rsidRPr="007D770B" w:rsidRDefault="009E2B77" w:rsidP="00AE698A">
      <w:pPr>
        <w:numPr>
          <w:ilvl w:val="0"/>
          <w:numId w:val="190"/>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production or sale of goods, works and services;</w:t>
      </w:r>
    </w:p>
    <w:p w14:paraId="68D448E6" w14:textId="77777777" w:rsidR="009E2B77" w:rsidRPr="009D3EE3" w:rsidRDefault="009E2B77" w:rsidP="00AE698A">
      <w:pPr>
        <w:numPr>
          <w:ilvl w:val="0"/>
          <w:numId w:val="190"/>
        </w:numPr>
        <w:autoSpaceDE w:val="0"/>
        <w:autoSpaceDN w:val="0"/>
        <w:adjustRightInd w:val="0"/>
        <w:spacing w:before="240" w:line="240" w:lineRule="auto"/>
        <w:rPr>
          <w:rFonts w:ascii="Times New Roman" w:hAnsi="Times New Roman"/>
        </w:rPr>
      </w:pPr>
      <w:r w:rsidRPr="009D3EE3">
        <w:rPr>
          <w:rFonts w:ascii="Times New Roman" w:hAnsi="Times New Roman"/>
        </w:rPr>
        <w:t>for administrative purposes.</w:t>
      </w:r>
    </w:p>
    <w:p w14:paraId="32FD9917"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 xml:space="preserve">To determine whether the first recognition criterion is met, the </w:t>
      </w:r>
      <w:r w:rsidR="00F9744B" w:rsidRPr="007D770B">
        <w:rPr>
          <w:rFonts w:ascii="Times New Roman" w:hAnsi="Times New Roman"/>
          <w:lang w:val="en-US"/>
        </w:rPr>
        <w:t xml:space="preserve">Bank </w:t>
      </w:r>
      <w:r w:rsidRPr="007D770B">
        <w:rPr>
          <w:rFonts w:ascii="Times New Roman" w:hAnsi="Times New Roman"/>
          <w:lang w:val="en-US"/>
        </w:rPr>
        <w:t xml:space="preserve">assesses at the time of receipt of property, plant and equipment whether it has substantially all the risks and rewards of ownership of the asset. An item of property, plant and equipment is not recognized until substantially all the risks and rewards of ownership have been transferred to the </w:t>
      </w:r>
      <w:r w:rsidR="009D3EE3" w:rsidRPr="007D770B">
        <w:rPr>
          <w:rFonts w:ascii="Times New Roman" w:hAnsi="Times New Roman"/>
          <w:lang w:val="en-US"/>
        </w:rPr>
        <w:t>Bank.</w:t>
      </w:r>
    </w:p>
    <w:p w14:paraId="45E6D2A9"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 xml:space="preserve">Items of property, plant and equipment may also be recognized as items of property, plant and equipment if their use may not directly result in economic benefits to the </w:t>
      </w:r>
      <w:r w:rsidR="00F9744B" w:rsidRPr="007D770B">
        <w:rPr>
          <w:rFonts w:ascii="Times New Roman" w:hAnsi="Times New Roman"/>
          <w:lang w:val="en-US"/>
        </w:rPr>
        <w:t>Bank</w:t>
      </w:r>
      <w:r w:rsidRPr="007D770B">
        <w:rPr>
          <w:rFonts w:ascii="Times New Roman" w:hAnsi="Times New Roman"/>
          <w:lang w:val="en-US"/>
        </w:rPr>
        <w:t>, but which are necessary to obtain benefits from other items of property, plant and equipment (for example, property, plant and equipment acquired for safety and environmental protection), provided that the following conditions are met:</w:t>
      </w:r>
    </w:p>
    <w:p w14:paraId="432C65ED" w14:textId="77777777" w:rsidR="009E2B77" w:rsidRPr="007D770B" w:rsidRDefault="009E2B77" w:rsidP="00AE698A">
      <w:pPr>
        <w:numPr>
          <w:ilvl w:val="0"/>
          <w:numId w:val="252"/>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their acquisition is a necessary condition for obtaining future economic benefits from the use of other assets owned by it; or</w:t>
      </w:r>
    </w:p>
    <w:p w14:paraId="194F0858" w14:textId="77777777" w:rsidR="009E2B77" w:rsidRPr="007D770B" w:rsidRDefault="009E2B77" w:rsidP="00AE698A">
      <w:pPr>
        <w:numPr>
          <w:ilvl w:val="0"/>
          <w:numId w:val="252"/>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 xml:space="preserve">The </w:t>
      </w:r>
      <w:r w:rsidR="00F9744B" w:rsidRPr="007D770B">
        <w:rPr>
          <w:rFonts w:ascii="Times New Roman" w:hAnsi="Times New Roman"/>
          <w:lang w:val="en-US"/>
        </w:rPr>
        <w:t xml:space="preserve">bank </w:t>
      </w:r>
      <w:r w:rsidRPr="007D770B">
        <w:rPr>
          <w:rFonts w:ascii="Times New Roman" w:hAnsi="Times New Roman"/>
          <w:lang w:val="en-US"/>
        </w:rPr>
        <w:t>can demonstrate that there is a customary obligation (e.g., to invest in safety or environmental protection equipment); or</w:t>
      </w:r>
    </w:p>
    <w:p w14:paraId="07FFEA3E" w14:textId="77777777" w:rsidR="009E2B77" w:rsidRPr="007D770B" w:rsidRDefault="009E2B77" w:rsidP="00AE698A">
      <w:pPr>
        <w:numPr>
          <w:ilvl w:val="0"/>
          <w:numId w:val="252"/>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those costs are directly attributable to the fulfillment of that obligation.</w:t>
      </w:r>
    </w:p>
    <w:p w14:paraId="7FCA10EE" w14:textId="26F7852F" w:rsidR="00805B27" w:rsidRPr="007D770B" w:rsidRDefault="00805B27" w:rsidP="00805B27">
      <w:pPr>
        <w:autoSpaceDE w:val="0"/>
        <w:autoSpaceDN w:val="0"/>
        <w:adjustRightInd w:val="0"/>
        <w:spacing w:before="240" w:line="240" w:lineRule="auto"/>
        <w:ind w:left="66"/>
        <w:rPr>
          <w:rFonts w:ascii="Times New Roman" w:hAnsi="Times New Roman"/>
          <w:lang w:val="en-US"/>
        </w:rPr>
      </w:pPr>
      <w:r w:rsidRPr="007D770B">
        <w:rPr>
          <w:rFonts w:ascii="Times New Roman" w:hAnsi="Times New Roman"/>
          <w:lang w:val="en-US"/>
        </w:rPr>
        <w:t xml:space="preserve">The actual (purchase) value of buildings and land plots </w:t>
      </w:r>
      <w:r w:rsidR="00020041" w:rsidRPr="007D770B">
        <w:rPr>
          <w:rFonts w:ascii="Times New Roman" w:hAnsi="Times New Roman"/>
          <w:lang w:val="en-US"/>
        </w:rPr>
        <w:t xml:space="preserve">stated in the </w:t>
      </w:r>
      <w:r w:rsidRPr="007D770B">
        <w:rPr>
          <w:rFonts w:ascii="Times New Roman" w:hAnsi="Times New Roman"/>
          <w:lang w:val="en-US"/>
        </w:rPr>
        <w:t xml:space="preserve">purchase and sale agreement is determined as </w:t>
      </w:r>
      <w:r w:rsidR="005035AE" w:rsidRPr="007D770B">
        <w:rPr>
          <w:rFonts w:ascii="Times New Roman" w:hAnsi="Times New Roman"/>
          <w:lang w:val="en-US"/>
        </w:rPr>
        <w:t>fair value</w:t>
      </w:r>
      <w:r w:rsidRPr="007D770B">
        <w:rPr>
          <w:rFonts w:ascii="Times New Roman" w:hAnsi="Times New Roman"/>
          <w:lang w:val="en-US"/>
        </w:rPr>
        <w:t>.</w:t>
      </w:r>
    </w:p>
    <w:p w14:paraId="05F87473" w14:textId="52580347" w:rsidR="009E2B77" w:rsidRPr="007D770B" w:rsidRDefault="009E2B77" w:rsidP="00F96B17">
      <w:pPr>
        <w:pStyle w:val="Iauiue"/>
        <w:spacing w:before="240" w:after="240"/>
        <w:jc w:val="both"/>
        <w:rPr>
          <w:b/>
          <w:sz w:val="20"/>
          <w:szCs w:val="20"/>
          <w:lang w:val="en-US"/>
        </w:rPr>
      </w:pPr>
      <w:r w:rsidRPr="007D770B">
        <w:rPr>
          <w:b/>
          <w:i/>
          <w:sz w:val="20"/>
          <w:szCs w:val="20"/>
          <w:lang w:val="en-US" w:eastAsia="en-US"/>
        </w:rPr>
        <w:t xml:space="preserve">An increase in the initial value of fixed assets as a result of subsequent capital investments </w:t>
      </w:r>
      <w:r w:rsidRPr="007D770B">
        <w:rPr>
          <w:sz w:val="20"/>
          <w:szCs w:val="20"/>
          <w:lang w:val="en-US" w:eastAsia="en-US"/>
        </w:rPr>
        <w:t xml:space="preserve">is made only if the condition of the object improves, increasing its originally estimated standard indicators, such as: service life, production capacity, production area, radical improvement of the quality and characteristics of the services it produces, etc. The costs of repairs (current, capital) and maintenance of fixed assets made for the purpose of preserving and maintaining the technical condition of the object do not increase the initial value, but are recognized as current expenses when incurred. The </w:t>
      </w:r>
      <w:r w:rsidR="00F9744B" w:rsidRPr="007D770B">
        <w:rPr>
          <w:sz w:val="20"/>
          <w:szCs w:val="20"/>
          <w:lang w:val="en-US"/>
        </w:rPr>
        <w:t xml:space="preserve">Bank's </w:t>
      </w:r>
      <w:r w:rsidRPr="007D770B">
        <w:rPr>
          <w:sz w:val="20"/>
          <w:szCs w:val="20"/>
          <w:lang w:val="en-US" w:eastAsia="en-US"/>
        </w:rPr>
        <w:t xml:space="preserve">relevant services with respect to subsequent investments in functionally fixed assets provide opinions on which type of expenses (capitalized or current expenses) should be attributed to which type </w:t>
      </w:r>
      <w:r w:rsidRPr="007D770B">
        <w:rPr>
          <w:sz w:val="20"/>
          <w:szCs w:val="20"/>
          <w:lang w:val="en-US" w:eastAsia="en-US"/>
        </w:rPr>
        <w:lastRenderedPageBreak/>
        <w:t xml:space="preserve">of expenses (capitalized or current expenses). If </w:t>
      </w:r>
      <w:r w:rsidR="00506A4C" w:rsidRPr="007D770B">
        <w:rPr>
          <w:sz w:val="20"/>
          <w:szCs w:val="20"/>
          <w:lang w:val="en-US" w:eastAsia="en-US"/>
        </w:rPr>
        <w:t xml:space="preserve">capitalization </w:t>
      </w:r>
      <w:r w:rsidRPr="007D770B">
        <w:rPr>
          <w:sz w:val="20"/>
          <w:szCs w:val="20"/>
          <w:lang w:val="en-US" w:eastAsia="en-US"/>
        </w:rPr>
        <w:t xml:space="preserve">is required, the issue is submitted to the </w:t>
      </w:r>
      <w:r w:rsidR="00D1345A" w:rsidRPr="007D770B">
        <w:rPr>
          <w:sz w:val="20"/>
          <w:szCs w:val="20"/>
          <w:lang w:val="en-US" w:eastAsia="en-US"/>
        </w:rPr>
        <w:t xml:space="preserve">Bank's </w:t>
      </w:r>
      <w:r w:rsidR="00506A4C" w:rsidRPr="007D770B">
        <w:rPr>
          <w:sz w:val="20"/>
          <w:szCs w:val="20"/>
          <w:lang w:val="en-US" w:eastAsia="en-US"/>
        </w:rPr>
        <w:t xml:space="preserve">Commission </w:t>
      </w:r>
      <w:r w:rsidR="00D1345A" w:rsidRPr="007D770B">
        <w:rPr>
          <w:sz w:val="20"/>
          <w:szCs w:val="20"/>
          <w:lang w:val="en-US" w:eastAsia="en-US"/>
        </w:rPr>
        <w:t xml:space="preserve">for determining the cost and write-off of property, plant and equipment, intangible assets and stale inventory </w:t>
      </w:r>
      <w:r w:rsidR="0025540A" w:rsidRPr="007D770B">
        <w:rPr>
          <w:sz w:val="20"/>
          <w:szCs w:val="20"/>
          <w:lang w:val="en-US" w:eastAsia="en-US"/>
        </w:rPr>
        <w:t xml:space="preserve">(hereinafter </w:t>
      </w:r>
      <w:r w:rsidR="006D38F8" w:rsidRPr="007D770B">
        <w:rPr>
          <w:sz w:val="20"/>
          <w:szCs w:val="20"/>
          <w:lang w:val="en-US" w:eastAsia="en-US"/>
        </w:rPr>
        <w:t xml:space="preserve">- the </w:t>
      </w:r>
      <w:r w:rsidR="0025540A" w:rsidRPr="007D770B">
        <w:rPr>
          <w:sz w:val="20"/>
          <w:szCs w:val="20"/>
          <w:lang w:val="en-US" w:eastAsia="en-US"/>
        </w:rPr>
        <w:t>Commission)</w:t>
      </w:r>
      <w:r w:rsidR="00D1345A" w:rsidRPr="007D770B">
        <w:rPr>
          <w:sz w:val="20"/>
          <w:szCs w:val="20"/>
          <w:lang w:val="en-US" w:eastAsia="en-US"/>
        </w:rPr>
        <w:t>.</w:t>
      </w:r>
    </w:p>
    <w:p w14:paraId="2798082A" w14:textId="77777777" w:rsidR="009E2B77" w:rsidRPr="007D770B" w:rsidRDefault="009E2B77" w:rsidP="001426DC">
      <w:pPr>
        <w:keepNext/>
        <w:spacing w:before="240" w:line="240" w:lineRule="auto"/>
        <w:ind w:left="0"/>
        <w:rPr>
          <w:rFonts w:ascii="Times New Roman" w:hAnsi="Times New Roman"/>
          <w:b/>
          <w:lang w:val="en-US"/>
        </w:rPr>
      </w:pPr>
      <w:r w:rsidRPr="007D770B">
        <w:rPr>
          <w:rFonts w:ascii="Times New Roman" w:hAnsi="Times New Roman"/>
          <w:b/>
          <w:lang w:val="en-US"/>
        </w:rPr>
        <w:t>Valuation on recognition</w:t>
      </w:r>
    </w:p>
    <w:p w14:paraId="0E7E096E" w14:textId="77777777" w:rsidR="009E2B77" w:rsidRPr="007D770B" w:rsidRDefault="009E2B77" w:rsidP="00F96B17">
      <w:pPr>
        <w:autoSpaceDE w:val="0"/>
        <w:autoSpaceDN w:val="0"/>
        <w:adjustRightInd w:val="0"/>
        <w:spacing w:before="240" w:line="240" w:lineRule="auto"/>
        <w:ind w:left="0"/>
        <w:rPr>
          <w:rFonts w:ascii="Times New Roman" w:hAnsi="Times New Roman"/>
          <w:b/>
          <w:bCs/>
          <w:lang w:val="en-US"/>
        </w:rPr>
      </w:pPr>
      <w:r w:rsidRPr="007D770B">
        <w:rPr>
          <w:rFonts w:ascii="Times New Roman" w:hAnsi="Times New Roman"/>
          <w:b/>
          <w:bCs/>
          <w:lang w:val="en-US"/>
        </w:rPr>
        <w:t>Elements of historical cost</w:t>
      </w:r>
    </w:p>
    <w:p w14:paraId="143C7018" w14:textId="299D5ADA"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On recognition, an item of property, plant and equipment is initially measured at cost. The prerequisite for any cost to be included in the historical cost is that it is directly attributable to the acquisition of the item or bringing it to a working condition and location.</w:t>
      </w:r>
    </w:p>
    <w:p w14:paraId="6DA505DC"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Elements of the initial cost of fixed assets:</w:t>
      </w:r>
    </w:p>
    <w:p w14:paraId="6EDEAB26" w14:textId="77777777" w:rsidR="009E2B77" w:rsidRPr="002D4EA3" w:rsidRDefault="009E2B77" w:rsidP="00AE698A">
      <w:pPr>
        <w:numPr>
          <w:ilvl w:val="0"/>
          <w:numId w:val="191"/>
        </w:numPr>
        <w:autoSpaceDE w:val="0"/>
        <w:autoSpaceDN w:val="0"/>
        <w:adjustRightInd w:val="0"/>
        <w:spacing w:before="240" w:line="240" w:lineRule="auto"/>
        <w:rPr>
          <w:rFonts w:ascii="Times New Roman" w:hAnsi="Times New Roman"/>
        </w:rPr>
      </w:pPr>
      <w:r w:rsidRPr="002D4EA3">
        <w:rPr>
          <w:rFonts w:ascii="Times New Roman" w:hAnsi="Times New Roman"/>
        </w:rPr>
        <w:t>Acquisition price:</w:t>
      </w:r>
    </w:p>
    <w:p w14:paraId="6F58D619" w14:textId="77777777" w:rsidR="009E2B77" w:rsidRPr="002D4EA3" w:rsidRDefault="009E2B77" w:rsidP="00AE698A">
      <w:pPr>
        <w:numPr>
          <w:ilvl w:val="0"/>
          <w:numId w:val="192"/>
        </w:numPr>
        <w:autoSpaceDE w:val="0"/>
        <w:autoSpaceDN w:val="0"/>
        <w:adjustRightInd w:val="0"/>
        <w:spacing w:before="240" w:line="240" w:lineRule="auto"/>
        <w:ind w:left="1080"/>
        <w:rPr>
          <w:rFonts w:ascii="Times New Roman" w:hAnsi="Times New Roman"/>
        </w:rPr>
      </w:pPr>
      <w:r w:rsidRPr="002D4EA3">
        <w:rPr>
          <w:rFonts w:ascii="Times New Roman" w:hAnsi="Times New Roman"/>
        </w:rPr>
        <w:t>direct purchase costs;</w:t>
      </w:r>
    </w:p>
    <w:p w14:paraId="3E1A82AE" w14:textId="77777777" w:rsidR="009E2B77" w:rsidRPr="002D4EA3" w:rsidRDefault="009E2B77" w:rsidP="00AE698A">
      <w:pPr>
        <w:numPr>
          <w:ilvl w:val="0"/>
          <w:numId w:val="192"/>
        </w:numPr>
        <w:autoSpaceDE w:val="0"/>
        <w:autoSpaceDN w:val="0"/>
        <w:adjustRightInd w:val="0"/>
        <w:spacing w:before="240" w:line="240" w:lineRule="auto"/>
        <w:ind w:left="1080"/>
        <w:rPr>
          <w:rFonts w:ascii="Times New Roman" w:hAnsi="Times New Roman"/>
        </w:rPr>
      </w:pPr>
      <w:r w:rsidRPr="002D4EA3">
        <w:rPr>
          <w:rFonts w:ascii="Times New Roman" w:hAnsi="Times New Roman"/>
        </w:rPr>
        <w:t>import duties;</w:t>
      </w:r>
    </w:p>
    <w:p w14:paraId="1A1421F5" w14:textId="77777777" w:rsidR="009E2B77" w:rsidRPr="007D770B" w:rsidRDefault="009E2B77" w:rsidP="00AE698A">
      <w:pPr>
        <w:numPr>
          <w:ilvl w:val="0"/>
          <w:numId w:val="192"/>
        </w:numPr>
        <w:autoSpaceDE w:val="0"/>
        <w:autoSpaceDN w:val="0"/>
        <w:adjustRightInd w:val="0"/>
        <w:spacing w:before="240" w:line="240" w:lineRule="auto"/>
        <w:ind w:left="1080"/>
        <w:rPr>
          <w:rFonts w:ascii="Times New Roman" w:hAnsi="Times New Roman"/>
          <w:lang w:val="en-US"/>
        </w:rPr>
      </w:pPr>
      <w:r w:rsidRPr="007D770B">
        <w:rPr>
          <w:rFonts w:ascii="Times New Roman" w:hAnsi="Times New Roman"/>
          <w:lang w:val="en-US"/>
        </w:rPr>
        <w:t>non-refundable taxes and fees.</w:t>
      </w:r>
    </w:p>
    <w:p w14:paraId="11677831" w14:textId="77777777" w:rsidR="009E2B77" w:rsidRPr="007D770B" w:rsidRDefault="009E2B77" w:rsidP="00AE698A">
      <w:pPr>
        <w:numPr>
          <w:ilvl w:val="0"/>
          <w:numId w:val="191"/>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The cost of making the asset ready for use:</w:t>
      </w:r>
    </w:p>
    <w:p w14:paraId="497AAE84" w14:textId="77777777" w:rsidR="009E2B77" w:rsidRPr="007D770B" w:rsidRDefault="009E2B77" w:rsidP="00AE698A">
      <w:pPr>
        <w:numPr>
          <w:ilvl w:val="0"/>
          <w:numId w:val="193"/>
        </w:numPr>
        <w:autoSpaceDE w:val="0"/>
        <w:autoSpaceDN w:val="0"/>
        <w:adjustRightInd w:val="0"/>
        <w:spacing w:before="240" w:line="240" w:lineRule="auto"/>
        <w:ind w:left="1080"/>
        <w:rPr>
          <w:rFonts w:ascii="Times New Roman" w:hAnsi="Times New Roman"/>
          <w:lang w:val="en-US"/>
        </w:rPr>
      </w:pPr>
      <w:r w:rsidRPr="007D770B">
        <w:rPr>
          <w:rFonts w:ascii="Times New Roman" w:hAnsi="Times New Roman"/>
          <w:lang w:val="en-US"/>
        </w:rPr>
        <w:t>remuneration to employees directly related to the construction or acquisition of an item of property, plant and equipment;</w:t>
      </w:r>
    </w:p>
    <w:p w14:paraId="0285D912" w14:textId="77777777" w:rsidR="009E2B77" w:rsidRPr="002D4EA3" w:rsidRDefault="009E2B77" w:rsidP="00AE698A">
      <w:pPr>
        <w:numPr>
          <w:ilvl w:val="0"/>
          <w:numId w:val="193"/>
        </w:numPr>
        <w:autoSpaceDE w:val="0"/>
        <w:autoSpaceDN w:val="0"/>
        <w:adjustRightInd w:val="0"/>
        <w:spacing w:before="240" w:line="240" w:lineRule="auto"/>
        <w:ind w:left="1080"/>
        <w:rPr>
          <w:rFonts w:ascii="Times New Roman" w:hAnsi="Times New Roman"/>
        </w:rPr>
      </w:pPr>
      <w:r w:rsidRPr="002D4EA3">
        <w:rPr>
          <w:rFonts w:ascii="Times New Roman" w:hAnsi="Times New Roman"/>
        </w:rPr>
        <w:t>site preparation;</w:t>
      </w:r>
    </w:p>
    <w:p w14:paraId="63E53638" w14:textId="77777777" w:rsidR="009E2B77" w:rsidRPr="007D770B" w:rsidRDefault="009E2B77" w:rsidP="00AE698A">
      <w:pPr>
        <w:numPr>
          <w:ilvl w:val="0"/>
          <w:numId w:val="193"/>
        </w:numPr>
        <w:autoSpaceDE w:val="0"/>
        <w:autoSpaceDN w:val="0"/>
        <w:adjustRightInd w:val="0"/>
        <w:spacing w:before="240" w:line="240" w:lineRule="auto"/>
        <w:ind w:left="1080"/>
        <w:rPr>
          <w:rFonts w:ascii="Times New Roman" w:hAnsi="Times New Roman"/>
          <w:lang w:val="en-US"/>
        </w:rPr>
      </w:pPr>
      <w:r w:rsidRPr="007D770B">
        <w:rPr>
          <w:rFonts w:ascii="Times New Roman" w:hAnsi="Times New Roman"/>
          <w:lang w:val="en-US"/>
        </w:rPr>
        <w:t>delivery (initial delivery and handling costs);</w:t>
      </w:r>
    </w:p>
    <w:p w14:paraId="6B5DE267" w14:textId="77777777" w:rsidR="009E2B77" w:rsidRPr="007D770B" w:rsidRDefault="009E2B77" w:rsidP="00AE698A">
      <w:pPr>
        <w:numPr>
          <w:ilvl w:val="0"/>
          <w:numId w:val="193"/>
        </w:numPr>
        <w:autoSpaceDE w:val="0"/>
        <w:autoSpaceDN w:val="0"/>
        <w:adjustRightInd w:val="0"/>
        <w:spacing w:before="240" w:line="240" w:lineRule="auto"/>
        <w:ind w:left="1080"/>
        <w:rPr>
          <w:rFonts w:ascii="Times New Roman" w:hAnsi="Times New Roman"/>
          <w:lang w:val="en-US"/>
        </w:rPr>
      </w:pPr>
      <w:r w:rsidRPr="007D770B">
        <w:rPr>
          <w:rFonts w:ascii="Times New Roman" w:hAnsi="Times New Roman"/>
          <w:lang w:val="en-US"/>
        </w:rPr>
        <w:t>startup (installation, assembly, cost of testing the operation of the asset less net proceeds from the sale of test products);</w:t>
      </w:r>
    </w:p>
    <w:p w14:paraId="0BC37505" w14:textId="77777777" w:rsidR="001426DC" w:rsidRPr="002D4EA3" w:rsidRDefault="009E2B77" w:rsidP="00AE698A">
      <w:pPr>
        <w:numPr>
          <w:ilvl w:val="0"/>
          <w:numId w:val="193"/>
        </w:numPr>
        <w:autoSpaceDE w:val="0"/>
        <w:autoSpaceDN w:val="0"/>
        <w:adjustRightInd w:val="0"/>
        <w:spacing w:before="240" w:line="240" w:lineRule="auto"/>
        <w:ind w:left="1080"/>
        <w:rPr>
          <w:rFonts w:ascii="Times New Roman" w:hAnsi="Times New Roman"/>
        </w:rPr>
      </w:pPr>
      <w:r w:rsidRPr="002D4EA3">
        <w:rPr>
          <w:rFonts w:ascii="Times New Roman" w:hAnsi="Times New Roman"/>
        </w:rPr>
        <w:t>professional services.</w:t>
      </w:r>
    </w:p>
    <w:p w14:paraId="646CEDFF" w14:textId="77777777" w:rsidR="009E2B77" w:rsidRPr="007D770B" w:rsidRDefault="009E2B77" w:rsidP="00AE698A">
      <w:pPr>
        <w:numPr>
          <w:ilvl w:val="0"/>
          <w:numId w:val="191"/>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Initial estimation of costs for future disposal:</w:t>
      </w:r>
    </w:p>
    <w:p w14:paraId="41F33DC8" w14:textId="77777777" w:rsidR="009E2B77" w:rsidRPr="007D770B" w:rsidRDefault="009E2B77" w:rsidP="00AE698A">
      <w:pPr>
        <w:numPr>
          <w:ilvl w:val="0"/>
          <w:numId w:val="194"/>
        </w:numPr>
        <w:autoSpaceDE w:val="0"/>
        <w:autoSpaceDN w:val="0"/>
        <w:adjustRightInd w:val="0"/>
        <w:spacing w:before="240" w:line="240" w:lineRule="auto"/>
        <w:ind w:left="1080"/>
        <w:rPr>
          <w:rFonts w:ascii="Times New Roman" w:hAnsi="Times New Roman"/>
          <w:lang w:val="en-US"/>
        </w:rPr>
      </w:pPr>
      <w:r w:rsidRPr="007D770B">
        <w:rPr>
          <w:rFonts w:ascii="Times New Roman" w:hAnsi="Times New Roman"/>
          <w:lang w:val="en-US"/>
        </w:rPr>
        <w:t>restoration costs added at the time of start-up (estimated cost of dismantling and removing the asset and restoring the site);</w:t>
      </w:r>
    </w:p>
    <w:p w14:paraId="2B95FBF2" w14:textId="77777777" w:rsidR="009E2B77" w:rsidRPr="007D770B" w:rsidRDefault="009E2B77" w:rsidP="00AE698A">
      <w:pPr>
        <w:numPr>
          <w:ilvl w:val="0"/>
          <w:numId w:val="194"/>
        </w:numPr>
        <w:autoSpaceDE w:val="0"/>
        <w:autoSpaceDN w:val="0"/>
        <w:adjustRightInd w:val="0"/>
        <w:spacing w:before="240" w:line="240" w:lineRule="auto"/>
        <w:ind w:left="1080"/>
        <w:rPr>
          <w:rFonts w:ascii="Times New Roman" w:hAnsi="Times New Roman"/>
          <w:lang w:val="en-US"/>
        </w:rPr>
      </w:pPr>
      <w:r w:rsidRPr="007D770B">
        <w:rPr>
          <w:rFonts w:ascii="Times New Roman" w:hAnsi="Times New Roman"/>
          <w:lang w:val="en-US"/>
        </w:rPr>
        <w:t>restoration costs added during operation.</w:t>
      </w:r>
    </w:p>
    <w:p w14:paraId="33EF4809"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Costs that are not necessary (e.g., costs of repairing damage sustained during transportation) are not included in the historical cost of property, plant and equipment, but are recorded as current period costs. Examples of costs that are recognized as current period expenses:</w:t>
      </w:r>
    </w:p>
    <w:p w14:paraId="7DAB41EE" w14:textId="77777777" w:rsidR="009E2B77" w:rsidRPr="007D770B" w:rsidRDefault="009E2B77" w:rsidP="00AE698A">
      <w:pPr>
        <w:numPr>
          <w:ilvl w:val="0"/>
          <w:numId w:val="195"/>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The cost of introducing a new product or service (such as advertising or promotion);</w:t>
      </w:r>
    </w:p>
    <w:p w14:paraId="2E0D3E4C" w14:textId="77777777" w:rsidR="009E2B77" w:rsidRPr="007D770B" w:rsidRDefault="009E2B77" w:rsidP="00AE698A">
      <w:pPr>
        <w:numPr>
          <w:ilvl w:val="0"/>
          <w:numId w:val="195"/>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The cost of doing business in a new location and with a new population (e.g., staff training and education);</w:t>
      </w:r>
    </w:p>
    <w:p w14:paraId="4D1BC6BF" w14:textId="77777777" w:rsidR="009E2B77" w:rsidRPr="007D770B" w:rsidRDefault="009E2B77" w:rsidP="00AE698A">
      <w:pPr>
        <w:numPr>
          <w:ilvl w:val="0"/>
          <w:numId w:val="195"/>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administrative and other overhead costs.</w:t>
      </w:r>
    </w:p>
    <w:p w14:paraId="3DA45EC2"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 xml:space="preserve">In most cases, property, plant and equipment are acquired by the </w:t>
      </w:r>
      <w:r w:rsidR="00F9744B" w:rsidRPr="007D770B">
        <w:rPr>
          <w:rFonts w:ascii="Times New Roman" w:hAnsi="Times New Roman"/>
          <w:lang w:val="en-US"/>
        </w:rPr>
        <w:t>Bank</w:t>
      </w:r>
      <w:r w:rsidRPr="007D770B">
        <w:rPr>
          <w:rFonts w:ascii="Times New Roman" w:hAnsi="Times New Roman"/>
          <w:lang w:val="en-US"/>
        </w:rPr>
        <w:t>:</w:t>
      </w:r>
    </w:p>
    <w:p w14:paraId="65D41C5B" w14:textId="77777777" w:rsidR="009E2B77" w:rsidRPr="002D4EA3" w:rsidRDefault="009E2B77" w:rsidP="00AE698A">
      <w:pPr>
        <w:numPr>
          <w:ilvl w:val="0"/>
          <w:numId w:val="196"/>
        </w:numPr>
        <w:autoSpaceDE w:val="0"/>
        <w:autoSpaceDN w:val="0"/>
        <w:adjustRightInd w:val="0"/>
        <w:spacing w:before="240" w:line="240" w:lineRule="auto"/>
        <w:rPr>
          <w:rFonts w:ascii="Times New Roman" w:hAnsi="Times New Roman"/>
        </w:rPr>
      </w:pPr>
      <w:r w:rsidRPr="002D4EA3">
        <w:rPr>
          <w:rFonts w:ascii="Times New Roman" w:hAnsi="Times New Roman"/>
        </w:rPr>
        <w:t>on a reimbursable basis;</w:t>
      </w:r>
    </w:p>
    <w:p w14:paraId="1550ADC5" w14:textId="77777777" w:rsidR="009E2B77" w:rsidRPr="007D770B" w:rsidRDefault="009E2B77" w:rsidP="00AE698A">
      <w:pPr>
        <w:numPr>
          <w:ilvl w:val="0"/>
          <w:numId w:val="196"/>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on a pro bono basis;</w:t>
      </w:r>
    </w:p>
    <w:p w14:paraId="532728D2" w14:textId="77777777" w:rsidR="009E2B77" w:rsidRPr="002D4EA3" w:rsidRDefault="009E2B77" w:rsidP="00AE698A">
      <w:pPr>
        <w:numPr>
          <w:ilvl w:val="0"/>
          <w:numId w:val="196"/>
        </w:numPr>
        <w:autoSpaceDE w:val="0"/>
        <w:autoSpaceDN w:val="0"/>
        <w:adjustRightInd w:val="0"/>
        <w:spacing w:before="240" w:line="240" w:lineRule="auto"/>
        <w:rPr>
          <w:rFonts w:ascii="Times New Roman" w:hAnsi="Times New Roman"/>
        </w:rPr>
      </w:pPr>
      <w:r w:rsidRPr="002D4EA3">
        <w:rPr>
          <w:rFonts w:ascii="Times New Roman" w:hAnsi="Times New Roman"/>
        </w:rPr>
        <w:t>under capital construction contracts;</w:t>
      </w:r>
    </w:p>
    <w:p w14:paraId="2055DA5B" w14:textId="77777777" w:rsidR="009E2B77" w:rsidRPr="007D770B" w:rsidRDefault="009E2B77" w:rsidP="00AE698A">
      <w:pPr>
        <w:numPr>
          <w:ilvl w:val="0"/>
          <w:numId w:val="196"/>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lastRenderedPageBreak/>
        <w:t>by means of capital construction carried out by economic method;</w:t>
      </w:r>
    </w:p>
    <w:p w14:paraId="18A69546" w14:textId="77777777" w:rsidR="009E2B77" w:rsidRPr="007D770B" w:rsidRDefault="009E2B77" w:rsidP="00AE698A">
      <w:pPr>
        <w:numPr>
          <w:ilvl w:val="0"/>
          <w:numId w:val="196"/>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as a contribution to the authorized capital;</w:t>
      </w:r>
    </w:p>
    <w:p w14:paraId="49B96B75" w14:textId="77777777" w:rsidR="009E2B77" w:rsidRPr="007D770B" w:rsidRDefault="009E2B77" w:rsidP="00AE698A">
      <w:pPr>
        <w:numPr>
          <w:ilvl w:val="0"/>
          <w:numId w:val="196"/>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in exchange for other assets.</w:t>
      </w:r>
    </w:p>
    <w:p w14:paraId="695C36DA" w14:textId="77777777" w:rsidR="009E2B77" w:rsidRPr="007D770B" w:rsidRDefault="009E2B77" w:rsidP="008E0F78">
      <w:pPr>
        <w:keepNext/>
        <w:autoSpaceDE w:val="0"/>
        <w:autoSpaceDN w:val="0"/>
        <w:adjustRightInd w:val="0"/>
        <w:spacing w:before="240" w:line="240" w:lineRule="auto"/>
        <w:ind w:left="0"/>
        <w:rPr>
          <w:rFonts w:ascii="Times New Roman" w:hAnsi="Times New Roman"/>
          <w:b/>
          <w:lang w:val="en-US"/>
        </w:rPr>
      </w:pPr>
      <w:r w:rsidRPr="007D770B">
        <w:rPr>
          <w:rFonts w:ascii="Times New Roman" w:hAnsi="Times New Roman"/>
          <w:b/>
          <w:bCs/>
          <w:lang w:val="en-US"/>
        </w:rPr>
        <w:t xml:space="preserve">Acquisition of </w:t>
      </w:r>
      <w:r w:rsidRPr="007D770B">
        <w:rPr>
          <w:rFonts w:ascii="Times New Roman" w:hAnsi="Times New Roman"/>
          <w:b/>
          <w:lang w:val="en-US"/>
        </w:rPr>
        <w:t>property, plant and equipment on a reimbursable basis</w:t>
      </w:r>
    </w:p>
    <w:p w14:paraId="11B130C0" w14:textId="77777777" w:rsidR="00805B2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 xml:space="preserve">The cost of an item of property, plant and equipment is its cash equivalent price at the date of recognition (net of any trade discounts granted by the seller). </w:t>
      </w:r>
    </w:p>
    <w:p w14:paraId="55A7EA46" w14:textId="77777777" w:rsidR="009E2B77" w:rsidRPr="007D770B" w:rsidRDefault="009E2B77" w:rsidP="00F96B17">
      <w:pPr>
        <w:autoSpaceDE w:val="0"/>
        <w:autoSpaceDN w:val="0"/>
        <w:adjustRightInd w:val="0"/>
        <w:spacing w:before="240" w:line="240" w:lineRule="auto"/>
        <w:ind w:left="0"/>
        <w:rPr>
          <w:rFonts w:ascii="Times New Roman" w:hAnsi="Times New Roman"/>
          <w:b/>
          <w:bCs/>
          <w:lang w:val="en-US"/>
        </w:rPr>
      </w:pPr>
      <w:r w:rsidRPr="007D770B">
        <w:rPr>
          <w:rFonts w:ascii="Times New Roman" w:hAnsi="Times New Roman"/>
          <w:b/>
          <w:bCs/>
          <w:lang w:val="en-US"/>
        </w:rPr>
        <w:t>Acquisition of fixed assets on a gratuitous basis</w:t>
      </w:r>
    </w:p>
    <w:p w14:paraId="25D365EF" w14:textId="77AC95F0"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 xml:space="preserve">Property, plant and equipment received as a result of gratuitous transfer (gift) are valued by </w:t>
      </w:r>
      <w:r w:rsidR="0025540A" w:rsidRPr="007D770B">
        <w:rPr>
          <w:rFonts w:ascii="Times New Roman" w:hAnsi="Times New Roman"/>
          <w:lang w:val="en-US"/>
        </w:rPr>
        <w:t xml:space="preserve">the Bank </w:t>
      </w:r>
      <w:r w:rsidRPr="007D770B">
        <w:rPr>
          <w:rFonts w:ascii="Times New Roman" w:hAnsi="Times New Roman"/>
          <w:lang w:val="en-US"/>
        </w:rPr>
        <w:t xml:space="preserve">at the fair </w:t>
      </w:r>
      <w:r w:rsidR="00020041" w:rsidRPr="007D770B">
        <w:rPr>
          <w:rFonts w:ascii="Times New Roman" w:hAnsi="Times New Roman"/>
          <w:lang w:val="en-US"/>
        </w:rPr>
        <w:t xml:space="preserve">value of the received </w:t>
      </w:r>
      <w:r w:rsidRPr="007D770B">
        <w:rPr>
          <w:rFonts w:ascii="Times New Roman" w:hAnsi="Times New Roman"/>
          <w:lang w:val="en-US"/>
        </w:rPr>
        <w:t xml:space="preserve">asset at the date of recognition in the accounting, determined by </w:t>
      </w:r>
      <w:r w:rsidR="0025540A" w:rsidRPr="007D770B">
        <w:rPr>
          <w:rFonts w:ascii="Times New Roman" w:hAnsi="Times New Roman"/>
          <w:lang w:val="en-US"/>
        </w:rPr>
        <w:t xml:space="preserve">the Commission </w:t>
      </w:r>
      <w:r w:rsidRPr="007D770B">
        <w:rPr>
          <w:rFonts w:ascii="Times New Roman" w:hAnsi="Times New Roman"/>
          <w:lang w:val="en-US"/>
        </w:rPr>
        <w:t>by expert judgment.</w:t>
      </w:r>
    </w:p>
    <w:p w14:paraId="39FA47E2" w14:textId="77777777" w:rsidR="009E2B77" w:rsidRPr="007D770B" w:rsidRDefault="009E2B77" w:rsidP="00F96B17">
      <w:pPr>
        <w:autoSpaceDE w:val="0"/>
        <w:autoSpaceDN w:val="0"/>
        <w:adjustRightInd w:val="0"/>
        <w:spacing w:before="240" w:line="240" w:lineRule="auto"/>
        <w:ind w:left="0"/>
        <w:rPr>
          <w:rFonts w:ascii="Times New Roman" w:hAnsi="Times New Roman"/>
          <w:b/>
          <w:bCs/>
          <w:lang w:val="en-US"/>
        </w:rPr>
      </w:pPr>
      <w:r w:rsidRPr="007D770B">
        <w:rPr>
          <w:rFonts w:ascii="Times New Roman" w:hAnsi="Times New Roman"/>
          <w:b/>
          <w:bCs/>
          <w:lang w:val="en-US"/>
        </w:rPr>
        <w:t>Acquisition of facilities under capital construction contracts</w:t>
      </w:r>
    </w:p>
    <w:p w14:paraId="51A47C92"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 xml:space="preserve">The </w:t>
      </w:r>
      <w:r w:rsidR="00F9744B" w:rsidRPr="007D770B">
        <w:rPr>
          <w:rFonts w:ascii="Times New Roman" w:hAnsi="Times New Roman"/>
          <w:lang w:val="en-US"/>
        </w:rPr>
        <w:t xml:space="preserve">Bank </w:t>
      </w:r>
      <w:r w:rsidRPr="007D770B">
        <w:rPr>
          <w:rFonts w:ascii="Times New Roman" w:hAnsi="Times New Roman"/>
          <w:lang w:val="en-US"/>
        </w:rPr>
        <w:t xml:space="preserve">carries out construction of property, plant and equipment and installation of equipment both in-house and with third-party contractors. </w:t>
      </w:r>
    </w:p>
    <w:p w14:paraId="2E4BD437"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 xml:space="preserve">In case of outsourcing under a construction contract, the initial cost of an item of property, plant and equipment is determined as the sum of the </w:t>
      </w:r>
      <w:r w:rsidR="00F9744B" w:rsidRPr="007D770B">
        <w:rPr>
          <w:rFonts w:ascii="Times New Roman" w:hAnsi="Times New Roman"/>
          <w:lang w:val="en-US"/>
        </w:rPr>
        <w:t xml:space="preserve">Bank's </w:t>
      </w:r>
      <w:r w:rsidRPr="007D770B">
        <w:rPr>
          <w:rFonts w:ascii="Times New Roman" w:hAnsi="Times New Roman"/>
          <w:lang w:val="en-US"/>
        </w:rPr>
        <w:t xml:space="preserve">actual costs incurred under construction contracts, excluding reimbursable taxes. When accounting for a construction contract (both long-term and short-term), interim certificates of work performed are signed; upon signing, the value of the certificate of work performed is recorded in construction in progress. Own materials transferred to contractors for construction and installation works are also included in the cost of capital construction projects. </w:t>
      </w:r>
    </w:p>
    <w:p w14:paraId="2E192064"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Costs incurred in the construction of property, plant and equipment by contract are recognized by reference to the stage of completion of the contract. However, only those contract costs that reflect work performed under the contract are included in costs incurred at the reporting date.</w:t>
      </w:r>
    </w:p>
    <w:p w14:paraId="764C2C0F" w14:textId="77777777" w:rsidR="00C8500B" w:rsidRPr="007D770B" w:rsidRDefault="00C8500B"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In determining the actual cost of acquisition/creation of an item of property, plant and equipment, account should also be taken of the principles set out elsewhere in these accounting policies.</w:t>
      </w:r>
    </w:p>
    <w:p w14:paraId="338AAA17" w14:textId="36D24E4B"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 xml:space="preserve">Upon completion of work under construction contracts and when an item of property, plant and equipment is available for use, capitalized costs in the Construction in Progress account are transferred to the appropriate group of property, plant and equipment. </w:t>
      </w:r>
    </w:p>
    <w:p w14:paraId="32ED292D" w14:textId="77777777" w:rsidR="009E2B77" w:rsidRPr="007D770B" w:rsidRDefault="009E2B77" w:rsidP="00F96B17">
      <w:pPr>
        <w:autoSpaceDE w:val="0"/>
        <w:autoSpaceDN w:val="0"/>
        <w:adjustRightInd w:val="0"/>
        <w:spacing w:before="240" w:line="240" w:lineRule="auto"/>
        <w:ind w:left="0"/>
        <w:rPr>
          <w:rFonts w:ascii="Times New Roman" w:hAnsi="Times New Roman"/>
          <w:b/>
          <w:bCs/>
          <w:lang w:val="en-US"/>
        </w:rPr>
      </w:pPr>
      <w:r w:rsidRPr="007D770B">
        <w:rPr>
          <w:rFonts w:ascii="Times New Roman" w:hAnsi="Times New Roman"/>
          <w:b/>
          <w:bCs/>
          <w:lang w:val="en-US"/>
        </w:rPr>
        <w:t>Receipt of property, plant and equipment as a contribution to charter capital</w:t>
      </w:r>
    </w:p>
    <w:p w14:paraId="4F517817"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 xml:space="preserve">The initial value of an item of property, plant and equipment as a contribution to the authorized capital is determined on the basis of its fair value determined by an expert at the date of contribution. The basis for making a contribution of property, plant and equipment as a contribution to the </w:t>
      </w:r>
      <w:r w:rsidR="00F9744B" w:rsidRPr="007D770B">
        <w:rPr>
          <w:rFonts w:ascii="Times New Roman" w:hAnsi="Times New Roman"/>
          <w:lang w:val="en-US"/>
        </w:rPr>
        <w:t xml:space="preserve">Bank's </w:t>
      </w:r>
      <w:r w:rsidRPr="007D770B">
        <w:rPr>
          <w:rFonts w:ascii="Times New Roman" w:hAnsi="Times New Roman"/>
          <w:lang w:val="en-US"/>
        </w:rPr>
        <w:t>authorized capital is a relevant resolution of the shareholder.</w:t>
      </w:r>
    </w:p>
    <w:p w14:paraId="0378F4E8" w14:textId="77777777" w:rsidR="009E2B77" w:rsidRPr="007D770B" w:rsidRDefault="009E2B77" w:rsidP="00F96B17">
      <w:pPr>
        <w:autoSpaceDE w:val="0"/>
        <w:autoSpaceDN w:val="0"/>
        <w:adjustRightInd w:val="0"/>
        <w:spacing w:before="240" w:line="240" w:lineRule="auto"/>
        <w:ind w:left="0"/>
        <w:rPr>
          <w:rFonts w:ascii="Times New Roman" w:hAnsi="Times New Roman"/>
          <w:b/>
          <w:bCs/>
          <w:lang w:val="en-US"/>
        </w:rPr>
      </w:pPr>
      <w:r w:rsidRPr="007D770B">
        <w:rPr>
          <w:rFonts w:ascii="Times New Roman" w:hAnsi="Times New Roman"/>
          <w:b/>
          <w:bCs/>
          <w:lang w:val="en-US"/>
        </w:rPr>
        <w:t>Other methods of acquisition of property, plant and equipment</w:t>
      </w:r>
    </w:p>
    <w:p w14:paraId="6C8BA156" w14:textId="5FD2C568" w:rsidR="00EB4392" w:rsidRPr="007D770B" w:rsidRDefault="009E2B77" w:rsidP="00EB4392">
      <w:pPr>
        <w:widowControl w:val="0"/>
        <w:tabs>
          <w:tab w:val="left" w:pos="0"/>
        </w:tabs>
        <w:spacing w:line="240" w:lineRule="auto"/>
        <w:ind w:left="0"/>
        <w:rPr>
          <w:rFonts w:ascii="Times New Roman" w:eastAsia="Times New Roman" w:hAnsi="Times New Roman"/>
          <w:i/>
          <w:snapToGrid w:val="0"/>
          <w:color w:val="3366FF"/>
          <w:szCs w:val="22"/>
          <w:lang w:val="en-US" w:eastAsia="ru-RU"/>
        </w:rPr>
      </w:pPr>
      <w:r w:rsidRPr="007D770B">
        <w:rPr>
          <w:rFonts w:ascii="Times New Roman" w:hAnsi="Times New Roman"/>
          <w:lang w:val="en-US"/>
        </w:rPr>
        <w:t xml:space="preserve">The initial cost of an asset acquired by the </w:t>
      </w:r>
      <w:r w:rsidR="00F9744B" w:rsidRPr="007D770B">
        <w:rPr>
          <w:rFonts w:ascii="Times New Roman" w:hAnsi="Times New Roman"/>
          <w:lang w:val="en-US"/>
        </w:rPr>
        <w:t xml:space="preserve">Bank </w:t>
      </w:r>
      <w:r w:rsidRPr="007D770B">
        <w:rPr>
          <w:rFonts w:ascii="Times New Roman" w:hAnsi="Times New Roman"/>
          <w:lang w:val="en-US"/>
        </w:rPr>
        <w:t xml:space="preserve">under a finance lease is determined in accordance with section </w:t>
      </w:r>
      <w:r w:rsidR="00387350" w:rsidRPr="007D770B">
        <w:rPr>
          <w:rFonts w:ascii="Times New Roman" w:hAnsi="Times New Roman"/>
          <w:lang w:val="en-US"/>
        </w:rPr>
        <w:t xml:space="preserve">12 </w:t>
      </w:r>
      <w:r w:rsidR="00802136" w:rsidRPr="007D770B">
        <w:rPr>
          <w:rFonts w:ascii="Times New Roman" w:hAnsi="Times New Roman"/>
          <w:lang w:val="en-US"/>
        </w:rPr>
        <w:t>"</w:t>
      </w:r>
      <w:r w:rsidRPr="007D770B">
        <w:rPr>
          <w:rFonts w:ascii="Times New Roman" w:hAnsi="Times New Roman"/>
          <w:lang w:val="en-US"/>
        </w:rPr>
        <w:t>Leases (</w:t>
      </w:r>
      <w:r w:rsidR="004160EC" w:rsidRPr="007D770B">
        <w:rPr>
          <w:rFonts w:ascii="Times New Roman" w:hAnsi="Times New Roman"/>
          <w:lang w:val="en-US"/>
        </w:rPr>
        <w:t>IFRS 16</w:t>
      </w:r>
      <w:r w:rsidRPr="007D770B">
        <w:rPr>
          <w:rFonts w:ascii="Times New Roman" w:hAnsi="Times New Roman"/>
          <w:lang w:val="en-US"/>
        </w:rPr>
        <w:t>)</w:t>
      </w:r>
      <w:r w:rsidR="00802136" w:rsidRPr="007D770B">
        <w:rPr>
          <w:rFonts w:ascii="Times New Roman" w:hAnsi="Times New Roman"/>
          <w:lang w:val="en-US"/>
        </w:rPr>
        <w:t xml:space="preserve">" </w:t>
      </w:r>
      <w:r w:rsidRPr="007D770B">
        <w:rPr>
          <w:rFonts w:ascii="Times New Roman" w:hAnsi="Times New Roman"/>
          <w:lang w:val="en-US"/>
        </w:rPr>
        <w:t xml:space="preserve">of Chapter 2. Property, plant and equipment received as a result of government grants are accounted for in accordance with </w:t>
      </w:r>
      <w:r w:rsidR="00387350" w:rsidRPr="007D770B">
        <w:rPr>
          <w:rFonts w:ascii="Times New Roman" w:hAnsi="Times New Roman"/>
          <w:lang w:val="en-US"/>
        </w:rPr>
        <w:t xml:space="preserve">IAS 20 </w:t>
      </w:r>
      <w:r w:rsidR="00802136" w:rsidRPr="007D770B">
        <w:rPr>
          <w:rFonts w:ascii="Times New Roman" w:hAnsi="Times New Roman"/>
          <w:lang w:val="en-US"/>
        </w:rPr>
        <w:t>"</w:t>
      </w:r>
      <w:r w:rsidRPr="007D770B">
        <w:rPr>
          <w:rFonts w:ascii="Times New Roman" w:hAnsi="Times New Roman"/>
          <w:lang w:val="en-US"/>
        </w:rPr>
        <w:t>Government Grants</w:t>
      </w:r>
      <w:r w:rsidR="00802136" w:rsidRPr="007D770B">
        <w:rPr>
          <w:rFonts w:ascii="Times New Roman" w:hAnsi="Times New Roman"/>
          <w:lang w:val="en-US"/>
        </w:rPr>
        <w:t>"</w:t>
      </w:r>
      <w:r w:rsidRPr="007D770B">
        <w:rPr>
          <w:rFonts w:ascii="Times New Roman" w:hAnsi="Times New Roman"/>
          <w:lang w:val="en-US"/>
        </w:rPr>
        <w:t xml:space="preserve">. </w:t>
      </w:r>
      <w:r w:rsidR="00EB4392" w:rsidRPr="007D770B">
        <w:rPr>
          <w:rFonts w:ascii="Times New Roman" w:eastAsia="Times New Roman" w:hAnsi="Times New Roman"/>
          <w:i/>
          <w:snapToGrid w:val="0"/>
          <w:color w:val="3366FF"/>
          <w:szCs w:val="22"/>
          <w:lang w:val="en-US" w:eastAsia="ru-RU"/>
        </w:rPr>
        <w:t xml:space="preserve">(Subparagraph "Other ways of acquisition of fixed assets" of item 1.4. was amended by the decision of the Board of Directors dated </w:t>
      </w:r>
      <w:r w:rsidR="00E31022" w:rsidRPr="007D770B">
        <w:rPr>
          <w:rFonts w:ascii="Times New Roman" w:eastAsia="Times New Roman" w:hAnsi="Times New Roman"/>
          <w:i/>
          <w:snapToGrid w:val="0"/>
          <w:color w:val="3366FF"/>
          <w:szCs w:val="22"/>
          <w:lang w:val="en-US" w:eastAsia="ru-RU"/>
        </w:rPr>
        <w:t>31.10.</w:t>
      </w:r>
      <w:r w:rsidR="00EB4392" w:rsidRPr="007D770B">
        <w:rPr>
          <w:rFonts w:ascii="Times New Roman" w:eastAsia="Times New Roman" w:hAnsi="Times New Roman"/>
          <w:i/>
          <w:snapToGrid w:val="0"/>
          <w:color w:val="3366FF"/>
          <w:szCs w:val="22"/>
          <w:lang w:val="en-US" w:eastAsia="ru-RU"/>
        </w:rPr>
        <w:t xml:space="preserve">2019 (Minutes No. </w:t>
      </w:r>
      <w:r w:rsidR="00E31022" w:rsidRPr="007D770B">
        <w:rPr>
          <w:rFonts w:ascii="Times New Roman" w:eastAsia="Times New Roman" w:hAnsi="Times New Roman"/>
          <w:i/>
          <w:snapToGrid w:val="0"/>
          <w:color w:val="3366FF"/>
          <w:szCs w:val="22"/>
          <w:lang w:val="en-US" w:eastAsia="ru-RU"/>
        </w:rPr>
        <w:t>13</w:t>
      </w:r>
      <w:r w:rsidR="00EB4392" w:rsidRPr="007D770B">
        <w:rPr>
          <w:rFonts w:ascii="Times New Roman" w:eastAsia="Times New Roman" w:hAnsi="Times New Roman"/>
          <w:i/>
          <w:snapToGrid w:val="0"/>
          <w:color w:val="3366FF"/>
          <w:szCs w:val="22"/>
          <w:lang w:val="en-US" w:eastAsia="ru-RU"/>
        </w:rPr>
        <w:t>)</w:t>
      </w:r>
    </w:p>
    <w:p w14:paraId="1ADCDFC1" w14:textId="77777777" w:rsidR="009E2B77" w:rsidRPr="007D770B" w:rsidRDefault="009E2B77" w:rsidP="00F96B17">
      <w:pPr>
        <w:autoSpaceDE w:val="0"/>
        <w:autoSpaceDN w:val="0"/>
        <w:adjustRightInd w:val="0"/>
        <w:spacing w:before="240" w:line="240" w:lineRule="auto"/>
        <w:ind w:left="0"/>
        <w:rPr>
          <w:rFonts w:ascii="Times New Roman" w:hAnsi="Times New Roman"/>
          <w:b/>
          <w:bCs/>
          <w:lang w:val="en-US"/>
        </w:rPr>
      </w:pPr>
      <w:r w:rsidRPr="007D770B">
        <w:rPr>
          <w:rFonts w:ascii="Times New Roman" w:hAnsi="Times New Roman"/>
          <w:b/>
          <w:bCs/>
          <w:lang w:val="en-US"/>
        </w:rPr>
        <w:t>The concept and criteria for attributing fixed assets to a single inventory item</w:t>
      </w:r>
    </w:p>
    <w:p w14:paraId="26809DCC" w14:textId="77777777" w:rsidR="009E2B77" w:rsidRPr="007D770B" w:rsidRDefault="009E2B77" w:rsidP="00AE698A">
      <w:pPr>
        <w:numPr>
          <w:ilvl w:val="0"/>
          <w:numId w:val="197"/>
        </w:numPr>
        <w:tabs>
          <w:tab w:val="left" w:pos="360"/>
        </w:tabs>
        <w:autoSpaceDE w:val="0"/>
        <w:autoSpaceDN w:val="0"/>
        <w:adjustRightInd w:val="0"/>
        <w:spacing w:before="240" w:line="240" w:lineRule="auto"/>
        <w:rPr>
          <w:rFonts w:ascii="Times New Roman" w:hAnsi="Times New Roman"/>
          <w:b/>
          <w:lang w:val="en-US"/>
        </w:rPr>
      </w:pPr>
      <w:r w:rsidRPr="007D770B">
        <w:rPr>
          <w:rFonts w:ascii="Times New Roman" w:hAnsi="Times New Roman"/>
          <w:lang w:val="en-US"/>
        </w:rPr>
        <w:t xml:space="preserve">The unit of accounting of fixed assets is an inventory object. </w:t>
      </w:r>
    </w:p>
    <w:p w14:paraId="2F3254CE" w14:textId="77777777" w:rsidR="009E2B77" w:rsidRPr="007D770B" w:rsidRDefault="009E2B77" w:rsidP="00AE698A">
      <w:pPr>
        <w:numPr>
          <w:ilvl w:val="0"/>
          <w:numId w:val="197"/>
        </w:numPr>
        <w:tabs>
          <w:tab w:val="left" w:pos="360"/>
        </w:tabs>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An inventory item of fixed assets is recognized as an object with all fixtures and fittings or a separate structurally isolated item designed to perform certain independent functions, or a separate complex of structurally articulated items that constitute a single unit and are designed to perform certain work.</w:t>
      </w:r>
    </w:p>
    <w:p w14:paraId="38EC376E" w14:textId="77777777" w:rsidR="009E2B77" w:rsidRPr="007D770B" w:rsidRDefault="009E2B77" w:rsidP="00AE698A">
      <w:pPr>
        <w:numPr>
          <w:ilvl w:val="0"/>
          <w:numId w:val="197"/>
        </w:numPr>
        <w:tabs>
          <w:tab w:val="left" w:pos="360"/>
        </w:tabs>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lastRenderedPageBreak/>
        <w:t>A complex of structurally articulated items is one or more items of the same or different purpose, having either common fixtures and accessories, or common control, or mounted on the same foundation, with the result that each item included in the complex can only perform its functions as part of the complex and not independently.</w:t>
      </w:r>
    </w:p>
    <w:p w14:paraId="59175392" w14:textId="77777777" w:rsidR="009E2B77" w:rsidRPr="007D770B" w:rsidRDefault="009E2B77" w:rsidP="00AE698A">
      <w:pPr>
        <w:numPr>
          <w:ilvl w:val="0"/>
          <w:numId w:val="197"/>
        </w:numPr>
        <w:tabs>
          <w:tab w:val="left" w:pos="360"/>
        </w:tabs>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Attribution of several facilities to one complex should be based on project documentation certified by technical experts.</w:t>
      </w:r>
    </w:p>
    <w:p w14:paraId="6EEDF55B" w14:textId="77777777" w:rsidR="009E2B77" w:rsidRPr="007D770B" w:rsidRDefault="009E2B77" w:rsidP="00AE698A">
      <w:pPr>
        <w:numPr>
          <w:ilvl w:val="0"/>
          <w:numId w:val="197"/>
        </w:numPr>
        <w:tabs>
          <w:tab w:val="left" w:pos="360"/>
        </w:tabs>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If the cost of individual items included in one inventory item is significant in relation to the cost of the inventory item as a whole (from 10% to 20%), the service life of individual items differs from the service life of the inventory item and requires a different depreciation method, such items are accounted for as separate components of the inventory item.</w:t>
      </w:r>
    </w:p>
    <w:p w14:paraId="39EAA4C9" w14:textId="77777777" w:rsidR="009E2B77" w:rsidRPr="007D770B" w:rsidRDefault="009E2B77" w:rsidP="00AE698A">
      <w:pPr>
        <w:numPr>
          <w:ilvl w:val="0"/>
          <w:numId w:val="197"/>
        </w:numPr>
        <w:tabs>
          <w:tab w:val="left" w:pos="360"/>
        </w:tabs>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 xml:space="preserve">If the recognition criteria for an item of property, plant and equipment are met, the cost incurred to replace or renew the component is accounted for as an acquisition of a separate asset and the residual value of the replaced component is derecognized. </w:t>
      </w:r>
    </w:p>
    <w:p w14:paraId="79C08F41" w14:textId="77777777" w:rsidR="009E2B77" w:rsidRPr="007D770B" w:rsidRDefault="009E2B77" w:rsidP="00AE698A">
      <w:pPr>
        <w:numPr>
          <w:ilvl w:val="0"/>
          <w:numId w:val="197"/>
        </w:numPr>
        <w:tabs>
          <w:tab w:val="left" w:pos="360"/>
        </w:tabs>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The current component is derecognized when it is replaced, regardless of whether it was depreciated separately or as part of an inventory item.</w:t>
      </w:r>
    </w:p>
    <w:p w14:paraId="6B44A174" w14:textId="77777777" w:rsidR="009E2B77" w:rsidRPr="007D770B" w:rsidRDefault="009E2B77" w:rsidP="00AE698A">
      <w:pPr>
        <w:numPr>
          <w:ilvl w:val="0"/>
          <w:numId w:val="197"/>
        </w:numPr>
        <w:tabs>
          <w:tab w:val="left" w:pos="360"/>
        </w:tabs>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The replacement of any of the component parts of a structurally articulated fixed asset that is not designated as a separate item is a repair and is therefore expensed.</w:t>
      </w:r>
    </w:p>
    <w:p w14:paraId="42F2CE42" w14:textId="4B50EEAA" w:rsidR="009E2B77" w:rsidRPr="007D770B" w:rsidRDefault="009E2B77" w:rsidP="00AE698A">
      <w:pPr>
        <w:numPr>
          <w:ilvl w:val="0"/>
          <w:numId w:val="197"/>
        </w:numPr>
        <w:tabs>
          <w:tab w:val="left" w:pos="360"/>
        </w:tabs>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 xml:space="preserve">Costs incurred in replacing or renewing part of an item of property, plant and equipment that meet the recognition criteria of an item of property, plant and equipment and result in an improvement (increase) in the originally accepted standard performance indicators (useful life, capacity, quality of use, etc.) of the item of property, plant and equipment are treated as reconstruction or modernization costs and are subject to capitalization. In this case, the costs incurred in replacing or renewing a part of an item of property, plant and equipment are accounted for as the acquisition of a new separate asset, and the carrying amount of the </w:t>
      </w:r>
      <w:r w:rsidR="00020041" w:rsidRPr="007D770B">
        <w:rPr>
          <w:rFonts w:ascii="Times New Roman" w:hAnsi="Times New Roman"/>
          <w:lang w:val="en-US"/>
        </w:rPr>
        <w:t xml:space="preserve">replaced </w:t>
      </w:r>
      <w:r w:rsidRPr="007D770B">
        <w:rPr>
          <w:rFonts w:ascii="Times New Roman" w:hAnsi="Times New Roman"/>
          <w:lang w:val="en-US"/>
        </w:rPr>
        <w:t>asset is written off.</w:t>
      </w:r>
    </w:p>
    <w:p w14:paraId="77DFA233" w14:textId="77777777" w:rsidR="009E2B77" w:rsidRPr="007D770B" w:rsidRDefault="009E2B77" w:rsidP="00AE698A">
      <w:pPr>
        <w:numPr>
          <w:ilvl w:val="0"/>
          <w:numId w:val="197"/>
        </w:numPr>
        <w:tabs>
          <w:tab w:val="left" w:pos="360"/>
        </w:tabs>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The components of an item of property, plant and equipment that form an emergency stock required to be held for the life of the item of property, plant and equipment are also accounted for within property, plant and equipment as an item of property, plant and equipment depreciated over the period corresponding to the frequency of renewal of the emergency stock. If the emergency stock is to be renewed more frequently than every 12 months, it is accounted for within current assets as inventories.</w:t>
      </w:r>
    </w:p>
    <w:p w14:paraId="595E71C4" w14:textId="77777777" w:rsidR="009E2B77" w:rsidRPr="007D770B" w:rsidRDefault="009E2B77" w:rsidP="00F96B17">
      <w:pPr>
        <w:autoSpaceDE w:val="0"/>
        <w:autoSpaceDN w:val="0"/>
        <w:adjustRightInd w:val="0"/>
        <w:spacing w:before="240" w:line="240" w:lineRule="auto"/>
        <w:ind w:left="0"/>
        <w:rPr>
          <w:rFonts w:ascii="Times New Roman" w:hAnsi="Times New Roman"/>
          <w:b/>
          <w:bCs/>
          <w:lang w:val="en-US"/>
        </w:rPr>
      </w:pPr>
      <w:r w:rsidRPr="007D770B">
        <w:rPr>
          <w:rFonts w:ascii="Times New Roman" w:hAnsi="Times New Roman"/>
          <w:b/>
          <w:bCs/>
          <w:lang w:val="en-US"/>
        </w:rPr>
        <w:t>Exchange of assets</w:t>
      </w:r>
    </w:p>
    <w:p w14:paraId="173F5422" w14:textId="177116B2"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 xml:space="preserve">The cost of an item of property, plant and equipment acquired in exchange for another asset is recognized as the fair value of the asset received, </w:t>
      </w:r>
      <w:r w:rsidR="00020041" w:rsidRPr="007D770B">
        <w:rPr>
          <w:rFonts w:ascii="Times New Roman" w:hAnsi="Times New Roman"/>
          <w:lang w:val="en-US"/>
        </w:rPr>
        <w:t>unless</w:t>
      </w:r>
      <w:r w:rsidRPr="007D770B">
        <w:rPr>
          <w:rFonts w:ascii="Times New Roman" w:hAnsi="Times New Roman"/>
          <w:lang w:val="en-US"/>
        </w:rPr>
        <w:t>:</w:t>
      </w:r>
    </w:p>
    <w:p w14:paraId="738B4D5A" w14:textId="77777777" w:rsidR="009E2B77" w:rsidRPr="007D770B" w:rsidRDefault="009E2B77" w:rsidP="00AE698A">
      <w:pPr>
        <w:numPr>
          <w:ilvl w:val="0"/>
          <w:numId w:val="198"/>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the exchange transaction has no commercial substance;</w:t>
      </w:r>
    </w:p>
    <w:p w14:paraId="42236DF5" w14:textId="77777777" w:rsidR="009E2B77" w:rsidRPr="007D770B" w:rsidRDefault="009E2B77" w:rsidP="00AE698A">
      <w:pPr>
        <w:numPr>
          <w:ilvl w:val="0"/>
          <w:numId w:val="198"/>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the fair value of neither the asset received nor the asset transferred can be measured reliably.</w:t>
      </w:r>
    </w:p>
    <w:p w14:paraId="643E1802"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 xml:space="preserve">The </w:t>
      </w:r>
      <w:r w:rsidR="00F9744B" w:rsidRPr="007D770B">
        <w:rPr>
          <w:rFonts w:ascii="Times New Roman" w:hAnsi="Times New Roman"/>
          <w:lang w:val="en-US"/>
        </w:rPr>
        <w:t xml:space="preserve">Bank </w:t>
      </w:r>
      <w:r w:rsidRPr="007D770B">
        <w:rPr>
          <w:rFonts w:ascii="Times New Roman" w:hAnsi="Times New Roman"/>
          <w:lang w:val="en-US"/>
        </w:rPr>
        <w:t>determines whether an exchange transaction has commercial substance by forecasting and comparing the expected future cash flows generated by the transferred and received items. An exchange transaction has a commercial basis if there is a significant difference between the forecasts for the items:</w:t>
      </w:r>
    </w:p>
    <w:p w14:paraId="3D2BF3EC" w14:textId="77777777" w:rsidR="009E2B77" w:rsidRPr="007D770B" w:rsidRDefault="009E2B77" w:rsidP="00AE698A">
      <w:pPr>
        <w:numPr>
          <w:ilvl w:val="0"/>
          <w:numId w:val="199"/>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The pattern (risks, timing and amount) of cash flows that may be derived from the use of the new asset differs from the pattern of cash flows that may be derived from the use of the transferred asset; or</w:t>
      </w:r>
    </w:p>
    <w:p w14:paraId="5A396D7D" w14:textId="77777777" w:rsidR="009E2B77" w:rsidRPr="007D770B" w:rsidRDefault="009E2B77" w:rsidP="00AE698A">
      <w:pPr>
        <w:numPr>
          <w:ilvl w:val="0"/>
          <w:numId w:val="199"/>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 xml:space="preserve">the net present value of the future cash flows that the </w:t>
      </w:r>
      <w:r w:rsidR="00F9744B" w:rsidRPr="007D770B">
        <w:rPr>
          <w:rFonts w:ascii="Times New Roman" w:hAnsi="Times New Roman"/>
          <w:lang w:val="en-US"/>
        </w:rPr>
        <w:t xml:space="preserve">Bank </w:t>
      </w:r>
      <w:r w:rsidRPr="007D770B">
        <w:rPr>
          <w:rFonts w:ascii="Times New Roman" w:hAnsi="Times New Roman"/>
          <w:lang w:val="en-US"/>
        </w:rPr>
        <w:t>expects to derive from the use and disposal of the asset, after tax, changes as a result of the exchange; and</w:t>
      </w:r>
    </w:p>
    <w:p w14:paraId="682A3C8F" w14:textId="77777777" w:rsidR="009E2B77" w:rsidRPr="007D770B" w:rsidRDefault="009E2B77" w:rsidP="00AE698A">
      <w:pPr>
        <w:numPr>
          <w:ilvl w:val="0"/>
          <w:numId w:val="199"/>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the difference arising from the above items is significant compared to the fair value of the assets being exchanged.</w:t>
      </w:r>
    </w:p>
    <w:p w14:paraId="37622639" w14:textId="1E8BC98E"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 xml:space="preserve">If the transaction passes the commercial substance test, the initial cost of the asset received is its fair value. The difference between the determined historical cost of the new asset and the carrying amount of the </w:t>
      </w:r>
      <w:r w:rsidR="00020041" w:rsidRPr="007D770B">
        <w:rPr>
          <w:rFonts w:ascii="Times New Roman" w:hAnsi="Times New Roman"/>
          <w:lang w:val="en-US"/>
        </w:rPr>
        <w:t xml:space="preserve">asset </w:t>
      </w:r>
      <w:r w:rsidRPr="007D770B">
        <w:rPr>
          <w:rFonts w:ascii="Times New Roman" w:hAnsi="Times New Roman"/>
          <w:lang w:val="en-US"/>
        </w:rPr>
        <w:t xml:space="preserve">transferred in </w:t>
      </w:r>
      <w:r w:rsidRPr="007D770B">
        <w:rPr>
          <w:rFonts w:ascii="Times New Roman" w:hAnsi="Times New Roman"/>
          <w:lang w:val="en-US"/>
        </w:rPr>
        <w:lastRenderedPageBreak/>
        <w:t xml:space="preserve">exchange for it </w:t>
      </w:r>
      <w:r w:rsidR="00020041" w:rsidRPr="007D770B">
        <w:rPr>
          <w:rFonts w:ascii="Times New Roman" w:hAnsi="Times New Roman"/>
          <w:lang w:val="en-US"/>
        </w:rPr>
        <w:t xml:space="preserve">forms the </w:t>
      </w:r>
      <w:r w:rsidRPr="007D770B">
        <w:rPr>
          <w:rFonts w:ascii="Times New Roman" w:hAnsi="Times New Roman"/>
          <w:lang w:val="en-US"/>
        </w:rPr>
        <w:t>gain or loss on the exchange transaction and is recognized in the statement of comprehensive income in the period in which it occurs.</w:t>
      </w:r>
    </w:p>
    <w:p w14:paraId="4B611E3D"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 xml:space="preserve">If the </w:t>
      </w:r>
      <w:r w:rsidR="00F9744B" w:rsidRPr="007D770B">
        <w:rPr>
          <w:rFonts w:ascii="Times New Roman" w:hAnsi="Times New Roman"/>
          <w:lang w:val="en-US"/>
        </w:rPr>
        <w:t xml:space="preserve">Bank </w:t>
      </w:r>
      <w:r w:rsidRPr="007D770B">
        <w:rPr>
          <w:rFonts w:ascii="Times New Roman" w:hAnsi="Times New Roman"/>
          <w:lang w:val="en-US"/>
        </w:rPr>
        <w:t xml:space="preserve">can reliably measure the fair value of an asset received or transferred, the fair value of the transferred asset is used to measure the fair value of the received asset, unless the fair value of the transferred asset is more evident. </w:t>
      </w:r>
    </w:p>
    <w:p w14:paraId="67D1F994"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If the exchange transaction has no commercial substance, or if neither the fair value of the asset received nor the fair value of the asset transferred can be measured reliably, the cost of the acquired item of property, plant and equipment is measured at the carrying amount of the transferred asset and no gain arises from the transaction.</w:t>
      </w:r>
    </w:p>
    <w:p w14:paraId="7D60806C"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b/>
          <w:lang w:val="en-US"/>
        </w:rPr>
        <w:t>Amortization</w:t>
      </w:r>
    </w:p>
    <w:p w14:paraId="7A2BB162"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 xml:space="preserve">The depreciable value of an item of property, plant and equipment shall be systematically written off over the useful life of the item of property, plant and equipment through depreciation. </w:t>
      </w:r>
    </w:p>
    <w:p w14:paraId="7940EA12" w14:textId="77777777" w:rsidR="00BF266F" w:rsidRPr="007D770B" w:rsidRDefault="00BF266F" w:rsidP="00BF266F">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 xml:space="preserve">The </w:t>
      </w:r>
      <w:r w:rsidR="00F9744B" w:rsidRPr="007D770B">
        <w:rPr>
          <w:rFonts w:ascii="Times New Roman" w:hAnsi="Times New Roman"/>
          <w:lang w:val="en-US"/>
        </w:rPr>
        <w:t xml:space="preserve">Bank </w:t>
      </w:r>
      <w:r w:rsidRPr="007D770B">
        <w:rPr>
          <w:rFonts w:ascii="Times New Roman" w:hAnsi="Times New Roman"/>
          <w:lang w:val="en-US"/>
        </w:rPr>
        <w:t xml:space="preserve">assumes that the economic benefits from the use of property, plant and equipment are consumed on a straight-line basis over the useful lives of the items and uses the straight-line method to depreciate property, plant and </w:t>
      </w:r>
      <w:r w:rsidR="003B51DE" w:rsidRPr="007D770B">
        <w:rPr>
          <w:rFonts w:ascii="Times New Roman" w:hAnsi="Times New Roman"/>
          <w:lang w:val="en-US"/>
        </w:rPr>
        <w:t>equipment</w:t>
      </w:r>
      <w:r w:rsidRPr="007D770B">
        <w:rPr>
          <w:rFonts w:ascii="Times New Roman" w:hAnsi="Times New Roman"/>
          <w:lang w:val="en-US"/>
        </w:rPr>
        <w:t>.</w:t>
      </w:r>
    </w:p>
    <w:p w14:paraId="4A609CEA" w14:textId="77777777" w:rsidR="00BF266F" w:rsidRPr="007D770B" w:rsidRDefault="00BF266F" w:rsidP="00BF266F">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The straight-line method of depreciation is used consistently from period to period unless there is a change in the pattern of consumption of the economic benefits expected to arise from the use of an item of property, plant and equipment.</w:t>
      </w:r>
    </w:p>
    <w:p w14:paraId="777097E5"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 xml:space="preserve">Depreciation of an item of property, plant and equipment begins when the item is ready for use, i.e. when it is in the location and condition necessary for it to be capable of operating at the capacity and for the purpose intended by the </w:t>
      </w:r>
      <w:r w:rsidR="00F9744B" w:rsidRPr="007D770B">
        <w:rPr>
          <w:rFonts w:ascii="Times New Roman" w:hAnsi="Times New Roman"/>
          <w:lang w:val="en-US"/>
        </w:rPr>
        <w:t xml:space="preserve">Bank's </w:t>
      </w:r>
      <w:r w:rsidRPr="007D770B">
        <w:rPr>
          <w:rFonts w:ascii="Times New Roman" w:hAnsi="Times New Roman"/>
          <w:lang w:val="en-US"/>
        </w:rPr>
        <w:t xml:space="preserve">management. </w:t>
      </w:r>
    </w:p>
    <w:p w14:paraId="358012B2"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The following factors are considered in determining the useful life of an asset:</w:t>
      </w:r>
    </w:p>
    <w:p w14:paraId="0D59FCBA" w14:textId="77777777" w:rsidR="009E2B77" w:rsidRPr="007D770B" w:rsidRDefault="009E2B77" w:rsidP="00AE698A">
      <w:pPr>
        <w:numPr>
          <w:ilvl w:val="0"/>
          <w:numId w:val="200"/>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the expected performance of the asset;</w:t>
      </w:r>
    </w:p>
    <w:p w14:paraId="504118AD" w14:textId="77777777" w:rsidR="009E2B77" w:rsidRPr="007D770B" w:rsidRDefault="009E2B77" w:rsidP="00AE698A">
      <w:pPr>
        <w:numPr>
          <w:ilvl w:val="0"/>
          <w:numId w:val="200"/>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expected physical wear and tear, depending on the mode of operation, repair program, natural conditions and influence of aggressive environment;</w:t>
      </w:r>
    </w:p>
    <w:p w14:paraId="6C5C8C06" w14:textId="77777777" w:rsidR="009E2B77" w:rsidRPr="007D770B" w:rsidRDefault="009E2B77" w:rsidP="00AE698A">
      <w:pPr>
        <w:numPr>
          <w:ilvl w:val="0"/>
          <w:numId w:val="200"/>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technical impairment arising due to changes in technology, changes in demand for products manufactured on this equipment;</w:t>
      </w:r>
    </w:p>
    <w:p w14:paraId="3574A097" w14:textId="77777777" w:rsidR="009E2B77" w:rsidRPr="007D770B" w:rsidRDefault="009E2B77" w:rsidP="00AE698A">
      <w:pPr>
        <w:pStyle w:val="aa"/>
        <w:numPr>
          <w:ilvl w:val="0"/>
          <w:numId w:val="200"/>
        </w:numPr>
        <w:autoSpaceDE w:val="0"/>
        <w:autoSpaceDN w:val="0"/>
        <w:adjustRightInd w:val="0"/>
        <w:spacing w:before="240" w:line="240" w:lineRule="auto"/>
        <w:contextualSpacing w:val="0"/>
        <w:rPr>
          <w:rFonts w:ascii="Times New Roman" w:hAnsi="Times New Roman"/>
          <w:lang w:val="en-US"/>
        </w:rPr>
      </w:pPr>
      <w:r w:rsidRPr="007D770B">
        <w:rPr>
          <w:rFonts w:ascii="Times New Roman" w:hAnsi="Times New Roman"/>
          <w:lang w:val="en-US"/>
        </w:rPr>
        <w:t xml:space="preserve">regulatory and other restrictions on the use of this facility. </w:t>
      </w:r>
    </w:p>
    <w:p w14:paraId="56419599" w14:textId="77777777" w:rsidR="009E2B77" w:rsidRPr="007D770B" w:rsidRDefault="009E2B77" w:rsidP="00F96B17">
      <w:pPr>
        <w:keepNext/>
        <w:autoSpaceDE w:val="0"/>
        <w:autoSpaceDN w:val="0"/>
        <w:adjustRightInd w:val="0"/>
        <w:spacing w:before="240" w:line="240" w:lineRule="auto"/>
        <w:ind w:left="-91"/>
        <w:rPr>
          <w:rFonts w:ascii="Times New Roman" w:hAnsi="Times New Roman"/>
          <w:lang w:val="en-US"/>
        </w:rPr>
      </w:pPr>
      <w:r w:rsidRPr="007D770B">
        <w:rPr>
          <w:rFonts w:ascii="Times New Roman" w:hAnsi="Times New Roman"/>
          <w:lang w:val="en-US"/>
        </w:rPr>
        <w:t xml:space="preserve">The </w:t>
      </w:r>
      <w:r w:rsidR="00F9744B" w:rsidRPr="007D770B">
        <w:rPr>
          <w:rFonts w:ascii="Times New Roman" w:hAnsi="Times New Roman"/>
          <w:lang w:val="en-US"/>
        </w:rPr>
        <w:t xml:space="preserve">Bank </w:t>
      </w:r>
      <w:r w:rsidRPr="007D770B">
        <w:rPr>
          <w:rFonts w:ascii="Times New Roman" w:hAnsi="Times New Roman"/>
          <w:lang w:val="en-US"/>
        </w:rPr>
        <w:t>uses the following useful lives in the preparation of the financial statements:</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050"/>
        <w:gridCol w:w="1952"/>
      </w:tblGrid>
      <w:tr w:rsidR="009E2B77" w:rsidRPr="002D4EA3" w14:paraId="3EC1034A" w14:textId="77777777" w:rsidTr="00771E3B">
        <w:tc>
          <w:tcPr>
            <w:tcW w:w="4050" w:type="dxa"/>
          </w:tcPr>
          <w:p w14:paraId="2D14F922" w14:textId="77777777" w:rsidR="009E2B77" w:rsidRPr="007D770B" w:rsidRDefault="009E2B77" w:rsidP="00696447">
            <w:pPr>
              <w:keepNext/>
              <w:autoSpaceDE w:val="0"/>
              <w:autoSpaceDN w:val="0"/>
              <w:adjustRightInd w:val="0"/>
              <w:spacing w:after="0" w:line="240" w:lineRule="auto"/>
              <w:ind w:left="0"/>
              <w:rPr>
                <w:rFonts w:ascii="Times New Roman" w:hAnsi="Times New Roman"/>
                <w:b/>
                <w:lang w:val="en-US"/>
              </w:rPr>
            </w:pPr>
          </w:p>
        </w:tc>
        <w:tc>
          <w:tcPr>
            <w:tcW w:w="1952" w:type="dxa"/>
          </w:tcPr>
          <w:p w14:paraId="18A64C12" w14:textId="77777777" w:rsidR="009E2B77" w:rsidRPr="002D4EA3" w:rsidRDefault="009E2B77" w:rsidP="00383B53">
            <w:pPr>
              <w:keepNext/>
              <w:autoSpaceDE w:val="0"/>
              <w:autoSpaceDN w:val="0"/>
              <w:adjustRightInd w:val="0"/>
              <w:spacing w:after="0" w:line="240" w:lineRule="auto"/>
              <w:ind w:left="0"/>
              <w:jc w:val="right"/>
              <w:rPr>
                <w:rFonts w:ascii="Times New Roman" w:hAnsi="Times New Roman"/>
                <w:b/>
              </w:rPr>
            </w:pPr>
            <w:r w:rsidRPr="002D4EA3">
              <w:rPr>
                <w:rFonts w:ascii="Times New Roman" w:hAnsi="Times New Roman"/>
                <w:b/>
              </w:rPr>
              <w:t>Years</w:t>
            </w:r>
          </w:p>
        </w:tc>
      </w:tr>
      <w:tr w:rsidR="00771E3B" w:rsidRPr="00771E3B" w14:paraId="6AE2B91F" w14:textId="77777777" w:rsidTr="00771E3B">
        <w:tc>
          <w:tcPr>
            <w:tcW w:w="4050" w:type="dxa"/>
          </w:tcPr>
          <w:p w14:paraId="0DA802EE" w14:textId="72D6C3B8" w:rsidR="00771E3B" w:rsidRPr="0038003A" w:rsidRDefault="0038003A" w:rsidP="00696447">
            <w:pPr>
              <w:keepNext/>
              <w:autoSpaceDE w:val="0"/>
              <w:autoSpaceDN w:val="0"/>
              <w:adjustRightInd w:val="0"/>
              <w:spacing w:after="0" w:line="240" w:lineRule="auto"/>
              <w:ind w:left="0"/>
              <w:rPr>
                <w:rFonts w:ascii="Times New Roman" w:hAnsi="Times New Roman"/>
                <w:lang w:val="en-US"/>
              </w:rPr>
            </w:pPr>
            <w:r>
              <w:rPr>
                <w:rFonts w:ascii="Times New Roman" w:hAnsi="Times New Roman"/>
                <w:lang w:val="en-US"/>
              </w:rPr>
              <w:t>Land</w:t>
            </w:r>
          </w:p>
        </w:tc>
        <w:tc>
          <w:tcPr>
            <w:tcW w:w="1952" w:type="dxa"/>
          </w:tcPr>
          <w:p w14:paraId="01851E29" w14:textId="77777777" w:rsidR="00771E3B" w:rsidRPr="00771E3B" w:rsidRDefault="00771E3B" w:rsidP="00383B53">
            <w:pPr>
              <w:keepNext/>
              <w:autoSpaceDE w:val="0"/>
              <w:autoSpaceDN w:val="0"/>
              <w:adjustRightInd w:val="0"/>
              <w:spacing w:after="0" w:line="240" w:lineRule="auto"/>
              <w:ind w:left="0"/>
              <w:jc w:val="right"/>
              <w:rPr>
                <w:rFonts w:ascii="Times New Roman" w:hAnsi="Times New Roman"/>
              </w:rPr>
            </w:pPr>
            <w:r>
              <w:rPr>
                <w:rFonts w:ascii="Times New Roman" w:hAnsi="Times New Roman"/>
              </w:rPr>
              <w:t>unamortized</w:t>
            </w:r>
          </w:p>
        </w:tc>
      </w:tr>
      <w:tr w:rsidR="009E2B77" w:rsidRPr="002D4EA3" w14:paraId="087EE959" w14:textId="77777777" w:rsidTr="00771E3B">
        <w:tc>
          <w:tcPr>
            <w:tcW w:w="4050" w:type="dxa"/>
          </w:tcPr>
          <w:p w14:paraId="16E4DD3E" w14:textId="77777777" w:rsidR="009E2B77" w:rsidRPr="002D4EA3" w:rsidRDefault="009E2B77" w:rsidP="00696447">
            <w:pPr>
              <w:autoSpaceDE w:val="0"/>
              <w:autoSpaceDN w:val="0"/>
              <w:adjustRightInd w:val="0"/>
              <w:spacing w:after="0" w:line="240" w:lineRule="auto"/>
              <w:ind w:left="0"/>
              <w:rPr>
                <w:rFonts w:ascii="Times New Roman" w:hAnsi="Times New Roman"/>
              </w:rPr>
            </w:pPr>
            <w:r w:rsidRPr="002D4EA3">
              <w:rPr>
                <w:rFonts w:ascii="Times New Roman" w:hAnsi="Times New Roman"/>
              </w:rPr>
              <w:t xml:space="preserve">Buildings </w:t>
            </w:r>
            <w:r w:rsidR="00A1079C" w:rsidRPr="002D4EA3">
              <w:rPr>
                <w:rFonts w:ascii="Times New Roman" w:hAnsi="Times New Roman"/>
              </w:rPr>
              <w:t>and structures</w:t>
            </w:r>
          </w:p>
        </w:tc>
        <w:tc>
          <w:tcPr>
            <w:tcW w:w="1952" w:type="dxa"/>
          </w:tcPr>
          <w:p w14:paraId="65083FA7" w14:textId="77777777" w:rsidR="009E2B77" w:rsidRPr="002D4EA3" w:rsidRDefault="00A1079C" w:rsidP="00383B53">
            <w:pPr>
              <w:autoSpaceDE w:val="0"/>
              <w:autoSpaceDN w:val="0"/>
              <w:adjustRightInd w:val="0"/>
              <w:spacing w:after="0" w:line="240" w:lineRule="auto"/>
              <w:ind w:left="0"/>
              <w:jc w:val="right"/>
              <w:rPr>
                <w:rFonts w:ascii="Times New Roman" w:hAnsi="Times New Roman"/>
              </w:rPr>
            </w:pPr>
            <w:r w:rsidRPr="002D4EA3">
              <w:rPr>
                <w:rFonts w:ascii="Times New Roman" w:hAnsi="Times New Roman"/>
              </w:rPr>
              <w:t xml:space="preserve">8-100 </w:t>
            </w:r>
            <w:r w:rsidR="009E2B77" w:rsidRPr="002D4EA3">
              <w:rPr>
                <w:rFonts w:ascii="Times New Roman" w:hAnsi="Times New Roman"/>
              </w:rPr>
              <w:t>years.</w:t>
            </w:r>
          </w:p>
        </w:tc>
      </w:tr>
      <w:tr w:rsidR="00771E3B" w:rsidRPr="002D4EA3" w14:paraId="4714D389" w14:textId="77777777" w:rsidTr="00771E3B">
        <w:tc>
          <w:tcPr>
            <w:tcW w:w="4050" w:type="dxa"/>
          </w:tcPr>
          <w:p w14:paraId="07CAC298" w14:textId="77777777" w:rsidR="00771E3B" w:rsidRPr="002D4EA3" w:rsidRDefault="00771E3B" w:rsidP="00696447">
            <w:pPr>
              <w:autoSpaceDE w:val="0"/>
              <w:autoSpaceDN w:val="0"/>
              <w:adjustRightInd w:val="0"/>
              <w:spacing w:after="0" w:line="240" w:lineRule="auto"/>
              <w:ind w:left="0"/>
              <w:rPr>
                <w:rFonts w:ascii="Times New Roman" w:hAnsi="Times New Roman"/>
              </w:rPr>
            </w:pPr>
            <w:r w:rsidRPr="00771E3B">
              <w:rPr>
                <w:rFonts w:ascii="Times New Roman" w:hAnsi="Times New Roman"/>
              </w:rPr>
              <w:t>Vehicles</w:t>
            </w:r>
          </w:p>
        </w:tc>
        <w:tc>
          <w:tcPr>
            <w:tcW w:w="1952" w:type="dxa"/>
          </w:tcPr>
          <w:p w14:paraId="0897EABC" w14:textId="77777777" w:rsidR="00771E3B" w:rsidRPr="002D4EA3" w:rsidRDefault="00771E3B" w:rsidP="00383B53">
            <w:pPr>
              <w:autoSpaceDE w:val="0"/>
              <w:autoSpaceDN w:val="0"/>
              <w:adjustRightInd w:val="0"/>
              <w:spacing w:after="0" w:line="240" w:lineRule="auto"/>
              <w:ind w:left="0"/>
              <w:jc w:val="right"/>
              <w:rPr>
                <w:rFonts w:ascii="Times New Roman" w:hAnsi="Times New Roman"/>
              </w:rPr>
            </w:pPr>
            <w:r>
              <w:rPr>
                <w:rFonts w:ascii="Times New Roman" w:hAnsi="Times New Roman"/>
              </w:rPr>
              <w:t>Ages 5-7</w:t>
            </w:r>
          </w:p>
        </w:tc>
      </w:tr>
      <w:tr w:rsidR="009E2B77" w:rsidRPr="002D4EA3" w14:paraId="7586CDF0" w14:textId="77777777" w:rsidTr="00771E3B">
        <w:tc>
          <w:tcPr>
            <w:tcW w:w="4050" w:type="dxa"/>
          </w:tcPr>
          <w:p w14:paraId="0504132D" w14:textId="77777777" w:rsidR="009E2B77" w:rsidRPr="002D4EA3" w:rsidRDefault="00A1079C" w:rsidP="00696447">
            <w:pPr>
              <w:autoSpaceDE w:val="0"/>
              <w:autoSpaceDN w:val="0"/>
              <w:adjustRightInd w:val="0"/>
              <w:spacing w:after="0" w:line="240" w:lineRule="auto"/>
              <w:ind w:left="0"/>
              <w:rPr>
                <w:rFonts w:ascii="Times New Roman" w:hAnsi="Times New Roman"/>
              </w:rPr>
            </w:pPr>
            <w:r w:rsidRPr="002D4EA3">
              <w:rPr>
                <w:rFonts w:ascii="Times New Roman" w:hAnsi="Times New Roman"/>
              </w:rPr>
              <w:t>Office and computer equipment</w:t>
            </w:r>
          </w:p>
        </w:tc>
        <w:tc>
          <w:tcPr>
            <w:tcW w:w="1952" w:type="dxa"/>
          </w:tcPr>
          <w:p w14:paraId="0860681D" w14:textId="77777777" w:rsidR="009E2B77" w:rsidRPr="002D4EA3" w:rsidRDefault="00A1079C" w:rsidP="00383B53">
            <w:pPr>
              <w:autoSpaceDE w:val="0"/>
              <w:autoSpaceDN w:val="0"/>
              <w:adjustRightInd w:val="0"/>
              <w:spacing w:after="0" w:line="240" w:lineRule="auto"/>
              <w:ind w:left="0"/>
              <w:jc w:val="right"/>
              <w:rPr>
                <w:rFonts w:ascii="Times New Roman" w:hAnsi="Times New Roman"/>
              </w:rPr>
            </w:pPr>
            <w:r w:rsidRPr="002D4EA3">
              <w:rPr>
                <w:rFonts w:ascii="Times New Roman" w:hAnsi="Times New Roman"/>
              </w:rPr>
              <w:t xml:space="preserve">2 - </w:t>
            </w:r>
            <w:r w:rsidR="009E2B77" w:rsidRPr="002D4EA3">
              <w:rPr>
                <w:rFonts w:ascii="Times New Roman" w:hAnsi="Times New Roman"/>
              </w:rPr>
              <w:t>10 years</w:t>
            </w:r>
          </w:p>
        </w:tc>
      </w:tr>
      <w:tr w:rsidR="009E2B77" w:rsidRPr="002D4EA3" w14:paraId="4EC8371B" w14:textId="77777777" w:rsidTr="00771E3B">
        <w:tc>
          <w:tcPr>
            <w:tcW w:w="4050" w:type="dxa"/>
          </w:tcPr>
          <w:p w14:paraId="4F97733D" w14:textId="77777777" w:rsidR="009E2B77" w:rsidRPr="002D4EA3" w:rsidRDefault="009E2B77" w:rsidP="00696447">
            <w:pPr>
              <w:autoSpaceDE w:val="0"/>
              <w:autoSpaceDN w:val="0"/>
              <w:adjustRightInd w:val="0"/>
              <w:spacing w:after="0" w:line="240" w:lineRule="auto"/>
              <w:ind w:left="0"/>
              <w:rPr>
                <w:rFonts w:ascii="Times New Roman" w:hAnsi="Times New Roman"/>
              </w:rPr>
            </w:pPr>
            <w:r w:rsidRPr="002D4EA3">
              <w:rPr>
                <w:rFonts w:ascii="Times New Roman" w:hAnsi="Times New Roman"/>
              </w:rPr>
              <w:t>Other</w:t>
            </w:r>
          </w:p>
        </w:tc>
        <w:tc>
          <w:tcPr>
            <w:tcW w:w="1952" w:type="dxa"/>
          </w:tcPr>
          <w:p w14:paraId="002CB92A" w14:textId="77777777" w:rsidR="009E2B77" w:rsidRPr="002D4EA3" w:rsidRDefault="00A1079C" w:rsidP="00383B53">
            <w:pPr>
              <w:autoSpaceDE w:val="0"/>
              <w:autoSpaceDN w:val="0"/>
              <w:adjustRightInd w:val="0"/>
              <w:spacing w:after="0" w:line="240" w:lineRule="auto"/>
              <w:ind w:left="0"/>
              <w:jc w:val="right"/>
              <w:rPr>
                <w:rFonts w:ascii="Times New Roman" w:hAnsi="Times New Roman"/>
              </w:rPr>
            </w:pPr>
            <w:r w:rsidRPr="002D4EA3">
              <w:rPr>
                <w:rFonts w:ascii="Times New Roman" w:hAnsi="Times New Roman"/>
              </w:rPr>
              <w:t xml:space="preserve">3 </w:t>
            </w:r>
            <w:r w:rsidR="009E2B77" w:rsidRPr="002D4EA3">
              <w:rPr>
                <w:rFonts w:ascii="Times New Roman" w:hAnsi="Times New Roman"/>
              </w:rPr>
              <w:t>- 20 years</w:t>
            </w:r>
          </w:p>
        </w:tc>
      </w:tr>
    </w:tbl>
    <w:p w14:paraId="71F6DF26"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In case of subsequent expenditures that improve the qualitative characteristics of a fixed asset beyond those originally expected (i.e., modernization, reconstruction, etc.), the useful life is revised.</w:t>
      </w:r>
    </w:p>
    <w:p w14:paraId="26DBA2F3" w14:textId="5504B823"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The useful life and residual value of an item of property, plant and equipment must be reviewed periodically at least at the end of each reporting period and, if the assumptions differ materially from previous estimates, the amount of the change must be adjusted as a change in accounting estimate in accordance with Chapter 1, Section 2, Changes in Accounting Policies, Estimates and Errors (IAS 8)</w:t>
      </w:r>
      <w:r w:rsidR="00802136" w:rsidRPr="007D770B">
        <w:rPr>
          <w:rFonts w:ascii="Times New Roman" w:hAnsi="Times New Roman"/>
          <w:lang w:val="en-US"/>
        </w:rPr>
        <w:t xml:space="preserve">, </w:t>
      </w:r>
      <w:r w:rsidRPr="007D770B">
        <w:rPr>
          <w:rFonts w:ascii="Times New Roman" w:hAnsi="Times New Roman"/>
          <w:lang w:val="en-US"/>
        </w:rPr>
        <w:t>i.e., the depreciation charge for the current month and all subsequent months is adjusted accordingly.</w:t>
      </w:r>
    </w:p>
    <w:p w14:paraId="53071EB7"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The calculation of depreciation in case of change (increase) of the initial cost is based on the book value of the object increased by the amount of subsequent costs. Depreciation is charged on the basis of the remaining revised useful life of the item of property, plant and equipment.</w:t>
      </w:r>
    </w:p>
    <w:p w14:paraId="53323589" w14:textId="77777777" w:rsidR="009E2B77" w:rsidRPr="007D770B" w:rsidRDefault="009E2B77" w:rsidP="00F96B17">
      <w:pPr>
        <w:autoSpaceDE w:val="0"/>
        <w:autoSpaceDN w:val="0"/>
        <w:adjustRightInd w:val="0"/>
        <w:spacing w:before="240" w:line="240" w:lineRule="auto"/>
        <w:ind w:left="0"/>
        <w:rPr>
          <w:rFonts w:ascii="Times New Roman" w:hAnsi="Times New Roman"/>
          <w:b/>
          <w:lang w:val="en-US"/>
        </w:rPr>
      </w:pPr>
      <w:r w:rsidRPr="007D770B">
        <w:rPr>
          <w:rFonts w:ascii="Times New Roman" w:hAnsi="Times New Roman"/>
          <w:lang w:val="en-US"/>
        </w:rPr>
        <w:lastRenderedPageBreak/>
        <w:t>Depreciation of fixed assets is accrued on a monthly basis starting from the 1st day of the month following the month in which the object was brought into a condition ready for use.</w:t>
      </w:r>
    </w:p>
    <w:p w14:paraId="483CA78E"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Depreciation on an item of property, plant and equipment ceases on the 1st day of the month following the month in which it is disposed of or transferred to an asset group held for sale.</w:t>
      </w:r>
    </w:p>
    <w:p w14:paraId="59F4C3CF"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Depreciation of property, plant and equipment that is idle for a long period of time or operating at a significant underutilization rate is not capitalized in work-in-progress but is charged to the cost of the period to which it relates and charged to general administrative expenses.</w:t>
      </w:r>
    </w:p>
    <w:p w14:paraId="1E08B225" w14:textId="77777777" w:rsidR="009E2B77" w:rsidRPr="007D770B" w:rsidRDefault="009E2B77" w:rsidP="00F96B17">
      <w:pPr>
        <w:pStyle w:val="Iauiue"/>
        <w:spacing w:before="240" w:after="240"/>
        <w:jc w:val="both"/>
        <w:rPr>
          <w:color w:val="FF0000"/>
          <w:sz w:val="20"/>
          <w:szCs w:val="20"/>
          <w:lang w:val="en-US"/>
        </w:rPr>
      </w:pPr>
      <w:r w:rsidRPr="007D770B">
        <w:rPr>
          <w:sz w:val="20"/>
          <w:szCs w:val="20"/>
          <w:lang w:val="en-US"/>
        </w:rPr>
        <w:t>Land is not a depreciable asset</w:t>
      </w:r>
    </w:p>
    <w:p w14:paraId="4EA6F607" w14:textId="77777777" w:rsidR="009E2B77" w:rsidRPr="007D770B" w:rsidRDefault="009E2B77" w:rsidP="00F96B17">
      <w:pPr>
        <w:autoSpaceDE w:val="0"/>
        <w:autoSpaceDN w:val="0"/>
        <w:adjustRightInd w:val="0"/>
        <w:spacing w:before="240" w:line="240" w:lineRule="auto"/>
        <w:ind w:left="0"/>
        <w:rPr>
          <w:rFonts w:ascii="Times New Roman" w:hAnsi="Times New Roman"/>
          <w:b/>
          <w:lang w:val="en-US"/>
        </w:rPr>
      </w:pPr>
      <w:r w:rsidRPr="007D770B">
        <w:rPr>
          <w:rFonts w:ascii="Times New Roman" w:hAnsi="Times New Roman"/>
          <w:b/>
          <w:lang w:val="en-US"/>
        </w:rPr>
        <w:t>Impairment</w:t>
      </w:r>
    </w:p>
    <w:p w14:paraId="76395A68"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 xml:space="preserve">The </w:t>
      </w:r>
      <w:r w:rsidR="00F9744B" w:rsidRPr="007D770B">
        <w:rPr>
          <w:rFonts w:ascii="Times New Roman" w:hAnsi="Times New Roman"/>
          <w:lang w:val="en-US"/>
        </w:rPr>
        <w:t xml:space="preserve">Bank </w:t>
      </w:r>
      <w:r w:rsidRPr="007D770B">
        <w:rPr>
          <w:rFonts w:ascii="Times New Roman" w:hAnsi="Times New Roman"/>
          <w:lang w:val="en-US"/>
        </w:rPr>
        <w:t xml:space="preserve">checks at each reporting date whether there is any indication that the value of property, plant and equipment may be impaired. If any such indication exists, the </w:t>
      </w:r>
      <w:r w:rsidR="00F9744B" w:rsidRPr="007D770B">
        <w:rPr>
          <w:rFonts w:ascii="Times New Roman" w:hAnsi="Times New Roman"/>
          <w:lang w:val="en-US"/>
        </w:rPr>
        <w:t xml:space="preserve">Bank </w:t>
      </w:r>
      <w:r w:rsidRPr="007D770B">
        <w:rPr>
          <w:rFonts w:ascii="Times New Roman" w:hAnsi="Times New Roman"/>
          <w:lang w:val="en-US"/>
        </w:rPr>
        <w:t>estimates the recoverable amount of the property, plant and equipment.</w:t>
      </w:r>
    </w:p>
    <w:p w14:paraId="114E4F41" w14:textId="238F57BF"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 xml:space="preserve">An impairment loss is required to be recognized when the carrying amount of an asset exceeds its recoverable amount. The recoverable amount is determined in accordance with the provisions of Section </w:t>
      </w:r>
      <w:r w:rsidR="000F12D6" w:rsidRPr="007D770B">
        <w:rPr>
          <w:rFonts w:ascii="Times New Roman" w:hAnsi="Times New Roman"/>
          <w:lang w:val="en-US"/>
        </w:rPr>
        <w:t xml:space="preserve">11 </w:t>
      </w:r>
      <w:r w:rsidRPr="007D770B">
        <w:rPr>
          <w:rFonts w:ascii="Times New Roman" w:hAnsi="Times New Roman"/>
          <w:lang w:val="en-US"/>
        </w:rPr>
        <w:t>Impairment of Assets (IAS 36) of Chapter 2.</w:t>
      </w:r>
    </w:p>
    <w:p w14:paraId="044333AE"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Impairment losses or reversals of previously recognized impairment losses on property, plant and equipment are recognized in the same line items in the statement of comprehensive income as depreciation expense on those property, plant and equipment.</w:t>
      </w:r>
    </w:p>
    <w:p w14:paraId="21223D21" w14:textId="6D7538A5" w:rsidR="001440EF" w:rsidRPr="007D770B" w:rsidRDefault="001440EF" w:rsidP="00F96B17">
      <w:pPr>
        <w:pStyle w:val="pnumbered"/>
        <w:spacing w:before="240" w:beforeAutospacing="0" w:after="240" w:afterAutospacing="0"/>
        <w:jc w:val="both"/>
        <w:rPr>
          <w:iCs/>
          <w:sz w:val="20"/>
          <w:szCs w:val="20"/>
          <w:lang w:val="en-US"/>
        </w:rPr>
      </w:pPr>
      <w:r w:rsidRPr="007D770B">
        <w:rPr>
          <w:iCs/>
          <w:sz w:val="20"/>
          <w:szCs w:val="20"/>
          <w:lang w:val="en-US"/>
        </w:rPr>
        <w:t xml:space="preserve">The procedure for impairment of property, plant and </w:t>
      </w:r>
      <w:r w:rsidR="00020041" w:rsidRPr="007D770B">
        <w:rPr>
          <w:iCs/>
          <w:sz w:val="20"/>
          <w:szCs w:val="20"/>
          <w:lang w:val="en-US"/>
        </w:rPr>
        <w:t xml:space="preserve">equipment </w:t>
      </w:r>
      <w:r w:rsidR="005035AE" w:rsidRPr="007D770B">
        <w:rPr>
          <w:iCs/>
          <w:sz w:val="20"/>
          <w:szCs w:val="20"/>
          <w:lang w:val="en-US"/>
        </w:rPr>
        <w:t xml:space="preserve">is regulated by the internal </w:t>
      </w:r>
      <w:r w:rsidRPr="007D770B">
        <w:rPr>
          <w:iCs/>
          <w:sz w:val="20"/>
          <w:szCs w:val="20"/>
          <w:lang w:val="en-US"/>
        </w:rPr>
        <w:t>document on administrative and business accounting.</w:t>
      </w:r>
    </w:p>
    <w:p w14:paraId="398FE731" w14:textId="77777777" w:rsidR="009E2B77" w:rsidRPr="007D770B" w:rsidRDefault="009E2B77" w:rsidP="00F96B17">
      <w:pPr>
        <w:autoSpaceDE w:val="0"/>
        <w:autoSpaceDN w:val="0"/>
        <w:adjustRightInd w:val="0"/>
        <w:spacing w:before="240" w:line="240" w:lineRule="auto"/>
        <w:ind w:left="0"/>
        <w:rPr>
          <w:rFonts w:ascii="Times New Roman" w:hAnsi="Times New Roman"/>
          <w:b/>
          <w:lang w:val="en-US"/>
        </w:rPr>
      </w:pPr>
      <w:r w:rsidRPr="007D770B">
        <w:rPr>
          <w:rFonts w:ascii="Times New Roman" w:hAnsi="Times New Roman"/>
          <w:b/>
          <w:lang w:val="en-US"/>
        </w:rPr>
        <w:t>Change in initial cost</w:t>
      </w:r>
    </w:p>
    <w:p w14:paraId="60A51239" w14:textId="77777777" w:rsidR="009E2B77" w:rsidRPr="007D770B" w:rsidRDefault="009E2B77" w:rsidP="00F96B17">
      <w:pPr>
        <w:autoSpaceDE w:val="0"/>
        <w:autoSpaceDN w:val="0"/>
        <w:adjustRightInd w:val="0"/>
        <w:spacing w:before="240" w:line="240" w:lineRule="auto"/>
        <w:ind w:left="0"/>
        <w:rPr>
          <w:rFonts w:ascii="Times New Roman" w:hAnsi="Times New Roman"/>
          <w:snapToGrid w:val="0"/>
          <w:lang w:val="en-US"/>
        </w:rPr>
      </w:pPr>
      <w:r w:rsidRPr="007D770B">
        <w:rPr>
          <w:rFonts w:ascii="Times New Roman" w:hAnsi="Times New Roman"/>
          <w:snapToGrid w:val="0"/>
          <w:lang w:val="en-US"/>
        </w:rPr>
        <w:t xml:space="preserve">Changes in the initial cost of fixed assets, at which they are taken into account, occur in cases of completion, retrofitting, reconstruction, modernization and partial liquidation of </w:t>
      </w:r>
      <w:r w:rsidRPr="007D770B">
        <w:rPr>
          <w:rFonts w:ascii="Times New Roman" w:hAnsi="Times New Roman"/>
          <w:lang w:val="en-US"/>
        </w:rPr>
        <w:t>fixed assets</w:t>
      </w:r>
      <w:r w:rsidRPr="007D770B">
        <w:rPr>
          <w:rFonts w:ascii="Times New Roman" w:hAnsi="Times New Roman"/>
          <w:snapToGrid w:val="0"/>
          <w:lang w:val="en-US"/>
        </w:rPr>
        <w:t xml:space="preserve">. </w:t>
      </w:r>
    </w:p>
    <w:p w14:paraId="37B9033A" w14:textId="77777777" w:rsidR="009E2B77" w:rsidRPr="007D770B" w:rsidRDefault="009E2B77" w:rsidP="00F96B17">
      <w:pPr>
        <w:autoSpaceDE w:val="0"/>
        <w:autoSpaceDN w:val="0"/>
        <w:adjustRightInd w:val="0"/>
        <w:spacing w:before="240" w:line="240" w:lineRule="auto"/>
        <w:ind w:left="0"/>
        <w:rPr>
          <w:rFonts w:ascii="Times New Roman" w:hAnsi="Times New Roman"/>
          <w:snapToGrid w:val="0"/>
          <w:lang w:val="en-US"/>
        </w:rPr>
      </w:pPr>
      <w:r w:rsidRPr="007D770B">
        <w:rPr>
          <w:rFonts w:ascii="Times New Roman" w:hAnsi="Times New Roman"/>
          <w:snapToGrid w:val="0"/>
          <w:lang w:val="en-US"/>
        </w:rPr>
        <w:t>As a general rule, costs that do not change the qualitative characteristics of items of property, plant and equipment should be charged as current period expenses. Such costs include, for example, the cost of repairing or maintaining items of property, plant and equipment in order to restore or maintain their normal operating performance.</w:t>
      </w:r>
    </w:p>
    <w:p w14:paraId="4FBD9ED6" w14:textId="77777777" w:rsidR="009E2B77" w:rsidRPr="007D770B" w:rsidRDefault="009E2B77" w:rsidP="00F96B17">
      <w:pPr>
        <w:autoSpaceDE w:val="0"/>
        <w:autoSpaceDN w:val="0"/>
        <w:adjustRightInd w:val="0"/>
        <w:spacing w:before="240" w:line="240" w:lineRule="auto"/>
        <w:ind w:left="0"/>
        <w:rPr>
          <w:rFonts w:ascii="Times New Roman" w:hAnsi="Times New Roman"/>
          <w:snapToGrid w:val="0"/>
          <w:lang w:val="en-US"/>
        </w:rPr>
      </w:pPr>
      <w:r w:rsidRPr="007D770B">
        <w:rPr>
          <w:rFonts w:ascii="Times New Roman" w:hAnsi="Times New Roman"/>
          <w:snapToGrid w:val="0"/>
          <w:lang w:val="en-US"/>
        </w:rPr>
        <w:t>The initial cost of the object should increase only those costs that improve (increase) the initially accepted standard performance indicators (useful life, capacity, quality of use, etc.) of the fixed asset.</w:t>
      </w:r>
    </w:p>
    <w:p w14:paraId="38835E9F" w14:textId="77777777" w:rsidR="009E2B77" w:rsidRPr="007D770B" w:rsidRDefault="009E2B77" w:rsidP="00F96B17">
      <w:pPr>
        <w:autoSpaceDE w:val="0"/>
        <w:autoSpaceDN w:val="0"/>
        <w:adjustRightInd w:val="0"/>
        <w:spacing w:before="240" w:line="240" w:lineRule="auto"/>
        <w:ind w:left="0"/>
        <w:rPr>
          <w:rFonts w:ascii="Times New Roman" w:hAnsi="Times New Roman"/>
          <w:b/>
          <w:lang w:val="en-US"/>
        </w:rPr>
      </w:pPr>
      <w:r w:rsidRPr="007D770B">
        <w:rPr>
          <w:rFonts w:ascii="Times New Roman" w:hAnsi="Times New Roman"/>
          <w:b/>
          <w:lang w:val="en-US"/>
        </w:rPr>
        <w:t>Derecognition</w:t>
      </w:r>
    </w:p>
    <w:p w14:paraId="22D1BC4D" w14:textId="77777777" w:rsidR="009E2B77" w:rsidRPr="007D770B" w:rsidRDefault="009E2B77" w:rsidP="00F96B17">
      <w:pPr>
        <w:autoSpaceDE w:val="0"/>
        <w:autoSpaceDN w:val="0"/>
        <w:adjustRightInd w:val="0"/>
        <w:spacing w:before="240" w:line="240" w:lineRule="auto"/>
        <w:ind w:left="0"/>
        <w:rPr>
          <w:rFonts w:ascii="Times New Roman" w:hAnsi="Times New Roman"/>
          <w:iCs/>
          <w:lang w:val="en-US"/>
        </w:rPr>
      </w:pPr>
      <w:r w:rsidRPr="007D770B">
        <w:rPr>
          <w:rFonts w:ascii="Times New Roman" w:hAnsi="Times New Roman"/>
          <w:iCs/>
          <w:lang w:val="en-US"/>
        </w:rPr>
        <w:t>The carrying amount of an item of property, plant and equipment is mandatorily derecognized:</w:t>
      </w:r>
    </w:p>
    <w:p w14:paraId="633194D6" w14:textId="77777777" w:rsidR="009E2B77" w:rsidRPr="002D4EA3" w:rsidRDefault="009E2B77" w:rsidP="00AE698A">
      <w:pPr>
        <w:numPr>
          <w:ilvl w:val="0"/>
          <w:numId w:val="201"/>
        </w:numPr>
        <w:autoSpaceDE w:val="0"/>
        <w:autoSpaceDN w:val="0"/>
        <w:adjustRightInd w:val="0"/>
        <w:spacing w:before="240" w:line="240" w:lineRule="auto"/>
        <w:rPr>
          <w:rFonts w:ascii="Times New Roman" w:hAnsi="Times New Roman"/>
          <w:iCs/>
        </w:rPr>
      </w:pPr>
      <w:r w:rsidRPr="002D4EA3">
        <w:rPr>
          <w:rFonts w:ascii="Times New Roman" w:hAnsi="Times New Roman"/>
          <w:iCs/>
        </w:rPr>
        <w:t>on disposal; or</w:t>
      </w:r>
    </w:p>
    <w:p w14:paraId="0027BECC" w14:textId="77777777" w:rsidR="009E2B77" w:rsidRPr="007D770B" w:rsidRDefault="009E2B77" w:rsidP="00AE698A">
      <w:pPr>
        <w:numPr>
          <w:ilvl w:val="0"/>
          <w:numId w:val="201"/>
        </w:numPr>
        <w:autoSpaceDE w:val="0"/>
        <w:autoSpaceDN w:val="0"/>
        <w:adjustRightInd w:val="0"/>
        <w:spacing w:before="240" w:line="240" w:lineRule="auto"/>
        <w:rPr>
          <w:rFonts w:ascii="Times New Roman" w:hAnsi="Times New Roman"/>
          <w:lang w:val="en-US"/>
        </w:rPr>
      </w:pPr>
      <w:r w:rsidRPr="007D770B">
        <w:rPr>
          <w:rFonts w:ascii="Times New Roman" w:hAnsi="Times New Roman"/>
          <w:iCs/>
          <w:lang w:val="en-US"/>
        </w:rPr>
        <w:t>when no future economic benefits are expected from its use or disposal.</w:t>
      </w:r>
    </w:p>
    <w:p w14:paraId="0FCF3E8D" w14:textId="77777777" w:rsidR="009E2B77" w:rsidRPr="007D770B" w:rsidRDefault="009E2B77" w:rsidP="00F96B17">
      <w:pPr>
        <w:autoSpaceDE w:val="0"/>
        <w:autoSpaceDN w:val="0"/>
        <w:adjustRightInd w:val="0"/>
        <w:spacing w:before="240" w:line="240" w:lineRule="auto"/>
        <w:ind w:left="0"/>
        <w:rPr>
          <w:rFonts w:ascii="Times New Roman" w:hAnsi="Times New Roman"/>
          <w:iCs/>
          <w:lang w:val="en-US"/>
        </w:rPr>
      </w:pPr>
      <w:r w:rsidRPr="007D770B">
        <w:rPr>
          <w:rFonts w:ascii="Times New Roman" w:hAnsi="Times New Roman"/>
          <w:iCs/>
          <w:lang w:val="en-US"/>
        </w:rPr>
        <w:t>The disposal of fixed assets takes place in cases of sale, gratuitous transfer, liquidation in case of accidents, natural disasters and other emergencies, transfer as a contribution to the authorized capital of other companies and in other cases.</w:t>
      </w:r>
    </w:p>
    <w:p w14:paraId="1C9F61AC" w14:textId="77777777" w:rsidR="009E2B77" w:rsidRPr="007D770B" w:rsidRDefault="009E2B77" w:rsidP="00F96B17">
      <w:pPr>
        <w:autoSpaceDE w:val="0"/>
        <w:autoSpaceDN w:val="0"/>
        <w:adjustRightInd w:val="0"/>
        <w:spacing w:before="240" w:line="240" w:lineRule="auto"/>
        <w:ind w:left="0"/>
        <w:rPr>
          <w:rFonts w:ascii="Times New Roman" w:hAnsi="Times New Roman"/>
          <w:iCs/>
          <w:lang w:val="en-US"/>
        </w:rPr>
      </w:pPr>
      <w:r w:rsidRPr="007D770B">
        <w:rPr>
          <w:rFonts w:ascii="Times New Roman" w:hAnsi="Times New Roman"/>
          <w:iCs/>
          <w:lang w:val="en-US"/>
        </w:rPr>
        <w:t xml:space="preserve">The financial result from the disposal or retirement of an item of property, plant and equipment is determined as the difference between the net disposal proceeds and the carrying amount of the item of property, </w:t>
      </w:r>
      <w:r w:rsidRPr="007D770B">
        <w:rPr>
          <w:rFonts w:ascii="Times New Roman" w:hAnsi="Times New Roman"/>
          <w:lang w:val="en-US"/>
        </w:rPr>
        <w:t>plant</w:t>
      </w:r>
      <w:r w:rsidRPr="007D770B">
        <w:rPr>
          <w:rFonts w:ascii="Times New Roman" w:hAnsi="Times New Roman"/>
          <w:iCs/>
          <w:lang w:val="en-US"/>
        </w:rPr>
        <w:t xml:space="preserve"> and equipment and is recognized as profit </w:t>
      </w:r>
      <w:r w:rsidR="0083752B" w:rsidRPr="007D770B">
        <w:rPr>
          <w:rFonts w:ascii="Times New Roman" w:hAnsi="Times New Roman"/>
          <w:iCs/>
          <w:lang w:val="en-US"/>
        </w:rPr>
        <w:t xml:space="preserve">or loss </w:t>
      </w:r>
      <w:r w:rsidRPr="007D770B">
        <w:rPr>
          <w:rFonts w:ascii="Times New Roman" w:hAnsi="Times New Roman"/>
          <w:iCs/>
          <w:lang w:val="en-US"/>
        </w:rPr>
        <w:t xml:space="preserve">on disposal of property, plant and equipment. </w:t>
      </w:r>
    </w:p>
    <w:p w14:paraId="2972B90B" w14:textId="77777777" w:rsidR="009E2B77" w:rsidRPr="002D4EA3" w:rsidRDefault="009E2B77" w:rsidP="00F96B17">
      <w:pPr>
        <w:autoSpaceDE w:val="0"/>
        <w:autoSpaceDN w:val="0"/>
        <w:adjustRightInd w:val="0"/>
        <w:spacing w:before="240" w:line="240" w:lineRule="auto"/>
        <w:ind w:left="0"/>
        <w:rPr>
          <w:rFonts w:ascii="Times New Roman" w:hAnsi="Times New Roman"/>
          <w:iCs/>
        </w:rPr>
      </w:pPr>
      <w:r w:rsidRPr="007D770B">
        <w:rPr>
          <w:rFonts w:ascii="Times New Roman" w:hAnsi="Times New Roman"/>
          <w:iCs/>
          <w:lang w:val="en-US"/>
        </w:rPr>
        <w:t xml:space="preserve">When transferring a fixed asset, the </w:t>
      </w:r>
      <w:r w:rsidR="00F9744B" w:rsidRPr="007D770B">
        <w:rPr>
          <w:rFonts w:ascii="Times New Roman" w:hAnsi="Times New Roman"/>
          <w:lang w:val="en-US"/>
        </w:rPr>
        <w:t xml:space="preserve">Bank </w:t>
      </w:r>
      <w:r w:rsidRPr="007D770B">
        <w:rPr>
          <w:rFonts w:ascii="Times New Roman" w:hAnsi="Times New Roman"/>
          <w:iCs/>
          <w:lang w:val="en-US"/>
        </w:rPr>
        <w:t xml:space="preserve">assesses the extent to which it retains the risks and rewards of ownership of the asset. </w:t>
      </w:r>
      <w:r w:rsidRPr="002D4EA3">
        <w:rPr>
          <w:rFonts w:ascii="Times New Roman" w:hAnsi="Times New Roman"/>
          <w:iCs/>
        </w:rPr>
        <w:t>In doing so:</w:t>
      </w:r>
    </w:p>
    <w:p w14:paraId="31319178" w14:textId="77777777" w:rsidR="009E2B77" w:rsidRPr="007D770B" w:rsidRDefault="009E2B77" w:rsidP="00AE698A">
      <w:pPr>
        <w:numPr>
          <w:ilvl w:val="0"/>
          <w:numId w:val="202"/>
        </w:numPr>
        <w:autoSpaceDE w:val="0"/>
        <w:autoSpaceDN w:val="0"/>
        <w:adjustRightInd w:val="0"/>
        <w:spacing w:before="240" w:line="240" w:lineRule="auto"/>
        <w:rPr>
          <w:rFonts w:ascii="Times New Roman" w:hAnsi="Times New Roman"/>
          <w:iCs/>
          <w:lang w:val="en-US"/>
        </w:rPr>
      </w:pPr>
      <w:r w:rsidRPr="007D770B">
        <w:rPr>
          <w:rFonts w:ascii="Times New Roman" w:hAnsi="Times New Roman"/>
          <w:iCs/>
          <w:lang w:val="en-US"/>
        </w:rPr>
        <w:lastRenderedPageBreak/>
        <w:t xml:space="preserve">in transfers of substantially all the risks and rewards of ownership of an asset, the </w:t>
      </w:r>
      <w:r w:rsidR="00F9744B" w:rsidRPr="007D770B">
        <w:rPr>
          <w:rFonts w:ascii="Times New Roman" w:hAnsi="Times New Roman"/>
          <w:lang w:val="en-US"/>
        </w:rPr>
        <w:t xml:space="preserve">Bank </w:t>
      </w:r>
      <w:r w:rsidRPr="007D770B">
        <w:rPr>
          <w:rFonts w:ascii="Times New Roman" w:hAnsi="Times New Roman"/>
          <w:iCs/>
          <w:lang w:val="en-US"/>
        </w:rPr>
        <w:t>recognizes the disposal and separately recognizes as an asset or liability any rights or obligations assumed in the transfer;</w:t>
      </w:r>
    </w:p>
    <w:p w14:paraId="55A68474" w14:textId="77777777" w:rsidR="009E2B77" w:rsidRPr="007D770B" w:rsidRDefault="009E2B77" w:rsidP="00AE698A">
      <w:pPr>
        <w:numPr>
          <w:ilvl w:val="0"/>
          <w:numId w:val="202"/>
        </w:numPr>
        <w:autoSpaceDE w:val="0"/>
        <w:autoSpaceDN w:val="0"/>
        <w:adjustRightInd w:val="0"/>
        <w:spacing w:before="240" w:line="240" w:lineRule="auto"/>
        <w:rPr>
          <w:rFonts w:ascii="Times New Roman" w:hAnsi="Times New Roman"/>
          <w:iCs/>
          <w:lang w:val="en-US"/>
        </w:rPr>
      </w:pPr>
      <w:r w:rsidRPr="007D770B">
        <w:rPr>
          <w:rFonts w:ascii="Times New Roman" w:hAnsi="Times New Roman"/>
          <w:iCs/>
          <w:lang w:val="en-US"/>
        </w:rPr>
        <w:t xml:space="preserve">if the </w:t>
      </w:r>
      <w:r w:rsidR="00F9744B" w:rsidRPr="007D770B">
        <w:rPr>
          <w:rFonts w:ascii="Times New Roman" w:hAnsi="Times New Roman"/>
          <w:lang w:val="en-US"/>
        </w:rPr>
        <w:t xml:space="preserve">Bank </w:t>
      </w:r>
      <w:r w:rsidRPr="007D770B">
        <w:rPr>
          <w:rFonts w:ascii="Times New Roman" w:hAnsi="Times New Roman"/>
          <w:iCs/>
          <w:lang w:val="en-US"/>
        </w:rPr>
        <w:t xml:space="preserve">continues to bear substantially all the risks and rewards of ownership of an asset, the </w:t>
      </w:r>
      <w:r w:rsidR="00F9744B" w:rsidRPr="007D770B">
        <w:rPr>
          <w:rFonts w:ascii="Times New Roman" w:hAnsi="Times New Roman"/>
          <w:lang w:val="en-US"/>
        </w:rPr>
        <w:t xml:space="preserve">Bank </w:t>
      </w:r>
      <w:r w:rsidRPr="007D770B">
        <w:rPr>
          <w:rFonts w:ascii="Times New Roman" w:hAnsi="Times New Roman"/>
          <w:iCs/>
          <w:lang w:val="en-US"/>
        </w:rPr>
        <w:t>does not recognize the disposal of the asset;</w:t>
      </w:r>
    </w:p>
    <w:p w14:paraId="70344A80" w14:textId="77777777" w:rsidR="009E2B77" w:rsidRPr="007D770B" w:rsidRDefault="009E2B77" w:rsidP="00AE698A">
      <w:pPr>
        <w:numPr>
          <w:ilvl w:val="0"/>
          <w:numId w:val="202"/>
        </w:numPr>
        <w:autoSpaceDE w:val="0"/>
        <w:autoSpaceDN w:val="0"/>
        <w:adjustRightInd w:val="0"/>
        <w:spacing w:before="240" w:line="240" w:lineRule="auto"/>
        <w:rPr>
          <w:rFonts w:ascii="Times New Roman" w:hAnsi="Times New Roman"/>
          <w:iCs/>
          <w:lang w:val="en-US"/>
        </w:rPr>
      </w:pPr>
      <w:r w:rsidRPr="007D770B">
        <w:rPr>
          <w:rFonts w:ascii="Times New Roman" w:hAnsi="Times New Roman"/>
          <w:iCs/>
          <w:lang w:val="en-US"/>
        </w:rPr>
        <w:t xml:space="preserve">if the </w:t>
      </w:r>
      <w:r w:rsidR="00F9744B" w:rsidRPr="007D770B">
        <w:rPr>
          <w:rFonts w:ascii="Times New Roman" w:hAnsi="Times New Roman"/>
          <w:lang w:val="en-US"/>
        </w:rPr>
        <w:t xml:space="preserve">Bank </w:t>
      </w:r>
      <w:r w:rsidRPr="007D770B">
        <w:rPr>
          <w:rFonts w:ascii="Times New Roman" w:hAnsi="Times New Roman"/>
          <w:iCs/>
          <w:lang w:val="en-US"/>
        </w:rPr>
        <w:t xml:space="preserve">does not transfer substantially all the risks and rewards of ownership of an asset, the extent of the </w:t>
      </w:r>
      <w:r w:rsidR="00F9744B" w:rsidRPr="007D770B">
        <w:rPr>
          <w:rFonts w:ascii="Times New Roman" w:hAnsi="Times New Roman"/>
          <w:lang w:val="en-US"/>
        </w:rPr>
        <w:t xml:space="preserve">Bank's </w:t>
      </w:r>
      <w:r w:rsidRPr="007D770B">
        <w:rPr>
          <w:rFonts w:ascii="Times New Roman" w:hAnsi="Times New Roman"/>
          <w:iCs/>
          <w:lang w:val="en-US"/>
        </w:rPr>
        <w:t xml:space="preserve">control over the item of property, plant and equipment is assessed; </w:t>
      </w:r>
    </w:p>
    <w:p w14:paraId="211B1414" w14:textId="77777777" w:rsidR="009E2B77" w:rsidRPr="007D770B" w:rsidRDefault="009E2B77" w:rsidP="00AE698A">
      <w:pPr>
        <w:numPr>
          <w:ilvl w:val="0"/>
          <w:numId w:val="202"/>
        </w:numPr>
        <w:autoSpaceDE w:val="0"/>
        <w:autoSpaceDN w:val="0"/>
        <w:adjustRightInd w:val="0"/>
        <w:spacing w:before="240" w:line="240" w:lineRule="auto"/>
        <w:rPr>
          <w:rFonts w:ascii="Times New Roman" w:hAnsi="Times New Roman"/>
          <w:b/>
          <w:lang w:val="en-US"/>
        </w:rPr>
      </w:pPr>
      <w:r w:rsidRPr="007D770B">
        <w:rPr>
          <w:rFonts w:ascii="Times New Roman" w:hAnsi="Times New Roman"/>
          <w:iCs/>
          <w:lang w:val="en-US"/>
        </w:rPr>
        <w:t xml:space="preserve">if control is retained by </w:t>
      </w:r>
      <w:r w:rsidR="00F9744B" w:rsidRPr="007D770B">
        <w:rPr>
          <w:rFonts w:ascii="Times New Roman" w:hAnsi="Times New Roman"/>
          <w:lang w:val="en-US"/>
        </w:rPr>
        <w:t>the Bank</w:t>
      </w:r>
      <w:r w:rsidRPr="007D770B">
        <w:rPr>
          <w:rFonts w:ascii="Times New Roman" w:hAnsi="Times New Roman"/>
          <w:iCs/>
          <w:lang w:val="en-US"/>
        </w:rPr>
        <w:t xml:space="preserve">, the </w:t>
      </w:r>
      <w:r w:rsidR="00F9744B" w:rsidRPr="007D770B">
        <w:rPr>
          <w:rFonts w:ascii="Times New Roman" w:hAnsi="Times New Roman"/>
          <w:lang w:val="en-US"/>
        </w:rPr>
        <w:t xml:space="preserve">Bank </w:t>
      </w:r>
      <w:r w:rsidRPr="007D770B">
        <w:rPr>
          <w:rFonts w:ascii="Times New Roman" w:hAnsi="Times New Roman"/>
          <w:iCs/>
          <w:lang w:val="en-US"/>
        </w:rPr>
        <w:t xml:space="preserve">recognizes the disposal and separately recognizes any rights or obligations transferred as an asset or liability. Where the </w:t>
      </w:r>
      <w:r w:rsidR="00F9744B" w:rsidRPr="007D770B">
        <w:rPr>
          <w:rFonts w:ascii="Times New Roman" w:hAnsi="Times New Roman"/>
          <w:lang w:val="en-US"/>
        </w:rPr>
        <w:t xml:space="preserve">Bank </w:t>
      </w:r>
      <w:r w:rsidR="00732C39" w:rsidRPr="007D770B">
        <w:rPr>
          <w:rFonts w:ascii="Times New Roman" w:hAnsi="Times New Roman"/>
          <w:iCs/>
          <w:lang w:val="en-US"/>
        </w:rPr>
        <w:t xml:space="preserve">has transferred </w:t>
      </w:r>
      <w:r w:rsidRPr="007D770B">
        <w:rPr>
          <w:rFonts w:ascii="Times New Roman" w:hAnsi="Times New Roman"/>
          <w:iCs/>
          <w:lang w:val="en-US"/>
        </w:rPr>
        <w:t xml:space="preserve">substantially all the benefits of ownership of an asset and substantially all the risks and rewards of ownership, the </w:t>
      </w:r>
      <w:r w:rsidR="00F9744B" w:rsidRPr="007D770B">
        <w:rPr>
          <w:rFonts w:ascii="Times New Roman" w:hAnsi="Times New Roman"/>
          <w:lang w:val="en-US"/>
        </w:rPr>
        <w:t>Bank</w:t>
      </w:r>
      <w:r w:rsidRPr="007D770B">
        <w:rPr>
          <w:rFonts w:ascii="Times New Roman" w:hAnsi="Times New Roman"/>
          <w:iCs/>
          <w:lang w:val="en-US"/>
        </w:rPr>
        <w:t xml:space="preserve"> continues to recognize the asset. </w:t>
      </w:r>
    </w:p>
    <w:p w14:paraId="26DDF53F" w14:textId="77777777" w:rsidR="009E2B77" w:rsidRPr="007D770B" w:rsidRDefault="009E2B77" w:rsidP="00F96B17">
      <w:pPr>
        <w:tabs>
          <w:tab w:val="left" w:pos="360"/>
        </w:tabs>
        <w:autoSpaceDE w:val="0"/>
        <w:autoSpaceDN w:val="0"/>
        <w:adjustRightInd w:val="0"/>
        <w:spacing w:before="240" w:line="240" w:lineRule="auto"/>
        <w:ind w:left="0"/>
        <w:rPr>
          <w:rFonts w:ascii="Times New Roman" w:hAnsi="Times New Roman"/>
          <w:b/>
          <w:lang w:val="en-US"/>
        </w:rPr>
      </w:pPr>
      <w:r w:rsidRPr="007D770B">
        <w:rPr>
          <w:rFonts w:ascii="Times New Roman" w:hAnsi="Times New Roman"/>
          <w:iCs/>
          <w:lang w:val="en-US"/>
        </w:rPr>
        <w:t xml:space="preserve">In cases where state registration of the transfer of ownership is required, it is necessary to pay attention to the terms in the contract, namely: </w:t>
      </w:r>
    </w:p>
    <w:p w14:paraId="2C162B49" w14:textId="77777777" w:rsidR="009E2B77" w:rsidRPr="007D770B" w:rsidRDefault="009E2B77" w:rsidP="00AE698A">
      <w:pPr>
        <w:pStyle w:val="aa"/>
        <w:numPr>
          <w:ilvl w:val="0"/>
          <w:numId w:val="253"/>
        </w:numPr>
        <w:tabs>
          <w:tab w:val="left" w:pos="360"/>
        </w:tabs>
        <w:autoSpaceDE w:val="0"/>
        <w:autoSpaceDN w:val="0"/>
        <w:adjustRightInd w:val="0"/>
        <w:spacing w:before="240" w:line="240" w:lineRule="auto"/>
        <w:contextualSpacing w:val="0"/>
        <w:rPr>
          <w:rFonts w:ascii="Times New Roman" w:hAnsi="Times New Roman"/>
          <w:iCs/>
          <w:lang w:val="en-US"/>
        </w:rPr>
      </w:pPr>
      <w:r w:rsidRPr="007D770B">
        <w:rPr>
          <w:rFonts w:ascii="Times New Roman" w:hAnsi="Times New Roman"/>
          <w:iCs/>
          <w:lang w:val="en-US"/>
        </w:rPr>
        <w:t>if substantially all the benefits and risks of ownership of an asset are transferred to the buyer at the time of signing the contract, the asset is derecognized at the date of transfer of the asset under the contract;</w:t>
      </w:r>
    </w:p>
    <w:p w14:paraId="6987483D" w14:textId="1ACD945D" w:rsidR="009E2B77" w:rsidRPr="007D770B" w:rsidRDefault="009E2B77" w:rsidP="00AE698A">
      <w:pPr>
        <w:pStyle w:val="aa"/>
        <w:numPr>
          <w:ilvl w:val="0"/>
          <w:numId w:val="253"/>
        </w:numPr>
        <w:tabs>
          <w:tab w:val="left" w:pos="360"/>
        </w:tabs>
        <w:spacing w:before="240" w:line="240" w:lineRule="auto"/>
        <w:contextualSpacing w:val="0"/>
        <w:rPr>
          <w:rFonts w:ascii="Times New Roman" w:hAnsi="Times New Roman"/>
          <w:iCs/>
          <w:lang w:val="en-US"/>
        </w:rPr>
      </w:pPr>
      <w:r w:rsidRPr="007D770B">
        <w:rPr>
          <w:rFonts w:ascii="Times New Roman" w:hAnsi="Times New Roman"/>
          <w:iCs/>
          <w:lang w:val="en-US"/>
        </w:rPr>
        <w:t xml:space="preserve">if the contract terms require that substantially all the risks associated with ownership of the </w:t>
      </w:r>
      <w:r w:rsidR="00020041" w:rsidRPr="007D770B">
        <w:rPr>
          <w:rFonts w:ascii="Times New Roman" w:hAnsi="Times New Roman"/>
          <w:iCs/>
          <w:lang w:val="en-US"/>
        </w:rPr>
        <w:t xml:space="preserve">asset </w:t>
      </w:r>
      <w:r w:rsidRPr="007D770B">
        <w:rPr>
          <w:rFonts w:ascii="Times New Roman" w:hAnsi="Times New Roman"/>
          <w:iCs/>
          <w:lang w:val="en-US"/>
        </w:rPr>
        <w:t>remain with the transferor until the transfer of ownership is registered with the state, in which case the asset is derecognized at the date of registration of the transfer of ownership.</w:t>
      </w:r>
    </w:p>
    <w:p w14:paraId="05EB3942" w14:textId="276C6974" w:rsidR="00C5532C" w:rsidRPr="007D770B" w:rsidRDefault="00C5532C" w:rsidP="00C5532C">
      <w:pPr>
        <w:tabs>
          <w:tab w:val="left" w:pos="360"/>
        </w:tabs>
        <w:autoSpaceDE w:val="0"/>
        <w:autoSpaceDN w:val="0"/>
        <w:adjustRightInd w:val="0"/>
        <w:spacing w:before="240" w:line="240" w:lineRule="auto"/>
        <w:ind w:left="0"/>
        <w:rPr>
          <w:rFonts w:ascii="Times New Roman" w:hAnsi="Times New Roman"/>
          <w:iCs/>
          <w:lang w:val="en-US"/>
        </w:rPr>
      </w:pPr>
      <w:r w:rsidRPr="007D770B">
        <w:rPr>
          <w:rFonts w:ascii="Times New Roman" w:hAnsi="Times New Roman"/>
          <w:iCs/>
          <w:lang w:val="en-US"/>
        </w:rPr>
        <w:t xml:space="preserve">If an item of property, plant and equipment is derecognized before its useful life, the amount of any under-depreciated </w:t>
      </w:r>
      <w:r w:rsidR="00020041" w:rsidRPr="007D770B">
        <w:rPr>
          <w:rFonts w:ascii="Times New Roman" w:hAnsi="Times New Roman"/>
          <w:iCs/>
          <w:lang w:val="en-US"/>
        </w:rPr>
        <w:t xml:space="preserve">part of the </w:t>
      </w:r>
      <w:r w:rsidRPr="007D770B">
        <w:rPr>
          <w:rFonts w:ascii="Times New Roman" w:hAnsi="Times New Roman"/>
          <w:iCs/>
          <w:lang w:val="en-US"/>
        </w:rPr>
        <w:t>asset is charged to the Bank's expenses upon derecognition.</w:t>
      </w:r>
    </w:p>
    <w:p w14:paraId="2C005E70" w14:textId="77777777" w:rsidR="00C5532C" w:rsidRPr="007D770B" w:rsidRDefault="00C5532C" w:rsidP="00C5532C">
      <w:pPr>
        <w:tabs>
          <w:tab w:val="left" w:pos="360"/>
        </w:tabs>
        <w:autoSpaceDE w:val="0"/>
        <w:autoSpaceDN w:val="0"/>
        <w:adjustRightInd w:val="0"/>
        <w:spacing w:before="240" w:line="240" w:lineRule="auto"/>
        <w:ind w:left="0"/>
        <w:rPr>
          <w:rFonts w:ascii="Times New Roman" w:hAnsi="Times New Roman"/>
          <w:iCs/>
          <w:lang w:val="en-US"/>
        </w:rPr>
      </w:pPr>
      <w:r w:rsidRPr="007D770B">
        <w:rPr>
          <w:rFonts w:ascii="Times New Roman" w:hAnsi="Times New Roman"/>
          <w:iCs/>
          <w:lang w:val="en-US"/>
        </w:rPr>
        <w:t xml:space="preserve">When an asset is disposed of through exchange, the carrying amount of the fixed asset is allocated to the cost of the receiving asset up to its market value. </w:t>
      </w:r>
    </w:p>
    <w:p w14:paraId="2533B0C7" w14:textId="77777777" w:rsidR="00C5532C" w:rsidRPr="007D770B" w:rsidRDefault="00C5532C" w:rsidP="00C5532C">
      <w:pPr>
        <w:tabs>
          <w:tab w:val="left" w:pos="360"/>
        </w:tabs>
        <w:autoSpaceDE w:val="0"/>
        <w:autoSpaceDN w:val="0"/>
        <w:adjustRightInd w:val="0"/>
        <w:spacing w:before="240" w:line="240" w:lineRule="auto"/>
        <w:ind w:left="0"/>
        <w:rPr>
          <w:rFonts w:ascii="Times New Roman" w:hAnsi="Times New Roman"/>
          <w:iCs/>
          <w:lang w:val="en-US"/>
        </w:rPr>
      </w:pPr>
      <w:r w:rsidRPr="007D770B">
        <w:rPr>
          <w:rFonts w:ascii="Times New Roman" w:hAnsi="Times New Roman"/>
          <w:iCs/>
          <w:lang w:val="en-US"/>
        </w:rPr>
        <w:t>Where the carrying amount of the transferred/received fixed asset exceeds the market value of the asset being transferred/received, transaction income/expense is recognized for the amount of the difference.</w:t>
      </w:r>
    </w:p>
    <w:p w14:paraId="39464DFD" w14:textId="287E723B" w:rsidR="005A1078" w:rsidRPr="007D770B" w:rsidRDefault="005A1078" w:rsidP="00C5532C">
      <w:pPr>
        <w:tabs>
          <w:tab w:val="left" w:pos="360"/>
        </w:tabs>
        <w:autoSpaceDE w:val="0"/>
        <w:autoSpaceDN w:val="0"/>
        <w:adjustRightInd w:val="0"/>
        <w:spacing w:before="240" w:line="240" w:lineRule="auto"/>
        <w:ind w:left="0"/>
        <w:rPr>
          <w:rFonts w:ascii="Times New Roman" w:hAnsi="Times New Roman"/>
          <w:b/>
          <w:iCs/>
          <w:lang w:val="en-US"/>
        </w:rPr>
      </w:pPr>
      <w:r w:rsidRPr="007D770B">
        <w:rPr>
          <w:rFonts w:ascii="Times New Roman" w:hAnsi="Times New Roman"/>
          <w:b/>
          <w:iCs/>
          <w:lang w:val="en-US"/>
        </w:rPr>
        <w:t xml:space="preserve">If the Bank decides to sell a fixed asset with zero carrying amount, the asset is not transferred to Non-current asset held for sale, but continues to be </w:t>
      </w:r>
      <w:r w:rsidR="00CD6114" w:rsidRPr="007D770B">
        <w:rPr>
          <w:rFonts w:ascii="Times New Roman" w:hAnsi="Times New Roman"/>
          <w:b/>
          <w:iCs/>
          <w:lang w:val="en-US"/>
        </w:rPr>
        <w:t>accounted</w:t>
      </w:r>
      <w:r w:rsidRPr="007D770B">
        <w:rPr>
          <w:rFonts w:ascii="Times New Roman" w:hAnsi="Times New Roman"/>
          <w:b/>
          <w:iCs/>
          <w:lang w:val="en-US"/>
        </w:rPr>
        <w:t xml:space="preserve"> for as a fixed asset</w:t>
      </w:r>
      <w:r w:rsidRPr="007D770B">
        <w:rPr>
          <w:rFonts w:ascii="Times New Roman" w:hAnsi="Times New Roman"/>
          <w:b/>
          <w:iCs/>
          <w:color w:val="FFFFFF" w:themeColor="background1"/>
          <w:lang w:val="en-US"/>
        </w:rPr>
        <w:t>.</w:t>
      </w:r>
    </w:p>
    <w:p w14:paraId="4B117DB6" w14:textId="65AC6B9C" w:rsidR="009E2B77" w:rsidRPr="007D770B" w:rsidRDefault="009E2B77" w:rsidP="00E61D21">
      <w:pPr>
        <w:pStyle w:val="3"/>
        <w:rPr>
          <w:lang w:val="en-US"/>
        </w:rPr>
      </w:pPr>
      <w:bookmarkStart w:id="77" w:name="_Toc251839476"/>
      <w:bookmarkStart w:id="78" w:name="_Toc271032462"/>
      <w:bookmarkStart w:id="79" w:name="_Toc168502023"/>
      <w:r w:rsidRPr="007D770B">
        <w:rPr>
          <w:lang w:val="en-US"/>
        </w:rPr>
        <w:t>1.5 Disclosure of information</w:t>
      </w:r>
      <w:bookmarkEnd w:id="77"/>
      <w:bookmarkEnd w:id="78"/>
      <w:bookmarkEnd w:id="79"/>
    </w:p>
    <w:p w14:paraId="79108A87" w14:textId="77777777" w:rsidR="009E2B77" w:rsidRPr="007D770B" w:rsidRDefault="009E2B77" w:rsidP="00F96B17">
      <w:pPr>
        <w:autoSpaceDE w:val="0"/>
        <w:autoSpaceDN w:val="0"/>
        <w:adjustRightInd w:val="0"/>
        <w:spacing w:before="240" w:line="240" w:lineRule="auto"/>
        <w:ind w:left="0"/>
        <w:rPr>
          <w:rFonts w:ascii="Times New Roman" w:hAnsi="Times New Roman"/>
          <w:iCs/>
          <w:lang w:val="en-US"/>
        </w:rPr>
      </w:pPr>
      <w:r w:rsidRPr="007D770B">
        <w:rPr>
          <w:rFonts w:ascii="Times New Roman" w:hAnsi="Times New Roman"/>
          <w:iCs/>
          <w:lang w:val="en-US"/>
        </w:rPr>
        <w:t xml:space="preserve">The financial statements of the </w:t>
      </w:r>
      <w:r w:rsidR="00F9744B" w:rsidRPr="007D770B">
        <w:rPr>
          <w:rFonts w:ascii="Times New Roman" w:hAnsi="Times New Roman"/>
          <w:lang w:val="en-US"/>
        </w:rPr>
        <w:t xml:space="preserve">Bank </w:t>
      </w:r>
      <w:r w:rsidRPr="007D770B">
        <w:rPr>
          <w:rFonts w:ascii="Times New Roman" w:hAnsi="Times New Roman"/>
          <w:iCs/>
          <w:lang w:val="en-US"/>
        </w:rPr>
        <w:t>shall contain the following information for each group of property, plant and equipment:</w:t>
      </w:r>
    </w:p>
    <w:p w14:paraId="0A9F4DF7" w14:textId="77777777" w:rsidR="009E2B77" w:rsidRPr="007D770B" w:rsidRDefault="009E2B77" w:rsidP="00AE698A">
      <w:pPr>
        <w:numPr>
          <w:ilvl w:val="0"/>
          <w:numId w:val="235"/>
        </w:numPr>
        <w:autoSpaceDE w:val="0"/>
        <w:autoSpaceDN w:val="0"/>
        <w:adjustRightInd w:val="0"/>
        <w:spacing w:before="240" w:line="240" w:lineRule="auto"/>
        <w:rPr>
          <w:rFonts w:ascii="Times New Roman" w:hAnsi="Times New Roman"/>
          <w:iCs/>
          <w:lang w:val="en-US"/>
        </w:rPr>
      </w:pPr>
      <w:r w:rsidRPr="007D770B">
        <w:rPr>
          <w:rFonts w:ascii="Times New Roman" w:hAnsi="Times New Roman"/>
          <w:iCs/>
          <w:lang w:val="en-US"/>
        </w:rPr>
        <w:t xml:space="preserve">how the carrying amount (cost less accumulated depreciation and impairment loss) is measured; </w:t>
      </w:r>
    </w:p>
    <w:p w14:paraId="1C7EA605" w14:textId="77777777" w:rsidR="009E2B77" w:rsidRPr="002D4EA3" w:rsidRDefault="009E2B77" w:rsidP="00AE698A">
      <w:pPr>
        <w:numPr>
          <w:ilvl w:val="0"/>
          <w:numId w:val="235"/>
        </w:numPr>
        <w:autoSpaceDE w:val="0"/>
        <w:autoSpaceDN w:val="0"/>
        <w:adjustRightInd w:val="0"/>
        <w:spacing w:before="240" w:line="240" w:lineRule="auto"/>
        <w:rPr>
          <w:rFonts w:ascii="Times New Roman" w:hAnsi="Times New Roman"/>
          <w:iCs/>
        </w:rPr>
      </w:pPr>
      <w:r w:rsidRPr="002D4EA3">
        <w:rPr>
          <w:rFonts w:ascii="Times New Roman" w:hAnsi="Times New Roman"/>
          <w:iCs/>
        </w:rPr>
        <w:t xml:space="preserve">depreciation methods used; </w:t>
      </w:r>
    </w:p>
    <w:p w14:paraId="41B3C484" w14:textId="77777777" w:rsidR="009E2B77" w:rsidRPr="007D770B" w:rsidRDefault="009E2B77" w:rsidP="00AE698A">
      <w:pPr>
        <w:numPr>
          <w:ilvl w:val="0"/>
          <w:numId w:val="235"/>
        </w:numPr>
        <w:autoSpaceDE w:val="0"/>
        <w:autoSpaceDN w:val="0"/>
        <w:adjustRightInd w:val="0"/>
        <w:spacing w:before="240" w:line="240" w:lineRule="auto"/>
        <w:rPr>
          <w:rFonts w:ascii="Times New Roman" w:hAnsi="Times New Roman"/>
          <w:iCs/>
          <w:lang w:val="en-US"/>
        </w:rPr>
      </w:pPr>
      <w:r w:rsidRPr="007D770B">
        <w:rPr>
          <w:rFonts w:ascii="Times New Roman" w:hAnsi="Times New Roman"/>
          <w:iCs/>
          <w:lang w:val="en-US"/>
        </w:rPr>
        <w:t xml:space="preserve">applicable useful lives or depreciation rates; </w:t>
      </w:r>
    </w:p>
    <w:p w14:paraId="2886C65C" w14:textId="77777777" w:rsidR="009E2B77" w:rsidRPr="007D770B" w:rsidRDefault="009E2B77" w:rsidP="00AE698A">
      <w:pPr>
        <w:numPr>
          <w:ilvl w:val="0"/>
          <w:numId w:val="235"/>
        </w:numPr>
        <w:autoSpaceDE w:val="0"/>
        <w:autoSpaceDN w:val="0"/>
        <w:adjustRightInd w:val="0"/>
        <w:spacing w:before="240" w:line="240" w:lineRule="auto"/>
        <w:rPr>
          <w:rFonts w:ascii="Times New Roman" w:hAnsi="Times New Roman"/>
          <w:iCs/>
          <w:lang w:val="en-US"/>
        </w:rPr>
      </w:pPr>
      <w:r w:rsidRPr="007D770B">
        <w:rPr>
          <w:rFonts w:ascii="Times New Roman" w:hAnsi="Times New Roman"/>
          <w:iCs/>
          <w:lang w:val="en-US"/>
        </w:rPr>
        <w:t xml:space="preserve">historical cost and accumulated depreciation (together with accumulated impairment loss) of property, plant and equipment at the beginning and end of the reporting period; </w:t>
      </w:r>
    </w:p>
    <w:p w14:paraId="5574790F" w14:textId="77777777" w:rsidR="009E2B77" w:rsidRPr="007D770B" w:rsidRDefault="009E2B77" w:rsidP="00AE698A">
      <w:pPr>
        <w:numPr>
          <w:ilvl w:val="0"/>
          <w:numId w:val="235"/>
        </w:numPr>
        <w:autoSpaceDE w:val="0"/>
        <w:autoSpaceDN w:val="0"/>
        <w:adjustRightInd w:val="0"/>
        <w:spacing w:before="240" w:line="240" w:lineRule="auto"/>
        <w:rPr>
          <w:rFonts w:ascii="Times New Roman" w:hAnsi="Times New Roman"/>
          <w:iCs/>
          <w:lang w:val="en-US"/>
        </w:rPr>
      </w:pPr>
      <w:r w:rsidRPr="007D770B">
        <w:rPr>
          <w:rFonts w:ascii="Times New Roman" w:hAnsi="Times New Roman"/>
          <w:iCs/>
          <w:lang w:val="en-US"/>
        </w:rPr>
        <w:t>a reconciliation of the book value of fixed assets as at the beginning of the end of the relevant period, reflecting:</w:t>
      </w:r>
    </w:p>
    <w:p w14:paraId="705512C8" w14:textId="77777777" w:rsidR="009E2B77" w:rsidRPr="002D4EA3" w:rsidRDefault="009E2B77" w:rsidP="00913930">
      <w:pPr>
        <w:numPr>
          <w:ilvl w:val="1"/>
          <w:numId w:val="1"/>
        </w:numPr>
        <w:tabs>
          <w:tab w:val="left" w:pos="270"/>
        </w:tabs>
        <w:autoSpaceDE w:val="0"/>
        <w:autoSpaceDN w:val="0"/>
        <w:adjustRightInd w:val="0"/>
        <w:spacing w:before="240" w:line="240" w:lineRule="auto"/>
        <w:rPr>
          <w:rFonts w:ascii="Times New Roman" w:hAnsi="Times New Roman"/>
          <w:iCs/>
        </w:rPr>
      </w:pPr>
      <w:r w:rsidRPr="002D4EA3">
        <w:rPr>
          <w:rFonts w:ascii="Times New Roman" w:hAnsi="Times New Roman"/>
          <w:iCs/>
        </w:rPr>
        <w:t>receipts;</w:t>
      </w:r>
    </w:p>
    <w:p w14:paraId="0ABE76CC" w14:textId="77777777" w:rsidR="009E2B77" w:rsidRPr="007D770B" w:rsidRDefault="009E2B77" w:rsidP="00913930">
      <w:pPr>
        <w:numPr>
          <w:ilvl w:val="1"/>
          <w:numId w:val="1"/>
        </w:numPr>
        <w:tabs>
          <w:tab w:val="left" w:pos="270"/>
        </w:tabs>
        <w:autoSpaceDE w:val="0"/>
        <w:autoSpaceDN w:val="0"/>
        <w:adjustRightInd w:val="0"/>
        <w:spacing w:before="240" w:line="240" w:lineRule="auto"/>
        <w:rPr>
          <w:rFonts w:ascii="Times New Roman" w:hAnsi="Times New Roman"/>
          <w:iCs/>
          <w:lang w:val="en-US"/>
        </w:rPr>
      </w:pPr>
      <w:r w:rsidRPr="007D770B">
        <w:rPr>
          <w:rFonts w:ascii="Times New Roman" w:hAnsi="Times New Roman"/>
          <w:iCs/>
          <w:lang w:val="en-US"/>
        </w:rPr>
        <w:t>transfer to assets classified as held for sale;</w:t>
      </w:r>
    </w:p>
    <w:p w14:paraId="47E03891" w14:textId="77777777" w:rsidR="009E2B77" w:rsidRPr="002D4EA3" w:rsidRDefault="009E2B77" w:rsidP="00913930">
      <w:pPr>
        <w:numPr>
          <w:ilvl w:val="1"/>
          <w:numId w:val="1"/>
        </w:numPr>
        <w:tabs>
          <w:tab w:val="left" w:pos="270"/>
        </w:tabs>
        <w:autoSpaceDE w:val="0"/>
        <w:autoSpaceDN w:val="0"/>
        <w:adjustRightInd w:val="0"/>
        <w:spacing w:before="240" w:line="240" w:lineRule="auto"/>
        <w:rPr>
          <w:rFonts w:ascii="Times New Roman" w:hAnsi="Times New Roman"/>
          <w:iCs/>
        </w:rPr>
      </w:pPr>
      <w:r w:rsidRPr="002D4EA3">
        <w:rPr>
          <w:rFonts w:ascii="Times New Roman" w:hAnsi="Times New Roman"/>
          <w:iCs/>
        </w:rPr>
        <w:t>attrition;</w:t>
      </w:r>
    </w:p>
    <w:p w14:paraId="7FE6DEF3" w14:textId="77777777" w:rsidR="009E2B77" w:rsidRPr="002D4EA3" w:rsidRDefault="009E2B77" w:rsidP="00913930">
      <w:pPr>
        <w:numPr>
          <w:ilvl w:val="1"/>
          <w:numId w:val="1"/>
        </w:numPr>
        <w:tabs>
          <w:tab w:val="left" w:pos="270"/>
        </w:tabs>
        <w:autoSpaceDE w:val="0"/>
        <w:autoSpaceDN w:val="0"/>
        <w:adjustRightInd w:val="0"/>
        <w:spacing w:before="240" w:line="240" w:lineRule="auto"/>
        <w:rPr>
          <w:rFonts w:ascii="Times New Roman" w:hAnsi="Times New Roman"/>
          <w:iCs/>
        </w:rPr>
      </w:pPr>
      <w:r w:rsidRPr="002D4EA3">
        <w:rPr>
          <w:rFonts w:ascii="Times New Roman" w:hAnsi="Times New Roman"/>
          <w:iCs/>
        </w:rPr>
        <w:t>acquisitions through business combinations;</w:t>
      </w:r>
    </w:p>
    <w:p w14:paraId="57040D08" w14:textId="44B06495" w:rsidR="009E2B77" w:rsidRPr="007D770B" w:rsidRDefault="009E2B77" w:rsidP="00913930">
      <w:pPr>
        <w:numPr>
          <w:ilvl w:val="1"/>
          <w:numId w:val="1"/>
        </w:numPr>
        <w:tabs>
          <w:tab w:val="left" w:pos="270"/>
        </w:tabs>
        <w:autoSpaceDE w:val="0"/>
        <w:autoSpaceDN w:val="0"/>
        <w:adjustRightInd w:val="0"/>
        <w:spacing w:before="240" w:line="240" w:lineRule="auto"/>
        <w:rPr>
          <w:rFonts w:ascii="Times New Roman" w:hAnsi="Times New Roman"/>
          <w:iCs/>
          <w:lang w:val="en-US"/>
        </w:rPr>
      </w:pPr>
      <w:r w:rsidRPr="007D770B">
        <w:rPr>
          <w:rFonts w:ascii="Times New Roman" w:hAnsi="Times New Roman"/>
          <w:iCs/>
          <w:lang w:val="en-US"/>
        </w:rPr>
        <w:lastRenderedPageBreak/>
        <w:t xml:space="preserve">accrual / reversal of provision for impairment of property, plant and equipment recognized </w:t>
      </w:r>
      <w:r w:rsidR="00020041" w:rsidRPr="007D770B">
        <w:rPr>
          <w:rFonts w:ascii="Times New Roman" w:hAnsi="Times New Roman"/>
          <w:iCs/>
          <w:lang w:val="en-US"/>
        </w:rPr>
        <w:t xml:space="preserve">in the statement of </w:t>
      </w:r>
      <w:r w:rsidRPr="007D770B">
        <w:rPr>
          <w:rFonts w:ascii="Times New Roman" w:hAnsi="Times New Roman"/>
          <w:iCs/>
          <w:lang w:val="en-US"/>
        </w:rPr>
        <w:t>comprehensive income in the current period;</w:t>
      </w:r>
    </w:p>
    <w:p w14:paraId="5174D661" w14:textId="77777777" w:rsidR="009E2B77" w:rsidRPr="002D4EA3" w:rsidRDefault="009E2B77" w:rsidP="00913930">
      <w:pPr>
        <w:numPr>
          <w:ilvl w:val="1"/>
          <w:numId w:val="1"/>
        </w:numPr>
        <w:tabs>
          <w:tab w:val="left" w:pos="270"/>
        </w:tabs>
        <w:autoSpaceDE w:val="0"/>
        <w:autoSpaceDN w:val="0"/>
        <w:adjustRightInd w:val="0"/>
        <w:spacing w:before="240" w:line="240" w:lineRule="auto"/>
        <w:rPr>
          <w:rFonts w:ascii="Times New Roman" w:hAnsi="Times New Roman"/>
          <w:iCs/>
        </w:rPr>
      </w:pPr>
      <w:r w:rsidRPr="002D4EA3">
        <w:rPr>
          <w:rFonts w:ascii="Times New Roman" w:hAnsi="Times New Roman"/>
          <w:iCs/>
        </w:rPr>
        <w:t>amortization;</w:t>
      </w:r>
    </w:p>
    <w:p w14:paraId="0A51255A" w14:textId="77777777" w:rsidR="009E2B77" w:rsidRPr="007D770B" w:rsidRDefault="009E2B77" w:rsidP="00913930">
      <w:pPr>
        <w:numPr>
          <w:ilvl w:val="1"/>
          <w:numId w:val="1"/>
        </w:numPr>
        <w:tabs>
          <w:tab w:val="left" w:pos="270"/>
        </w:tabs>
        <w:autoSpaceDE w:val="0"/>
        <w:autoSpaceDN w:val="0"/>
        <w:adjustRightInd w:val="0"/>
        <w:spacing w:before="240" w:line="240" w:lineRule="auto"/>
        <w:rPr>
          <w:rFonts w:ascii="Times New Roman" w:hAnsi="Times New Roman"/>
          <w:iCs/>
          <w:lang w:val="en-US"/>
        </w:rPr>
      </w:pPr>
      <w:r w:rsidRPr="007D770B">
        <w:rPr>
          <w:rFonts w:ascii="Times New Roman" w:hAnsi="Times New Roman"/>
          <w:iCs/>
          <w:lang w:val="en-US"/>
        </w:rPr>
        <w:t>net exchange differences arising on translation to presentation currency;</w:t>
      </w:r>
    </w:p>
    <w:p w14:paraId="6612A690" w14:textId="77777777" w:rsidR="009E2B77" w:rsidRPr="002D4EA3" w:rsidRDefault="009E2B77" w:rsidP="00913930">
      <w:pPr>
        <w:numPr>
          <w:ilvl w:val="1"/>
          <w:numId w:val="1"/>
        </w:numPr>
        <w:tabs>
          <w:tab w:val="left" w:pos="270"/>
        </w:tabs>
        <w:autoSpaceDE w:val="0"/>
        <w:autoSpaceDN w:val="0"/>
        <w:adjustRightInd w:val="0"/>
        <w:spacing w:before="240" w:line="240" w:lineRule="auto"/>
        <w:rPr>
          <w:rFonts w:ascii="Times New Roman" w:hAnsi="Times New Roman"/>
          <w:iCs/>
        </w:rPr>
      </w:pPr>
      <w:r w:rsidRPr="002D4EA3">
        <w:rPr>
          <w:rFonts w:ascii="Times New Roman" w:hAnsi="Times New Roman"/>
          <w:iCs/>
        </w:rPr>
        <w:t xml:space="preserve">other changes. </w:t>
      </w:r>
    </w:p>
    <w:p w14:paraId="748CDD58" w14:textId="77777777" w:rsidR="009E2B77" w:rsidRPr="007D770B" w:rsidRDefault="009E2B77" w:rsidP="00F96B17">
      <w:pPr>
        <w:tabs>
          <w:tab w:val="left" w:pos="270"/>
        </w:tabs>
        <w:autoSpaceDE w:val="0"/>
        <w:autoSpaceDN w:val="0"/>
        <w:adjustRightInd w:val="0"/>
        <w:spacing w:before="240" w:line="240" w:lineRule="auto"/>
        <w:ind w:left="0"/>
        <w:rPr>
          <w:rFonts w:ascii="Times New Roman" w:hAnsi="Times New Roman"/>
          <w:iCs/>
          <w:lang w:val="en-US"/>
        </w:rPr>
      </w:pPr>
      <w:r w:rsidRPr="007D770B">
        <w:rPr>
          <w:rFonts w:ascii="Times New Roman" w:hAnsi="Times New Roman"/>
          <w:iCs/>
          <w:lang w:val="en-US"/>
        </w:rPr>
        <w:t>The financial statements must also disclose:</w:t>
      </w:r>
    </w:p>
    <w:p w14:paraId="5B145C8C" w14:textId="77777777" w:rsidR="009E2B77" w:rsidRPr="007D770B" w:rsidRDefault="009E2B77" w:rsidP="00AE698A">
      <w:pPr>
        <w:numPr>
          <w:ilvl w:val="0"/>
          <w:numId w:val="228"/>
        </w:numPr>
        <w:autoSpaceDE w:val="0"/>
        <w:autoSpaceDN w:val="0"/>
        <w:adjustRightInd w:val="0"/>
        <w:spacing w:before="240" w:line="240" w:lineRule="auto"/>
        <w:rPr>
          <w:rFonts w:ascii="Times New Roman" w:hAnsi="Times New Roman"/>
          <w:iCs/>
          <w:lang w:val="en-US"/>
        </w:rPr>
      </w:pPr>
      <w:r w:rsidRPr="007D770B">
        <w:rPr>
          <w:rFonts w:ascii="Times New Roman" w:hAnsi="Times New Roman"/>
          <w:iCs/>
          <w:lang w:val="en-US"/>
        </w:rPr>
        <w:t>the existence and amounts of restrictions on title and the value of property, plant and equipment pledged as security for liabilities;</w:t>
      </w:r>
    </w:p>
    <w:p w14:paraId="372F5022" w14:textId="77777777" w:rsidR="009E2B77" w:rsidRPr="007D770B" w:rsidRDefault="009E2B77" w:rsidP="00AE698A">
      <w:pPr>
        <w:numPr>
          <w:ilvl w:val="0"/>
          <w:numId w:val="228"/>
        </w:numPr>
        <w:autoSpaceDE w:val="0"/>
        <w:autoSpaceDN w:val="0"/>
        <w:adjustRightInd w:val="0"/>
        <w:spacing w:before="240" w:line="240" w:lineRule="auto"/>
        <w:rPr>
          <w:rFonts w:ascii="Times New Roman" w:hAnsi="Times New Roman"/>
          <w:iCs/>
          <w:lang w:val="en-US"/>
        </w:rPr>
      </w:pPr>
      <w:r w:rsidRPr="007D770B">
        <w:rPr>
          <w:rFonts w:ascii="Times New Roman" w:hAnsi="Times New Roman"/>
          <w:iCs/>
          <w:lang w:val="en-US"/>
        </w:rPr>
        <w:t>the amount of costs in capital construction in progress;</w:t>
      </w:r>
    </w:p>
    <w:p w14:paraId="2D220A0F" w14:textId="77777777" w:rsidR="009E2B77" w:rsidRPr="007D770B" w:rsidRDefault="009E2B77" w:rsidP="00AE698A">
      <w:pPr>
        <w:numPr>
          <w:ilvl w:val="0"/>
          <w:numId w:val="228"/>
        </w:numPr>
        <w:autoSpaceDE w:val="0"/>
        <w:autoSpaceDN w:val="0"/>
        <w:adjustRightInd w:val="0"/>
        <w:spacing w:before="240" w:line="240" w:lineRule="auto"/>
        <w:rPr>
          <w:rFonts w:ascii="Times New Roman" w:hAnsi="Times New Roman"/>
          <w:iCs/>
          <w:lang w:val="en-US"/>
        </w:rPr>
      </w:pPr>
      <w:r w:rsidRPr="007D770B">
        <w:rPr>
          <w:rFonts w:ascii="Times New Roman" w:hAnsi="Times New Roman"/>
          <w:iCs/>
          <w:lang w:val="en-US"/>
        </w:rPr>
        <w:t>the amount of liabilities under concluded contracts for the acquisition of fixed assets, the term of fulfillment of obligations under which relates to future reporting periods;</w:t>
      </w:r>
    </w:p>
    <w:p w14:paraId="0DE8B5E6" w14:textId="742D966F" w:rsidR="009E2B77" w:rsidRPr="007D770B" w:rsidRDefault="009E2B77" w:rsidP="00AE698A">
      <w:pPr>
        <w:numPr>
          <w:ilvl w:val="0"/>
          <w:numId w:val="228"/>
        </w:numPr>
        <w:autoSpaceDE w:val="0"/>
        <w:autoSpaceDN w:val="0"/>
        <w:adjustRightInd w:val="0"/>
        <w:spacing w:before="240" w:line="240" w:lineRule="auto"/>
        <w:rPr>
          <w:rFonts w:ascii="Times New Roman" w:hAnsi="Times New Roman"/>
          <w:iCs/>
          <w:lang w:val="en-US"/>
        </w:rPr>
      </w:pPr>
      <w:r w:rsidRPr="007D770B">
        <w:rPr>
          <w:rFonts w:ascii="Times New Roman" w:hAnsi="Times New Roman"/>
          <w:iCs/>
          <w:lang w:val="en-US"/>
        </w:rPr>
        <w:t>unless separately disclosed in the statement of comprehensive income, the amount of third party compensation for impaired and lost items of property, plant and equipment included in the statement of comprehensive income.</w:t>
      </w:r>
    </w:p>
    <w:p w14:paraId="3396E0DE" w14:textId="77777777" w:rsidR="009E2B77" w:rsidRPr="007D770B" w:rsidRDefault="009E2B77" w:rsidP="00F96B17">
      <w:pPr>
        <w:tabs>
          <w:tab w:val="left" w:pos="270"/>
        </w:tabs>
        <w:autoSpaceDE w:val="0"/>
        <w:autoSpaceDN w:val="0"/>
        <w:adjustRightInd w:val="0"/>
        <w:spacing w:before="240" w:line="240" w:lineRule="auto"/>
        <w:ind w:left="0"/>
        <w:rPr>
          <w:rFonts w:ascii="Times New Roman" w:hAnsi="Times New Roman"/>
          <w:iCs/>
          <w:lang w:val="en-US"/>
        </w:rPr>
      </w:pPr>
      <w:r w:rsidRPr="007D770B">
        <w:rPr>
          <w:rFonts w:ascii="Times New Roman" w:hAnsi="Times New Roman"/>
          <w:iCs/>
          <w:lang w:val="en-US"/>
        </w:rPr>
        <w:t>The following information is appropriate in the financial statements:</w:t>
      </w:r>
    </w:p>
    <w:p w14:paraId="3E3D73D9" w14:textId="77777777" w:rsidR="009E2B77" w:rsidRPr="007D770B" w:rsidRDefault="009E2B77" w:rsidP="00AE698A">
      <w:pPr>
        <w:numPr>
          <w:ilvl w:val="0"/>
          <w:numId w:val="229"/>
        </w:numPr>
        <w:autoSpaceDE w:val="0"/>
        <w:autoSpaceDN w:val="0"/>
        <w:adjustRightInd w:val="0"/>
        <w:spacing w:before="240" w:line="240" w:lineRule="auto"/>
        <w:rPr>
          <w:rFonts w:ascii="Times New Roman" w:hAnsi="Times New Roman"/>
          <w:iCs/>
          <w:lang w:val="en-US"/>
        </w:rPr>
      </w:pPr>
      <w:r w:rsidRPr="007D770B">
        <w:rPr>
          <w:rFonts w:ascii="Times New Roman" w:hAnsi="Times New Roman"/>
          <w:iCs/>
          <w:lang w:val="en-US"/>
        </w:rPr>
        <w:t>carrying value of temporarily idle fixed assets;</w:t>
      </w:r>
    </w:p>
    <w:p w14:paraId="56922572" w14:textId="77777777" w:rsidR="009E2B77" w:rsidRPr="007D770B" w:rsidRDefault="009E2B77" w:rsidP="00AE698A">
      <w:pPr>
        <w:numPr>
          <w:ilvl w:val="0"/>
          <w:numId w:val="229"/>
        </w:numPr>
        <w:autoSpaceDE w:val="0"/>
        <w:autoSpaceDN w:val="0"/>
        <w:adjustRightInd w:val="0"/>
        <w:spacing w:before="240" w:line="240" w:lineRule="auto"/>
        <w:rPr>
          <w:rFonts w:ascii="Times New Roman" w:hAnsi="Times New Roman"/>
          <w:iCs/>
          <w:lang w:val="en-US"/>
        </w:rPr>
      </w:pPr>
      <w:r w:rsidRPr="007D770B">
        <w:rPr>
          <w:rFonts w:ascii="Times New Roman" w:hAnsi="Times New Roman"/>
          <w:iCs/>
          <w:lang w:val="en-US"/>
        </w:rPr>
        <w:t>initial cost of fully depreciated fixed assets in use;</w:t>
      </w:r>
    </w:p>
    <w:p w14:paraId="3FB3698B" w14:textId="77777777" w:rsidR="00B40341" w:rsidRPr="007D770B" w:rsidRDefault="009E2B77" w:rsidP="00AE698A">
      <w:pPr>
        <w:numPr>
          <w:ilvl w:val="0"/>
          <w:numId w:val="229"/>
        </w:numPr>
        <w:autoSpaceDE w:val="0"/>
        <w:autoSpaceDN w:val="0"/>
        <w:adjustRightInd w:val="0"/>
        <w:spacing w:before="240" w:line="240" w:lineRule="auto"/>
        <w:rPr>
          <w:rFonts w:ascii="Times New Roman" w:hAnsi="Times New Roman"/>
          <w:iCs/>
          <w:lang w:val="en-US"/>
        </w:rPr>
      </w:pPr>
      <w:r w:rsidRPr="007D770B">
        <w:rPr>
          <w:rFonts w:ascii="Times New Roman" w:hAnsi="Times New Roman"/>
          <w:iCs/>
          <w:lang w:val="en-US"/>
        </w:rPr>
        <w:t xml:space="preserve">the carrying amount of property, </w:t>
      </w:r>
      <w:r w:rsidR="00B40341" w:rsidRPr="007D770B">
        <w:rPr>
          <w:rFonts w:ascii="Times New Roman" w:hAnsi="Times New Roman"/>
          <w:iCs/>
          <w:lang w:val="en-US"/>
        </w:rPr>
        <w:t>plant</w:t>
      </w:r>
      <w:r w:rsidRPr="007D770B">
        <w:rPr>
          <w:rFonts w:ascii="Times New Roman" w:hAnsi="Times New Roman"/>
          <w:iCs/>
          <w:lang w:val="en-US"/>
        </w:rPr>
        <w:t xml:space="preserve"> and equipment that are no longer in active use and have not been classified as held for sale.</w:t>
      </w:r>
    </w:p>
    <w:p w14:paraId="60E4DF3F" w14:textId="77777777" w:rsidR="00B40341" w:rsidRPr="007D770B" w:rsidRDefault="00B40341" w:rsidP="00B40341">
      <w:pPr>
        <w:autoSpaceDE w:val="0"/>
        <w:autoSpaceDN w:val="0"/>
        <w:adjustRightInd w:val="0"/>
        <w:spacing w:before="240" w:line="240" w:lineRule="auto"/>
        <w:ind w:left="360"/>
        <w:rPr>
          <w:rFonts w:ascii="Times New Roman" w:hAnsi="Times New Roman"/>
          <w:iCs/>
          <w:lang w:val="en-US"/>
        </w:rPr>
        <w:sectPr w:rsidR="00B40341" w:rsidRPr="007D770B" w:rsidSect="004C597B">
          <w:headerReference w:type="even" r:id="rId23"/>
          <w:headerReference w:type="default" r:id="rId24"/>
          <w:headerReference w:type="first" r:id="rId25"/>
          <w:pgSz w:w="11906" w:h="16838"/>
          <w:pgMar w:top="1134" w:right="850" w:bottom="1134" w:left="1701" w:header="720" w:footer="432" w:gutter="0"/>
          <w:cols w:space="720"/>
          <w:docGrid w:linePitch="360"/>
        </w:sectPr>
      </w:pPr>
    </w:p>
    <w:p w14:paraId="4755675A" w14:textId="77777777" w:rsidR="009E2B77" w:rsidRPr="007D770B" w:rsidRDefault="009E2B77" w:rsidP="009B369C">
      <w:pPr>
        <w:pStyle w:val="2"/>
        <w:keepNext w:val="0"/>
        <w:keepLines w:val="0"/>
        <w:pageBreakBefore/>
        <w:spacing w:before="240"/>
        <w:jc w:val="both"/>
        <w:rPr>
          <w:rFonts w:ascii="Times New Roman" w:hAnsi="Times New Roman"/>
          <w:szCs w:val="20"/>
          <w:lang w:val="en-US"/>
        </w:rPr>
      </w:pPr>
      <w:bookmarkStart w:id="80" w:name="_Toc168502024"/>
      <w:bookmarkStart w:id="81" w:name="OLE_LINK7"/>
      <w:bookmarkStart w:id="82" w:name="OLE_LINK8"/>
      <w:bookmarkStart w:id="83" w:name="_Toc270001416"/>
      <w:bookmarkStart w:id="84" w:name="_Toc249285595"/>
      <w:r w:rsidRPr="007D770B">
        <w:rPr>
          <w:rFonts w:ascii="Times New Roman" w:hAnsi="Times New Roman"/>
          <w:szCs w:val="20"/>
          <w:lang w:val="en-US"/>
        </w:rPr>
        <w:lastRenderedPageBreak/>
        <w:t>Section 2: Intangible Assets (IAS 38)</w:t>
      </w:r>
      <w:bookmarkEnd w:id="80"/>
    </w:p>
    <w:p w14:paraId="326ABE04" w14:textId="5CA3AFCC" w:rsidR="009E2B77" w:rsidRPr="007D770B" w:rsidRDefault="009E2B77" w:rsidP="00E61D21">
      <w:pPr>
        <w:pStyle w:val="3"/>
        <w:rPr>
          <w:lang w:val="en-US"/>
        </w:rPr>
      </w:pPr>
      <w:bookmarkStart w:id="85" w:name="_Toc168502025"/>
      <w:bookmarkEnd w:id="81"/>
      <w:bookmarkEnd w:id="82"/>
      <w:r w:rsidRPr="007D770B">
        <w:rPr>
          <w:lang w:val="en-US"/>
        </w:rPr>
        <w:t xml:space="preserve">2.1 General </w:t>
      </w:r>
      <w:bookmarkEnd w:id="83"/>
      <w:bookmarkEnd w:id="84"/>
      <w:bookmarkEnd w:id="85"/>
    </w:p>
    <w:p w14:paraId="44085C85" w14:textId="77777777" w:rsidR="009E2B77" w:rsidRPr="007D770B" w:rsidRDefault="009E2B77" w:rsidP="00F96B17">
      <w:pPr>
        <w:pStyle w:val="ABC-paragrahinNotes"/>
        <w:spacing w:before="240"/>
        <w:rPr>
          <w:rFonts w:ascii="Times New Roman" w:hAnsi="Times New Roman"/>
          <w:sz w:val="20"/>
          <w:lang w:val="en-US"/>
        </w:rPr>
      </w:pPr>
      <w:r w:rsidRPr="007D770B">
        <w:rPr>
          <w:rFonts w:ascii="Times New Roman" w:hAnsi="Times New Roman"/>
          <w:sz w:val="20"/>
          <w:lang w:val="en-US"/>
        </w:rPr>
        <w:t>On initial recognition, intangible assets acquired separately are carried at cost.</w:t>
      </w:r>
    </w:p>
    <w:p w14:paraId="0FD23595" w14:textId="24CA292C" w:rsidR="000D408B" w:rsidRPr="007D770B" w:rsidRDefault="000D408B" w:rsidP="000D408B">
      <w:pPr>
        <w:pStyle w:val="affff3"/>
        <w:ind w:right="48"/>
        <w:jc w:val="both"/>
        <w:rPr>
          <w:rFonts w:eastAsia="Calibri"/>
          <w:sz w:val="20"/>
          <w:szCs w:val="20"/>
          <w:lang w:val="en-US"/>
        </w:rPr>
      </w:pPr>
      <w:r w:rsidRPr="007D770B">
        <w:rPr>
          <w:rFonts w:eastAsia="Calibri"/>
          <w:sz w:val="20"/>
          <w:szCs w:val="20"/>
          <w:lang w:val="en-US"/>
        </w:rPr>
        <w:t xml:space="preserve">Acquisition and accounting of intangible assets is performed centrally on the balance sheet of the Bank's Central Office in whole tenge, in accordance with the Bank's </w:t>
      </w:r>
      <w:r w:rsidR="00020041" w:rsidRPr="007D770B">
        <w:rPr>
          <w:rFonts w:eastAsia="Calibri"/>
          <w:sz w:val="20"/>
          <w:szCs w:val="20"/>
          <w:lang w:val="en-US"/>
        </w:rPr>
        <w:t>internal documents</w:t>
      </w:r>
      <w:r w:rsidRPr="007D770B">
        <w:rPr>
          <w:rFonts w:eastAsia="Calibri"/>
          <w:sz w:val="20"/>
          <w:szCs w:val="20"/>
          <w:lang w:val="en-US"/>
        </w:rPr>
        <w:t>.</w:t>
      </w:r>
    </w:p>
    <w:p w14:paraId="0E5E51C0" w14:textId="77777777" w:rsidR="000434C7" w:rsidRPr="007D770B" w:rsidRDefault="009E2B77" w:rsidP="00F96B17">
      <w:pPr>
        <w:pStyle w:val="ABC-paragrahinNotes"/>
        <w:spacing w:before="240"/>
        <w:rPr>
          <w:rFonts w:ascii="Times New Roman" w:hAnsi="Times New Roman"/>
          <w:sz w:val="20"/>
          <w:lang w:val="en-US"/>
        </w:rPr>
      </w:pPr>
      <w:r w:rsidRPr="007D770B">
        <w:rPr>
          <w:rFonts w:ascii="Times New Roman" w:hAnsi="Times New Roman"/>
          <w:sz w:val="20"/>
          <w:lang w:val="en-US"/>
        </w:rPr>
        <w:t xml:space="preserve">The cost of intangible assets acquired in a business combination is the fair value at the date of acquisition. Subsequent to initial recognition, intangible assets are carried at cost less any accumulated amortization and any accumulated impairment loss.  Expenditure on intangible assets, excluding capitalized development costs, is not capitalized and the related expenditure is recognized in the statement of comprehensive income in the period in which the expenditure is incurred.  </w:t>
      </w:r>
    </w:p>
    <w:p w14:paraId="5372E434" w14:textId="258A0C86" w:rsidR="009E2B77" w:rsidRPr="007D770B" w:rsidRDefault="00020041" w:rsidP="00F96B17">
      <w:pPr>
        <w:pStyle w:val="ABC-paragrahinNotes"/>
        <w:spacing w:before="240"/>
        <w:rPr>
          <w:rFonts w:ascii="Times New Roman" w:hAnsi="Times New Roman"/>
          <w:sz w:val="20"/>
          <w:lang w:val="en-US"/>
        </w:rPr>
      </w:pPr>
      <w:r w:rsidRPr="007D770B">
        <w:rPr>
          <w:rFonts w:ascii="Times New Roman" w:hAnsi="Times New Roman"/>
          <w:sz w:val="20"/>
          <w:lang w:val="en-US"/>
        </w:rPr>
        <w:t xml:space="preserve">The </w:t>
      </w:r>
      <w:r w:rsidR="009E2B77" w:rsidRPr="007D770B">
        <w:rPr>
          <w:rFonts w:ascii="Times New Roman" w:hAnsi="Times New Roman"/>
          <w:sz w:val="20"/>
          <w:lang w:val="en-US"/>
        </w:rPr>
        <w:t xml:space="preserve">useful lives of intangible assets </w:t>
      </w:r>
      <w:r w:rsidRPr="007D770B">
        <w:rPr>
          <w:rFonts w:ascii="Times New Roman" w:hAnsi="Times New Roman"/>
          <w:sz w:val="20"/>
          <w:lang w:val="en-US"/>
        </w:rPr>
        <w:t xml:space="preserve">may be </w:t>
      </w:r>
      <w:r w:rsidR="009E2B77" w:rsidRPr="007D770B">
        <w:rPr>
          <w:rFonts w:ascii="Times New Roman" w:hAnsi="Times New Roman"/>
          <w:sz w:val="20"/>
          <w:lang w:val="en-US"/>
        </w:rPr>
        <w:t>finite or indefinite.  Intangible assets with finite useful lives are amortized over the useful life and assessed for impairment whenever there is an indication that the intangible asset may be impaired. The amortization period and amortization method for intangible assets with finite useful lives are reviewed at least at each financial year-end. Changes in the expected useful life or the expected amount of future economic benefits embodied in the intangible asset are accounted for by changing the amortization period and method, as appropriate, and are treated as changes in accounting estimates. Amortization expense on intangible assets with finite lives is recognized in the statement of comprehensive income as an expense in accordance with the intended use of the intangible asset. Intangible assets with indefinite useful lives are not amortized, but are tested for impairment annually</w:t>
      </w:r>
      <w:r w:rsidR="00005188" w:rsidRPr="007D770B">
        <w:rPr>
          <w:rFonts w:ascii="Times New Roman" w:hAnsi="Times New Roman"/>
          <w:sz w:val="20"/>
          <w:lang w:val="en-US"/>
        </w:rPr>
        <w:t xml:space="preserve">, </w:t>
      </w:r>
      <w:r w:rsidR="009E2B77" w:rsidRPr="007D770B">
        <w:rPr>
          <w:rFonts w:ascii="Times New Roman" w:hAnsi="Times New Roman"/>
          <w:sz w:val="20"/>
          <w:lang w:val="en-US"/>
        </w:rPr>
        <w:t>or whenever indicators of impairment exist and written down to their recoverable amounts, if appropriate.</w:t>
      </w:r>
    </w:p>
    <w:p w14:paraId="79A9743B" w14:textId="718B75AA" w:rsidR="009E2B77" w:rsidRPr="007D770B" w:rsidRDefault="009E2B77" w:rsidP="00E61D21">
      <w:pPr>
        <w:pStyle w:val="3"/>
        <w:rPr>
          <w:lang w:val="en-US"/>
        </w:rPr>
      </w:pPr>
      <w:bookmarkStart w:id="86" w:name="_Toc249285596"/>
      <w:bookmarkStart w:id="87" w:name="_Toc270001417"/>
      <w:bookmarkStart w:id="88" w:name="_Toc168502026"/>
      <w:r w:rsidRPr="007D770B">
        <w:rPr>
          <w:lang w:val="en-US"/>
        </w:rPr>
        <w:t>2.2 Accounting policies</w:t>
      </w:r>
      <w:bookmarkEnd w:id="86"/>
      <w:bookmarkEnd w:id="87"/>
      <w:bookmarkEnd w:id="88"/>
    </w:p>
    <w:p w14:paraId="74DCF75D" w14:textId="77777777" w:rsidR="009E2B77" w:rsidRPr="007D770B" w:rsidRDefault="009E2B77" w:rsidP="00F96B17">
      <w:pPr>
        <w:spacing w:before="240" w:line="240" w:lineRule="auto"/>
        <w:ind w:left="0"/>
        <w:rPr>
          <w:rFonts w:ascii="Times New Roman" w:hAnsi="Times New Roman"/>
          <w:lang w:val="en-US" w:eastAsia="ru-RU"/>
        </w:rPr>
      </w:pPr>
      <w:r w:rsidRPr="007D770B">
        <w:rPr>
          <w:rFonts w:ascii="Times New Roman" w:hAnsi="Times New Roman"/>
          <w:lang w:val="en-US"/>
        </w:rPr>
        <w:t xml:space="preserve">An intangible asset is recognized by the </w:t>
      </w:r>
      <w:r w:rsidR="00F9744B" w:rsidRPr="007D770B">
        <w:rPr>
          <w:rFonts w:ascii="Times New Roman" w:hAnsi="Times New Roman"/>
          <w:lang w:val="en-US"/>
        </w:rPr>
        <w:t xml:space="preserve">Bank </w:t>
      </w:r>
      <w:r w:rsidRPr="007D770B">
        <w:rPr>
          <w:rFonts w:ascii="Times New Roman" w:hAnsi="Times New Roman"/>
          <w:lang w:val="en-US"/>
        </w:rPr>
        <w:t xml:space="preserve">if it meets the definition of an </w:t>
      </w:r>
      <w:r w:rsidRPr="007D770B">
        <w:rPr>
          <w:rFonts w:ascii="Times New Roman" w:hAnsi="Times New Roman"/>
          <w:lang w:val="en-US" w:eastAsia="ru-RU"/>
        </w:rPr>
        <w:t>intangible asset and the recognition criteria for an intangible asset.</w:t>
      </w:r>
    </w:p>
    <w:p w14:paraId="5C0A9568" w14:textId="433FC7AA" w:rsidR="009E2B77" w:rsidRPr="007D770B" w:rsidRDefault="009E2B77" w:rsidP="00F96B17">
      <w:pPr>
        <w:spacing w:before="240" w:line="240" w:lineRule="auto"/>
        <w:ind w:left="0"/>
        <w:rPr>
          <w:rFonts w:ascii="Times New Roman" w:hAnsi="Times New Roman"/>
          <w:lang w:val="en-US" w:eastAsia="ru-RU"/>
        </w:rPr>
      </w:pPr>
      <w:r w:rsidRPr="007D770B">
        <w:rPr>
          <w:rFonts w:ascii="Times New Roman" w:hAnsi="Times New Roman"/>
          <w:lang w:val="en-US" w:eastAsia="ru-RU"/>
        </w:rPr>
        <w:t>Costs of software that can only be used with, and forms an integral part of, a specific item of property, plant and equipment are considered to be costs of that item and are accounted for in accordance with Chapter 2, Section 1, Property, Plant and Equipment (IAS 16)</w:t>
      </w:r>
      <w:r w:rsidR="00802136" w:rsidRPr="007D770B">
        <w:rPr>
          <w:rFonts w:ascii="Times New Roman" w:hAnsi="Times New Roman"/>
          <w:lang w:val="en-US" w:eastAsia="ru-RU"/>
        </w:rPr>
        <w:t>.</w:t>
      </w:r>
    </w:p>
    <w:p w14:paraId="1D12A2E8" w14:textId="77777777" w:rsidR="009E2B77" w:rsidRPr="007D770B" w:rsidRDefault="009E2B77" w:rsidP="00F96B17">
      <w:pPr>
        <w:pStyle w:val="Iauiue"/>
        <w:tabs>
          <w:tab w:val="left" w:pos="360"/>
        </w:tabs>
        <w:spacing w:before="240" w:after="240"/>
        <w:ind w:left="360" w:hanging="360"/>
        <w:jc w:val="both"/>
        <w:rPr>
          <w:b/>
          <w:sz w:val="20"/>
          <w:szCs w:val="20"/>
          <w:lang w:val="en-US"/>
        </w:rPr>
      </w:pPr>
      <w:r w:rsidRPr="007D770B">
        <w:rPr>
          <w:b/>
          <w:sz w:val="20"/>
          <w:szCs w:val="20"/>
          <w:lang w:val="en-US"/>
        </w:rPr>
        <w:t>1.</w:t>
      </w:r>
      <w:r w:rsidRPr="007D770B">
        <w:rPr>
          <w:b/>
          <w:sz w:val="20"/>
          <w:szCs w:val="20"/>
          <w:lang w:val="en-US"/>
        </w:rPr>
        <w:tab/>
        <w:t>Definition of an intangible asset</w:t>
      </w:r>
    </w:p>
    <w:p w14:paraId="6F0055E0" w14:textId="77777777" w:rsidR="009E2B77" w:rsidRPr="002D4EA3" w:rsidRDefault="009E2B77" w:rsidP="00F96B17">
      <w:pPr>
        <w:spacing w:before="240" w:line="240" w:lineRule="auto"/>
        <w:ind w:left="0"/>
        <w:rPr>
          <w:rFonts w:ascii="Times New Roman" w:hAnsi="Times New Roman"/>
          <w:lang w:eastAsia="ru-RU"/>
        </w:rPr>
      </w:pPr>
      <w:r w:rsidRPr="007D770B">
        <w:rPr>
          <w:rFonts w:ascii="Times New Roman" w:hAnsi="Times New Roman"/>
          <w:lang w:val="en-US"/>
        </w:rPr>
        <w:t xml:space="preserve">An </w:t>
      </w:r>
      <w:r w:rsidRPr="007D770B">
        <w:rPr>
          <w:rFonts w:ascii="Times New Roman" w:hAnsi="Times New Roman"/>
          <w:b/>
          <w:lang w:val="en-US"/>
        </w:rPr>
        <w:t xml:space="preserve">intangible asset </w:t>
      </w:r>
      <w:r w:rsidRPr="007D770B">
        <w:rPr>
          <w:rFonts w:ascii="Times New Roman" w:hAnsi="Times New Roman"/>
          <w:lang w:val="en-US"/>
        </w:rPr>
        <w:t xml:space="preserve">is an identifiable non-monetary asset that does not have a physical form. </w:t>
      </w:r>
      <w:r w:rsidRPr="002D4EA3">
        <w:rPr>
          <w:rFonts w:ascii="Times New Roman" w:hAnsi="Times New Roman"/>
        </w:rPr>
        <w:t>The criteria for an intangible asset are:</w:t>
      </w:r>
    </w:p>
    <w:p w14:paraId="7AEB6A08" w14:textId="77777777" w:rsidR="009E2B77" w:rsidRPr="007D770B" w:rsidRDefault="009E2B77" w:rsidP="00AE698A">
      <w:pPr>
        <w:pStyle w:val="Iauiue"/>
        <w:numPr>
          <w:ilvl w:val="0"/>
          <w:numId w:val="203"/>
        </w:numPr>
        <w:spacing w:before="240" w:after="240"/>
        <w:jc w:val="both"/>
        <w:rPr>
          <w:sz w:val="20"/>
          <w:szCs w:val="20"/>
          <w:lang w:val="en-US"/>
        </w:rPr>
      </w:pPr>
      <w:r w:rsidRPr="007D770B">
        <w:rPr>
          <w:b/>
          <w:sz w:val="20"/>
          <w:szCs w:val="20"/>
          <w:lang w:val="en-US"/>
        </w:rPr>
        <w:t>Identifiability.</w:t>
      </w:r>
      <w:r w:rsidRPr="007D770B">
        <w:rPr>
          <w:sz w:val="20"/>
          <w:szCs w:val="20"/>
          <w:lang w:val="en-US"/>
        </w:rPr>
        <w:t xml:space="preserve"> An asset is considered to be identifiable if one of two conditions is met: (i) if the asset is separable, that is, it can be separated from the </w:t>
      </w:r>
      <w:r w:rsidR="00F9744B" w:rsidRPr="007D770B">
        <w:rPr>
          <w:sz w:val="20"/>
          <w:szCs w:val="20"/>
          <w:lang w:val="en-US"/>
        </w:rPr>
        <w:t xml:space="preserve">Bank </w:t>
      </w:r>
      <w:r w:rsidRPr="007D770B">
        <w:rPr>
          <w:sz w:val="20"/>
          <w:szCs w:val="20"/>
          <w:lang w:val="en-US"/>
        </w:rPr>
        <w:t xml:space="preserve">and leased, sold, transferred, licensed or exchanged, either individually or together with a related contract, an identifiable asset or liability, irrespective of the </w:t>
      </w:r>
      <w:r w:rsidR="00F9744B" w:rsidRPr="007D770B">
        <w:rPr>
          <w:sz w:val="20"/>
          <w:szCs w:val="20"/>
          <w:lang w:val="en-US"/>
        </w:rPr>
        <w:t>Bank</w:t>
      </w:r>
      <w:r w:rsidRPr="007D770B">
        <w:rPr>
          <w:sz w:val="20"/>
          <w:szCs w:val="20"/>
          <w:lang w:val="en-US"/>
        </w:rPr>
        <w:t xml:space="preserve">'s intention; or (ii) arises from contractual or other legal rights, irrespective of whether those rights are transferable or separable from the </w:t>
      </w:r>
      <w:r w:rsidR="00F9744B" w:rsidRPr="007D770B">
        <w:rPr>
          <w:sz w:val="20"/>
          <w:szCs w:val="20"/>
          <w:lang w:val="en-US"/>
        </w:rPr>
        <w:t xml:space="preserve">Bank </w:t>
      </w:r>
      <w:r w:rsidRPr="007D770B">
        <w:rPr>
          <w:sz w:val="20"/>
          <w:szCs w:val="20"/>
          <w:lang w:val="en-US"/>
        </w:rPr>
        <w:t>or from other rights and obligations.</w:t>
      </w:r>
    </w:p>
    <w:p w14:paraId="344FB842" w14:textId="7C597BAE" w:rsidR="009E2B77" w:rsidRPr="007D770B" w:rsidRDefault="009E2B77" w:rsidP="00AE698A">
      <w:pPr>
        <w:numPr>
          <w:ilvl w:val="0"/>
          <w:numId w:val="203"/>
        </w:numPr>
        <w:spacing w:before="240" w:line="240" w:lineRule="auto"/>
        <w:rPr>
          <w:rFonts w:ascii="Times New Roman" w:hAnsi="Times New Roman"/>
          <w:lang w:val="en-US" w:eastAsia="ru-RU"/>
        </w:rPr>
      </w:pPr>
      <w:r w:rsidRPr="007D770B">
        <w:rPr>
          <w:rFonts w:ascii="Times New Roman" w:hAnsi="Times New Roman"/>
          <w:b/>
          <w:lang w:val="en-US"/>
        </w:rPr>
        <w:t>Control.</w:t>
      </w:r>
      <w:r w:rsidRPr="007D770B">
        <w:rPr>
          <w:rFonts w:ascii="Times New Roman" w:hAnsi="Times New Roman"/>
          <w:lang w:val="en-US"/>
        </w:rPr>
        <w:t xml:space="preserve">  Control over an asset means control over the benefits from the use of that asset and the ability to restrict the ability of other companies to take advantage of those benefits. Control is usually, but not necessarily, evidenced by the existence of the entity's legal rights to the asset. The absence of legal rights makes it more difficult to demonstrate control but does not mean that control does not exist, such as in the case of software developed for a company's specific needs, for which rights may not be registered but which is nevertheless controlled by the </w:t>
      </w:r>
      <w:r w:rsidR="00F9744B" w:rsidRPr="007D770B">
        <w:rPr>
          <w:rFonts w:ascii="Times New Roman" w:hAnsi="Times New Roman"/>
          <w:lang w:val="en-US"/>
        </w:rPr>
        <w:t>Bank</w:t>
      </w:r>
      <w:r w:rsidRPr="007D770B">
        <w:rPr>
          <w:rFonts w:ascii="Times New Roman" w:hAnsi="Times New Roman"/>
          <w:lang w:val="en-US"/>
        </w:rPr>
        <w:t xml:space="preserve">. Because of the need to control the asset, the </w:t>
      </w:r>
      <w:r w:rsidR="00020041" w:rsidRPr="007D770B">
        <w:rPr>
          <w:rFonts w:ascii="Times New Roman" w:hAnsi="Times New Roman"/>
          <w:lang w:val="en-US"/>
        </w:rPr>
        <w:t xml:space="preserve">Bank's </w:t>
      </w:r>
      <w:r w:rsidRPr="007D770B">
        <w:rPr>
          <w:rFonts w:ascii="Times New Roman" w:hAnsi="Times New Roman"/>
          <w:lang w:val="en-US"/>
        </w:rPr>
        <w:t xml:space="preserve">expenditures on personnel training (retraining) do not result in either the recognition of a new intangible asset or an increase in the value of an existing or newly created asset. For example, costs associated with the implementation of a new accounting program in terms of retraining of accounting staff (if such costs can be separated from the cost of implementing the program, for example, based on the costing provided in the implementation contract) are not included in the cost of the program, because the </w:t>
      </w:r>
      <w:r w:rsidR="00F9744B" w:rsidRPr="007D770B">
        <w:rPr>
          <w:rFonts w:ascii="Times New Roman" w:hAnsi="Times New Roman"/>
          <w:lang w:val="en-US"/>
        </w:rPr>
        <w:t xml:space="preserve">Bank's </w:t>
      </w:r>
      <w:r w:rsidRPr="007D770B">
        <w:rPr>
          <w:rFonts w:ascii="Times New Roman" w:hAnsi="Times New Roman"/>
          <w:lang w:val="en-US"/>
        </w:rPr>
        <w:t>ability to control these benefits is usually insignificant.</w:t>
      </w:r>
    </w:p>
    <w:p w14:paraId="715C7F7C" w14:textId="77777777" w:rsidR="009E2B77" w:rsidRPr="007D770B" w:rsidRDefault="009E2B77" w:rsidP="00AE698A">
      <w:pPr>
        <w:numPr>
          <w:ilvl w:val="0"/>
          <w:numId w:val="203"/>
        </w:numPr>
        <w:spacing w:before="240" w:line="240" w:lineRule="auto"/>
        <w:rPr>
          <w:rFonts w:ascii="Times New Roman" w:hAnsi="Times New Roman"/>
          <w:b/>
          <w:lang w:val="en-US" w:eastAsia="ru-RU"/>
        </w:rPr>
      </w:pPr>
      <w:r w:rsidRPr="007D770B">
        <w:rPr>
          <w:rFonts w:ascii="Times New Roman" w:hAnsi="Times New Roman"/>
          <w:b/>
          <w:lang w:val="en-US" w:eastAsia="ru-RU"/>
        </w:rPr>
        <w:t>Future economic benefits.</w:t>
      </w:r>
      <w:r w:rsidRPr="007D770B">
        <w:rPr>
          <w:rFonts w:ascii="Times New Roman" w:hAnsi="Times New Roman"/>
          <w:lang w:val="en-US" w:eastAsia="ru-RU"/>
        </w:rPr>
        <w:t xml:space="preserve"> Future economic benefits may include sales revenue, cost savings and other benefits resulting from the use of the intangible asset.</w:t>
      </w:r>
    </w:p>
    <w:p w14:paraId="0493AB24" w14:textId="77777777" w:rsidR="009E2B77" w:rsidRPr="007D770B" w:rsidRDefault="009E2B77" w:rsidP="00F96B17">
      <w:pPr>
        <w:pStyle w:val="Iauiue"/>
        <w:tabs>
          <w:tab w:val="left" w:pos="360"/>
        </w:tabs>
        <w:spacing w:before="240" w:after="240"/>
        <w:ind w:left="360" w:hanging="360"/>
        <w:jc w:val="both"/>
        <w:rPr>
          <w:b/>
          <w:sz w:val="20"/>
          <w:szCs w:val="20"/>
          <w:lang w:val="en-US"/>
        </w:rPr>
      </w:pPr>
      <w:r w:rsidRPr="007D770B">
        <w:rPr>
          <w:b/>
          <w:sz w:val="20"/>
          <w:szCs w:val="20"/>
          <w:lang w:val="en-US"/>
        </w:rPr>
        <w:lastRenderedPageBreak/>
        <w:t>2.</w:t>
      </w:r>
      <w:r w:rsidRPr="007D770B">
        <w:rPr>
          <w:b/>
          <w:sz w:val="20"/>
          <w:szCs w:val="20"/>
          <w:lang w:val="en-US"/>
        </w:rPr>
        <w:tab/>
        <w:t>Criteria for recognizing an intangible asset</w:t>
      </w:r>
    </w:p>
    <w:p w14:paraId="3019378E" w14:textId="77777777" w:rsidR="009E2B77" w:rsidRPr="007D770B" w:rsidRDefault="009E2B77" w:rsidP="00076309">
      <w:pPr>
        <w:spacing w:before="240" w:line="240" w:lineRule="auto"/>
        <w:ind w:left="0"/>
        <w:rPr>
          <w:rFonts w:ascii="Times New Roman" w:hAnsi="Times New Roman"/>
          <w:lang w:val="en-US"/>
        </w:rPr>
      </w:pPr>
      <w:r w:rsidRPr="007D770B">
        <w:rPr>
          <w:rFonts w:ascii="Times New Roman" w:hAnsi="Times New Roman"/>
          <w:lang w:val="en-US"/>
        </w:rPr>
        <w:t xml:space="preserve">The criteria for recognizing an intangible asset are:  </w:t>
      </w:r>
    </w:p>
    <w:p w14:paraId="52751442" w14:textId="77777777" w:rsidR="009E2B77" w:rsidRPr="007D770B" w:rsidRDefault="009E2B77" w:rsidP="00AE698A">
      <w:pPr>
        <w:numPr>
          <w:ilvl w:val="0"/>
          <w:numId w:val="204"/>
        </w:numPr>
        <w:spacing w:before="240" w:line="240" w:lineRule="auto"/>
        <w:ind w:left="720"/>
        <w:rPr>
          <w:rFonts w:ascii="Times New Roman" w:hAnsi="Times New Roman"/>
          <w:lang w:val="en-US" w:eastAsia="ru-RU"/>
        </w:rPr>
      </w:pPr>
      <w:r w:rsidRPr="007D770B">
        <w:rPr>
          <w:rFonts w:ascii="Times New Roman" w:hAnsi="Times New Roman"/>
          <w:lang w:val="en-US" w:eastAsia="ru-RU"/>
        </w:rPr>
        <w:t xml:space="preserve">The likelihood </w:t>
      </w:r>
      <w:r w:rsidR="00F9744B" w:rsidRPr="007D770B">
        <w:rPr>
          <w:rFonts w:ascii="Times New Roman" w:hAnsi="Times New Roman"/>
          <w:lang w:val="en-US"/>
        </w:rPr>
        <w:t xml:space="preserve">that the Bank </w:t>
      </w:r>
      <w:r w:rsidRPr="007D770B">
        <w:rPr>
          <w:rFonts w:ascii="Times New Roman" w:hAnsi="Times New Roman"/>
          <w:lang w:val="en-US" w:eastAsia="ru-RU"/>
        </w:rPr>
        <w:t>will obtain future economic benefits from the asset;</w:t>
      </w:r>
    </w:p>
    <w:p w14:paraId="7097015D" w14:textId="77777777" w:rsidR="009E2B77" w:rsidRPr="007D770B" w:rsidRDefault="009E2B77" w:rsidP="00AE698A">
      <w:pPr>
        <w:numPr>
          <w:ilvl w:val="0"/>
          <w:numId w:val="204"/>
        </w:numPr>
        <w:spacing w:before="240" w:line="240" w:lineRule="auto"/>
        <w:ind w:left="720"/>
        <w:rPr>
          <w:rFonts w:ascii="Times New Roman" w:hAnsi="Times New Roman"/>
          <w:lang w:val="en-US" w:eastAsia="ru-RU"/>
        </w:rPr>
      </w:pPr>
      <w:r w:rsidRPr="007D770B">
        <w:rPr>
          <w:rFonts w:ascii="Times New Roman" w:hAnsi="Times New Roman"/>
          <w:lang w:val="en-US" w:eastAsia="ru-RU"/>
        </w:rPr>
        <w:t xml:space="preserve">The ability to reliably estimate the value of an asset. </w:t>
      </w:r>
    </w:p>
    <w:p w14:paraId="6C1C415F" w14:textId="77777777" w:rsidR="009E2B77" w:rsidRPr="007D770B" w:rsidRDefault="009E2B77" w:rsidP="00F96B17">
      <w:pPr>
        <w:spacing w:before="240" w:line="240" w:lineRule="auto"/>
        <w:ind w:left="0"/>
        <w:rPr>
          <w:rFonts w:ascii="Times New Roman" w:hAnsi="Times New Roman"/>
          <w:b/>
          <w:lang w:val="en-US" w:eastAsia="ru-RU"/>
        </w:rPr>
      </w:pPr>
      <w:r w:rsidRPr="007D770B">
        <w:rPr>
          <w:rFonts w:ascii="Times New Roman" w:hAnsi="Times New Roman"/>
          <w:b/>
          <w:lang w:val="en-US"/>
        </w:rPr>
        <w:t>Initial measurement and recognition of intangible assets</w:t>
      </w:r>
    </w:p>
    <w:p w14:paraId="1304CBA1" w14:textId="77777777" w:rsidR="009E2B77" w:rsidRPr="007D770B" w:rsidRDefault="009E2B77" w:rsidP="00F96B17">
      <w:pPr>
        <w:pStyle w:val="Iauiue"/>
        <w:spacing w:before="240" w:after="240"/>
        <w:jc w:val="both"/>
        <w:rPr>
          <w:b/>
          <w:sz w:val="20"/>
          <w:szCs w:val="20"/>
          <w:lang w:val="en-US"/>
        </w:rPr>
      </w:pPr>
      <w:r w:rsidRPr="007D770B">
        <w:rPr>
          <w:b/>
          <w:sz w:val="20"/>
          <w:szCs w:val="20"/>
          <w:lang w:val="en-US"/>
        </w:rPr>
        <w:t>Acquired intangible assets</w:t>
      </w:r>
    </w:p>
    <w:p w14:paraId="3A04AB8B" w14:textId="77777777" w:rsidR="009E2B77" w:rsidRPr="007D770B" w:rsidRDefault="009E2B77" w:rsidP="00F96B17">
      <w:pPr>
        <w:pStyle w:val="Iauiue"/>
        <w:spacing w:before="240" w:after="240"/>
        <w:jc w:val="both"/>
        <w:rPr>
          <w:sz w:val="20"/>
          <w:szCs w:val="20"/>
          <w:lang w:val="en-US"/>
        </w:rPr>
      </w:pPr>
      <w:r w:rsidRPr="007D770B">
        <w:rPr>
          <w:sz w:val="20"/>
          <w:szCs w:val="20"/>
          <w:lang w:val="en-US"/>
        </w:rPr>
        <w:t>If an intangible asset is acquired separately, the initial cost of the intangible asset can usually be measured reliably.</w:t>
      </w:r>
    </w:p>
    <w:p w14:paraId="6035B4FB" w14:textId="77777777" w:rsidR="009E2B77" w:rsidRPr="007D770B" w:rsidRDefault="009E2B77" w:rsidP="00F96B17">
      <w:pPr>
        <w:pStyle w:val="Iauiue"/>
        <w:spacing w:before="240" w:after="240"/>
        <w:jc w:val="both"/>
        <w:rPr>
          <w:sz w:val="20"/>
          <w:szCs w:val="20"/>
          <w:lang w:val="en-US"/>
        </w:rPr>
      </w:pPr>
      <w:r w:rsidRPr="007D770B">
        <w:rPr>
          <w:sz w:val="20"/>
          <w:szCs w:val="20"/>
          <w:lang w:val="en-US"/>
        </w:rPr>
        <w:t>The original cost is determined by taking into account:</w:t>
      </w:r>
    </w:p>
    <w:p w14:paraId="076CF7F3" w14:textId="77777777" w:rsidR="009E2B77" w:rsidRPr="007D770B" w:rsidRDefault="009E2B77" w:rsidP="00AE698A">
      <w:pPr>
        <w:pStyle w:val="Iauiue"/>
        <w:numPr>
          <w:ilvl w:val="0"/>
          <w:numId w:val="205"/>
        </w:numPr>
        <w:spacing w:before="240" w:after="240"/>
        <w:jc w:val="both"/>
        <w:rPr>
          <w:sz w:val="20"/>
          <w:szCs w:val="20"/>
          <w:lang w:val="en-US"/>
        </w:rPr>
      </w:pPr>
      <w:r w:rsidRPr="007D770B">
        <w:rPr>
          <w:sz w:val="20"/>
          <w:szCs w:val="20"/>
          <w:lang w:val="en-US"/>
        </w:rPr>
        <w:t>the purchase price (including import duties, non-refundable taxes arising on purchase), directly attributable costs of preparing the asset for its intended use (costs of hiring employees, set-up services, payments for services to set-up employees, costs of testing the asset) less discounts, rebates and refunds of overpayments.</w:t>
      </w:r>
    </w:p>
    <w:p w14:paraId="7A70D4EE" w14:textId="03E1AAF3" w:rsidR="009E2B77" w:rsidRPr="007D770B" w:rsidRDefault="009E2B77" w:rsidP="00AE698A">
      <w:pPr>
        <w:pStyle w:val="Iauiue"/>
        <w:numPr>
          <w:ilvl w:val="0"/>
          <w:numId w:val="205"/>
        </w:numPr>
        <w:spacing w:before="240" w:after="240"/>
        <w:jc w:val="both"/>
        <w:rPr>
          <w:sz w:val="20"/>
          <w:szCs w:val="20"/>
          <w:lang w:val="en-US"/>
        </w:rPr>
      </w:pPr>
      <w:r w:rsidRPr="007D770B">
        <w:rPr>
          <w:sz w:val="20"/>
          <w:szCs w:val="20"/>
          <w:lang w:val="en-US"/>
        </w:rPr>
        <w:t xml:space="preserve">if payment for an intangible asset is deferred beyond normal credit terms, its cost is equal to the present value of the future payments. The difference between this value and the total payments is recognized as interest expense over the instalment period unless it is capitalized in accordance with the capitalization basis of accounting prescribed by </w:t>
      </w:r>
      <w:r w:rsidR="00C8500B" w:rsidRPr="007D770B">
        <w:rPr>
          <w:sz w:val="20"/>
          <w:szCs w:val="20"/>
          <w:lang w:val="en-US"/>
        </w:rPr>
        <w:t xml:space="preserve">IAS 23 </w:t>
      </w:r>
      <w:r w:rsidRPr="007D770B">
        <w:rPr>
          <w:sz w:val="20"/>
          <w:szCs w:val="20"/>
          <w:lang w:val="en-US"/>
        </w:rPr>
        <w:t>Borrowing Costs.</w:t>
      </w:r>
    </w:p>
    <w:p w14:paraId="55A59C61" w14:textId="77777777" w:rsidR="009E2B77" w:rsidRPr="007D770B" w:rsidRDefault="009E2B77" w:rsidP="00F96B17">
      <w:pPr>
        <w:pStyle w:val="Iauiue"/>
        <w:spacing w:before="240" w:after="240"/>
        <w:jc w:val="both"/>
        <w:rPr>
          <w:sz w:val="20"/>
          <w:szCs w:val="20"/>
          <w:lang w:val="en-US"/>
        </w:rPr>
      </w:pPr>
      <w:r w:rsidRPr="007D770B">
        <w:rPr>
          <w:sz w:val="20"/>
          <w:szCs w:val="20"/>
          <w:lang w:val="en-US"/>
        </w:rPr>
        <w:t>The initial cost of an intangible asset does not include:</w:t>
      </w:r>
    </w:p>
    <w:p w14:paraId="4D6D210F" w14:textId="77777777" w:rsidR="009E2B77" w:rsidRPr="007D770B" w:rsidRDefault="009E2B77" w:rsidP="00AE698A">
      <w:pPr>
        <w:pStyle w:val="Iauiue"/>
        <w:numPr>
          <w:ilvl w:val="0"/>
          <w:numId w:val="206"/>
        </w:numPr>
        <w:spacing w:before="240" w:after="240"/>
        <w:jc w:val="both"/>
        <w:rPr>
          <w:sz w:val="20"/>
          <w:szCs w:val="20"/>
          <w:lang w:val="en-US"/>
        </w:rPr>
      </w:pPr>
      <w:r w:rsidRPr="007D770B">
        <w:rPr>
          <w:sz w:val="20"/>
          <w:szCs w:val="20"/>
          <w:lang w:val="en-US"/>
        </w:rPr>
        <w:t>costs of advertising and promotion of a new product or service on the market;</w:t>
      </w:r>
    </w:p>
    <w:p w14:paraId="6E9A24E6" w14:textId="77777777" w:rsidR="009E2B77" w:rsidRPr="007D770B" w:rsidRDefault="009E2B77" w:rsidP="00AE698A">
      <w:pPr>
        <w:pStyle w:val="Iauiue"/>
        <w:numPr>
          <w:ilvl w:val="0"/>
          <w:numId w:val="206"/>
        </w:numPr>
        <w:spacing w:before="240" w:after="240"/>
        <w:jc w:val="both"/>
        <w:rPr>
          <w:sz w:val="20"/>
          <w:szCs w:val="20"/>
          <w:lang w:val="en-US"/>
        </w:rPr>
      </w:pPr>
      <w:r w:rsidRPr="007D770B">
        <w:rPr>
          <w:sz w:val="20"/>
          <w:szCs w:val="20"/>
          <w:lang w:val="en-US"/>
        </w:rPr>
        <w:t>costs of conducting business in a new region or with a new category of customers;</w:t>
      </w:r>
    </w:p>
    <w:p w14:paraId="2A866D56" w14:textId="77777777" w:rsidR="009E2B77" w:rsidRPr="007D770B" w:rsidRDefault="009E2B77" w:rsidP="00AE698A">
      <w:pPr>
        <w:pStyle w:val="Iauiue"/>
        <w:numPr>
          <w:ilvl w:val="0"/>
          <w:numId w:val="206"/>
        </w:numPr>
        <w:spacing w:before="240" w:after="240"/>
        <w:jc w:val="both"/>
        <w:rPr>
          <w:sz w:val="20"/>
          <w:szCs w:val="20"/>
          <w:lang w:val="en-US"/>
        </w:rPr>
      </w:pPr>
      <w:r w:rsidRPr="007D770B">
        <w:rPr>
          <w:sz w:val="20"/>
          <w:szCs w:val="20"/>
          <w:lang w:val="en-US"/>
        </w:rPr>
        <w:t>administrative and other overhead expenses;</w:t>
      </w:r>
    </w:p>
    <w:p w14:paraId="021D57BC" w14:textId="77777777" w:rsidR="009E2B77" w:rsidRPr="007D770B" w:rsidRDefault="009E2B77" w:rsidP="00AE698A">
      <w:pPr>
        <w:pStyle w:val="Iauiue"/>
        <w:numPr>
          <w:ilvl w:val="0"/>
          <w:numId w:val="206"/>
        </w:numPr>
        <w:spacing w:before="240" w:after="240"/>
        <w:jc w:val="both"/>
        <w:rPr>
          <w:sz w:val="20"/>
          <w:szCs w:val="20"/>
          <w:lang w:val="en-US"/>
        </w:rPr>
      </w:pPr>
      <w:r w:rsidRPr="007D770B">
        <w:rPr>
          <w:sz w:val="20"/>
          <w:szCs w:val="20"/>
          <w:lang w:val="en-US"/>
        </w:rPr>
        <w:t>initial production costs and losses;</w:t>
      </w:r>
    </w:p>
    <w:p w14:paraId="3ABB7275" w14:textId="77777777" w:rsidR="009E2B77" w:rsidRPr="007D770B" w:rsidRDefault="009E2B77" w:rsidP="00AE698A">
      <w:pPr>
        <w:pStyle w:val="Iauiue"/>
        <w:numPr>
          <w:ilvl w:val="0"/>
          <w:numId w:val="206"/>
        </w:numPr>
        <w:spacing w:before="240" w:after="240"/>
        <w:jc w:val="both"/>
        <w:rPr>
          <w:sz w:val="20"/>
          <w:szCs w:val="20"/>
          <w:lang w:val="en-US"/>
        </w:rPr>
      </w:pPr>
      <w:r w:rsidRPr="007D770B">
        <w:rPr>
          <w:sz w:val="20"/>
          <w:szCs w:val="20"/>
          <w:lang w:val="en-US"/>
        </w:rPr>
        <w:t>costs incurred during the downtime of an asset that could have been properly utilized in production;</w:t>
      </w:r>
    </w:p>
    <w:p w14:paraId="4422BDF6" w14:textId="77777777" w:rsidR="009E2B77" w:rsidRPr="007D770B" w:rsidRDefault="009E2B77" w:rsidP="00AE698A">
      <w:pPr>
        <w:pStyle w:val="Iauiue"/>
        <w:numPr>
          <w:ilvl w:val="0"/>
          <w:numId w:val="206"/>
        </w:numPr>
        <w:spacing w:before="240" w:after="240"/>
        <w:jc w:val="both"/>
        <w:rPr>
          <w:sz w:val="20"/>
          <w:szCs w:val="20"/>
          <w:lang w:val="en-US"/>
        </w:rPr>
      </w:pPr>
      <w:r w:rsidRPr="007D770B">
        <w:rPr>
          <w:sz w:val="20"/>
          <w:szCs w:val="20"/>
          <w:lang w:val="en-US"/>
        </w:rPr>
        <w:t>the cost of using the asset for a new purpose</w:t>
      </w:r>
    </w:p>
    <w:p w14:paraId="03DE4D7A" w14:textId="77777777" w:rsidR="009E2B77" w:rsidRPr="007D770B" w:rsidRDefault="009E2B77" w:rsidP="00F96B17">
      <w:pPr>
        <w:spacing w:before="240" w:line="240" w:lineRule="auto"/>
        <w:ind w:left="0"/>
        <w:rPr>
          <w:rFonts w:ascii="Times New Roman" w:hAnsi="Times New Roman"/>
          <w:lang w:val="en-US" w:eastAsia="ru-RU"/>
        </w:rPr>
      </w:pPr>
      <w:r w:rsidRPr="007D770B">
        <w:rPr>
          <w:rFonts w:ascii="Times New Roman" w:hAnsi="Times New Roman"/>
          <w:lang w:val="en-US" w:eastAsia="ru-RU"/>
        </w:rPr>
        <w:t xml:space="preserve">Items of intangible assets acquired in exchange for equity instruments issued by </w:t>
      </w:r>
      <w:r w:rsidR="00F9744B" w:rsidRPr="007D770B">
        <w:rPr>
          <w:rFonts w:ascii="Times New Roman" w:hAnsi="Times New Roman"/>
          <w:lang w:val="en-US"/>
        </w:rPr>
        <w:t xml:space="preserve">the Bank </w:t>
      </w:r>
      <w:r w:rsidRPr="007D770B">
        <w:rPr>
          <w:rFonts w:ascii="Times New Roman" w:hAnsi="Times New Roman"/>
          <w:lang w:val="en-US" w:eastAsia="ru-RU"/>
        </w:rPr>
        <w:t>are carried at the fair value of intangible assets, as long as their fair value can be measured reliably. If it is not possible to measure reliably the fair value of intangible assets, then the intangible assets are measured at the fair value of the equity instruments issued.</w:t>
      </w:r>
    </w:p>
    <w:p w14:paraId="024F0343" w14:textId="77777777" w:rsidR="009E2B77" w:rsidRPr="007D770B" w:rsidRDefault="009E2B77" w:rsidP="00F96B17">
      <w:pPr>
        <w:pStyle w:val="Iauiue"/>
        <w:spacing w:before="240" w:after="240"/>
        <w:jc w:val="both"/>
        <w:rPr>
          <w:b/>
          <w:sz w:val="20"/>
          <w:szCs w:val="20"/>
          <w:lang w:val="en-US"/>
        </w:rPr>
      </w:pPr>
      <w:r w:rsidRPr="007D770B">
        <w:rPr>
          <w:b/>
          <w:sz w:val="20"/>
          <w:szCs w:val="20"/>
          <w:lang w:val="en-US"/>
        </w:rPr>
        <w:t>Internally generated intangible assets</w:t>
      </w:r>
    </w:p>
    <w:p w14:paraId="2C3CCED3" w14:textId="77777777" w:rsidR="009E2B77" w:rsidRPr="007D770B" w:rsidRDefault="009E2B77" w:rsidP="00F96B17">
      <w:pPr>
        <w:pStyle w:val="Iauiue"/>
        <w:spacing w:before="240" w:after="240"/>
        <w:jc w:val="both"/>
        <w:rPr>
          <w:sz w:val="20"/>
          <w:szCs w:val="20"/>
          <w:lang w:val="en-US"/>
        </w:rPr>
      </w:pPr>
      <w:r w:rsidRPr="007D770B">
        <w:rPr>
          <w:sz w:val="20"/>
          <w:szCs w:val="20"/>
          <w:lang w:val="en-US"/>
        </w:rPr>
        <w:t xml:space="preserve">In order to assess whether an internally generated intangible asset meets the recognition criteria, the </w:t>
      </w:r>
      <w:r w:rsidR="00F9744B" w:rsidRPr="007D770B">
        <w:rPr>
          <w:sz w:val="20"/>
          <w:szCs w:val="20"/>
          <w:lang w:val="en-US"/>
        </w:rPr>
        <w:t xml:space="preserve">Bank </w:t>
      </w:r>
      <w:r w:rsidRPr="007D770B">
        <w:rPr>
          <w:sz w:val="20"/>
          <w:szCs w:val="20"/>
          <w:lang w:val="en-US"/>
        </w:rPr>
        <w:t>classifies the process of creating an asset into:</w:t>
      </w:r>
    </w:p>
    <w:p w14:paraId="33D731F2" w14:textId="518E21FF" w:rsidR="009E2B77" w:rsidRPr="002D4EA3" w:rsidRDefault="009E2B77" w:rsidP="00AE698A">
      <w:pPr>
        <w:pStyle w:val="Iauiue"/>
        <w:numPr>
          <w:ilvl w:val="0"/>
          <w:numId w:val="207"/>
        </w:numPr>
        <w:spacing w:before="240" w:after="240"/>
        <w:jc w:val="both"/>
        <w:rPr>
          <w:sz w:val="20"/>
          <w:szCs w:val="20"/>
        </w:rPr>
      </w:pPr>
      <w:r w:rsidRPr="002D4EA3">
        <w:rPr>
          <w:sz w:val="20"/>
          <w:szCs w:val="20"/>
        </w:rPr>
        <w:t xml:space="preserve">research </w:t>
      </w:r>
      <w:r w:rsidR="00032038" w:rsidRPr="002D4EA3">
        <w:rPr>
          <w:sz w:val="20"/>
          <w:szCs w:val="20"/>
        </w:rPr>
        <w:t>stage</w:t>
      </w:r>
      <w:r w:rsidRPr="002D4EA3">
        <w:rPr>
          <w:sz w:val="20"/>
          <w:szCs w:val="20"/>
        </w:rPr>
        <w:t>; and</w:t>
      </w:r>
    </w:p>
    <w:p w14:paraId="61A3F1B8" w14:textId="29035BD8" w:rsidR="009E2B77" w:rsidRPr="002D4EA3" w:rsidRDefault="009E2B77" w:rsidP="00AE698A">
      <w:pPr>
        <w:pStyle w:val="Iauiue"/>
        <w:numPr>
          <w:ilvl w:val="0"/>
          <w:numId w:val="207"/>
        </w:numPr>
        <w:spacing w:before="240" w:after="240"/>
        <w:jc w:val="both"/>
        <w:rPr>
          <w:sz w:val="20"/>
          <w:szCs w:val="20"/>
        </w:rPr>
      </w:pPr>
      <w:r w:rsidRPr="002D4EA3">
        <w:rPr>
          <w:sz w:val="20"/>
          <w:szCs w:val="20"/>
        </w:rPr>
        <w:t xml:space="preserve">the development </w:t>
      </w:r>
      <w:r w:rsidR="00032038" w:rsidRPr="002D4EA3">
        <w:rPr>
          <w:sz w:val="20"/>
          <w:szCs w:val="20"/>
        </w:rPr>
        <w:t>stage</w:t>
      </w:r>
      <w:r w:rsidRPr="002D4EA3">
        <w:rPr>
          <w:sz w:val="20"/>
          <w:szCs w:val="20"/>
        </w:rPr>
        <w:t>.</w:t>
      </w:r>
    </w:p>
    <w:p w14:paraId="697D13C1" w14:textId="77777777" w:rsidR="009E2B77" w:rsidRPr="007D770B" w:rsidRDefault="009E2B77" w:rsidP="00F96B17">
      <w:pPr>
        <w:pStyle w:val="Iauiue"/>
        <w:spacing w:before="240" w:after="240"/>
        <w:jc w:val="both"/>
        <w:rPr>
          <w:sz w:val="20"/>
          <w:szCs w:val="20"/>
          <w:lang w:val="en-US"/>
        </w:rPr>
      </w:pPr>
      <w:r w:rsidRPr="007D770B">
        <w:rPr>
          <w:sz w:val="20"/>
          <w:szCs w:val="20"/>
          <w:lang w:val="en-US"/>
        </w:rPr>
        <w:t xml:space="preserve">If the </w:t>
      </w:r>
      <w:r w:rsidR="00F9744B" w:rsidRPr="007D770B">
        <w:rPr>
          <w:sz w:val="20"/>
          <w:szCs w:val="20"/>
          <w:lang w:val="en-US"/>
        </w:rPr>
        <w:t xml:space="preserve">Bank </w:t>
      </w:r>
      <w:r w:rsidRPr="007D770B">
        <w:rPr>
          <w:sz w:val="20"/>
          <w:szCs w:val="20"/>
          <w:lang w:val="en-US"/>
        </w:rPr>
        <w:t>is unable to distinguish the research stage from the development stage of an internal project to create an intangible asset, it treats expenditure on that project as if it were incurred only in the research stage.</w:t>
      </w:r>
    </w:p>
    <w:p w14:paraId="7E6BD33D" w14:textId="77777777" w:rsidR="009E2B77" w:rsidRPr="007D770B" w:rsidRDefault="009E2B77" w:rsidP="00F96B17">
      <w:pPr>
        <w:pStyle w:val="Iauiue"/>
        <w:spacing w:before="240" w:after="240"/>
        <w:jc w:val="both"/>
        <w:rPr>
          <w:sz w:val="20"/>
          <w:szCs w:val="20"/>
          <w:lang w:val="en-US"/>
        </w:rPr>
      </w:pPr>
      <w:r w:rsidRPr="007D770B">
        <w:rPr>
          <w:sz w:val="20"/>
          <w:szCs w:val="20"/>
          <w:lang w:val="en-US"/>
        </w:rPr>
        <w:t xml:space="preserve">The </w:t>
      </w:r>
      <w:r w:rsidR="00F9744B" w:rsidRPr="007D770B">
        <w:rPr>
          <w:sz w:val="20"/>
          <w:szCs w:val="20"/>
          <w:lang w:val="en-US"/>
        </w:rPr>
        <w:t xml:space="preserve">Bank </w:t>
      </w:r>
      <w:r w:rsidRPr="007D770B">
        <w:rPr>
          <w:sz w:val="20"/>
          <w:szCs w:val="20"/>
          <w:lang w:val="en-US"/>
        </w:rPr>
        <w:t>does not recognize intangible assets arising from research (or stage of research of an internal project). Expenditure on research (or the research stage of an internal project) is expensed as incurred.</w:t>
      </w:r>
    </w:p>
    <w:p w14:paraId="0993BC3B" w14:textId="77777777" w:rsidR="009E2B77" w:rsidRPr="007D770B" w:rsidRDefault="009E2B77" w:rsidP="00F96B17">
      <w:pPr>
        <w:pStyle w:val="Iauiue"/>
        <w:spacing w:before="240" w:after="240"/>
        <w:jc w:val="both"/>
        <w:rPr>
          <w:sz w:val="20"/>
          <w:szCs w:val="20"/>
          <w:lang w:val="en-US"/>
        </w:rPr>
      </w:pPr>
      <w:r w:rsidRPr="007D770B">
        <w:rPr>
          <w:sz w:val="20"/>
          <w:szCs w:val="20"/>
          <w:lang w:val="en-US"/>
        </w:rPr>
        <w:t xml:space="preserve">An intangible asset arising from development (or from the development phase of an internal project) is recognized if, and only if, the </w:t>
      </w:r>
      <w:r w:rsidR="00F9744B" w:rsidRPr="007D770B">
        <w:rPr>
          <w:sz w:val="20"/>
          <w:szCs w:val="20"/>
          <w:lang w:val="en-US"/>
        </w:rPr>
        <w:t xml:space="preserve">Bank </w:t>
      </w:r>
      <w:r w:rsidRPr="007D770B">
        <w:rPr>
          <w:sz w:val="20"/>
          <w:szCs w:val="20"/>
          <w:lang w:val="en-US"/>
        </w:rPr>
        <w:t>can demonstrate all of the following:</w:t>
      </w:r>
    </w:p>
    <w:p w14:paraId="03A8DAA9" w14:textId="77777777" w:rsidR="009E2B77" w:rsidRPr="007D770B" w:rsidRDefault="009E2B77" w:rsidP="00AE698A">
      <w:pPr>
        <w:pStyle w:val="Iauiue"/>
        <w:numPr>
          <w:ilvl w:val="0"/>
          <w:numId w:val="208"/>
        </w:numPr>
        <w:spacing w:before="240" w:after="240"/>
        <w:jc w:val="both"/>
        <w:rPr>
          <w:sz w:val="20"/>
          <w:szCs w:val="20"/>
          <w:lang w:val="en-US"/>
        </w:rPr>
      </w:pPr>
      <w:r w:rsidRPr="007D770B">
        <w:rPr>
          <w:sz w:val="20"/>
          <w:szCs w:val="20"/>
          <w:lang w:val="en-US"/>
        </w:rPr>
        <w:lastRenderedPageBreak/>
        <w:t>the technical feasibility of completing the intangible asset so that it is available for use or sale;</w:t>
      </w:r>
    </w:p>
    <w:p w14:paraId="7FD933D9" w14:textId="77777777" w:rsidR="009E2B77" w:rsidRPr="007D770B" w:rsidRDefault="009E2B77" w:rsidP="00AE698A">
      <w:pPr>
        <w:pStyle w:val="Iauiue"/>
        <w:numPr>
          <w:ilvl w:val="0"/>
          <w:numId w:val="208"/>
        </w:numPr>
        <w:spacing w:before="240" w:after="240"/>
        <w:jc w:val="both"/>
        <w:rPr>
          <w:sz w:val="20"/>
          <w:szCs w:val="20"/>
          <w:lang w:val="en-US"/>
        </w:rPr>
      </w:pPr>
      <w:r w:rsidRPr="007D770B">
        <w:rPr>
          <w:sz w:val="20"/>
          <w:szCs w:val="20"/>
          <w:lang w:val="en-US"/>
        </w:rPr>
        <w:t>its intention to complete the intangible asset and to use or sell it;</w:t>
      </w:r>
    </w:p>
    <w:p w14:paraId="4AA6FD59" w14:textId="77777777" w:rsidR="009E2B77" w:rsidRPr="007D770B" w:rsidRDefault="009E2B77" w:rsidP="00AE698A">
      <w:pPr>
        <w:pStyle w:val="Iauiue"/>
        <w:numPr>
          <w:ilvl w:val="0"/>
          <w:numId w:val="208"/>
        </w:numPr>
        <w:spacing w:before="240" w:after="240"/>
        <w:jc w:val="both"/>
        <w:rPr>
          <w:sz w:val="20"/>
          <w:szCs w:val="20"/>
          <w:lang w:val="en-US"/>
        </w:rPr>
      </w:pPr>
      <w:r w:rsidRPr="007D770B">
        <w:rPr>
          <w:sz w:val="20"/>
          <w:szCs w:val="20"/>
          <w:lang w:val="en-US"/>
        </w:rPr>
        <w:t>its ability to use or sell the intangible asset;</w:t>
      </w:r>
    </w:p>
    <w:p w14:paraId="0352205E" w14:textId="77777777" w:rsidR="009E2B77" w:rsidRPr="007D770B" w:rsidRDefault="009E2B77" w:rsidP="00AE698A">
      <w:pPr>
        <w:pStyle w:val="Iauiue"/>
        <w:numPr>
          <w:ilvl w:val="0"/>
          <w:numId w:val="208"/>
        </w:numPr>
        <w:spacing w:before="240" w:after="240"/>
        <w:jc w:val="both"/>
        <w:rPr>
          <w:sz w:val="20"/>
          <w:szCs w:val="20"/>
          <w:lang w:val="en-US"/>
        </w:rPr>
      </w:pPr>
      <w:r w:rsidRPr="007D770B">
        <w:rPr>
          <w:sz w:val="20"/>
          <w:szCs w:val="20"/>
          <w:lang w:val="en-US"/>
        </w:rPr>
        <w:t xml:space="preserve">how the intangible asset will generate probable future economic benefits. Among other things, the </w:t>
      </w:r>
      <w:r w:rsidR="00F9744B" w:rsidRPr="007D770B">
        <w:rPr>
          <w:sz w:val="20"/>
          <w:szCs w:val="20"/>
          <w:lang w:val="en-US"/>
        </w:rPr>
        <w:t xml:space="preserve">Bank </w:t>
      </w:r>
      <w:r w:rsidRPr="007D770B">
        <w:rPr>
          <w:sz w:val="20"/>
          <w:szCs w:val="20"/>
          <w:lang w:val="en-US"/>
        </w:rPr>
        <w:t>shall demonstrate the existence of a market for the outputs of the intangible asset or the intangible asset itself, or if internal use is intended, the usefulness of the intangible asset;</w:t>
      </w:r>
    </w:p>
    <w:p w14:paraId="00B0723F" w14:textId="77777777" w:rsidR="009E2B77" w:rsidRPr="007D770B" w:rsidRDefault="009E2B77" w:rsidP="00AE698A">
      <w:pPr>
        <w:pStyle w:val="Iauiue"/>
        <w:numPr>
          <w:ilvl w:val="0"/>
          <w:numId w:val="208"/>
        </w:numPr>
        <w:spacing w:before="240" w:after="240"/>
        <w:jc w:val="both"/>
        <w:rPr>
          <w:sz w:val="20"/>
          <w:szCs w:val="20"/>
          <w:lang w:val="en-US"/>
        </w:rPr>
      </w:pPr>
      <w:r w:rsidRPr="007D770B">
        <w:rPr>
          <w:sz w:val="20"/>
          <w:szCs w:val="20"/>
          <w:lang w:val="en-US"/>
        </w:rPr>
        <w:t>the availability of sufficient technical, financial and other resources to complete the development and to use or sell the intangible asset; and</w:t>
      </w:r>
    </w:p>
    <w:p w14:paraId="0C1B81EE" w14:textId="77777777" w:rsidR="009E2B77" w:rsidRPr="007D770B" w:rsidRDefault="009E2B77" w:rsidP="00AE698A">
      <w:pPr>
        <w:pStyle w:val="Iauiue"/>
        <w:numPr>
          <w:ilvl w:val="0"/>
          <w:numId w:val="208"/>
        </w:numPr>
        <w:spacing w:before="240" w:after="240"/>
        <w:jc w:val="both"/>
        <w:rPr>
          <w:sz w:val="20"/>
          <w:szCs w:val="20"/>
          <w:lang w:val="en-US"/>
        </w:rPr>
      </w:pPr>
      <w:r w:rsidRPr="007D770B">
        <w:rPr>
          <w:sz w:val="20"/>
          <w:szCs w:val="20"/>
          <w:lang w:val="en-US"/>
        </w:rPr>
        <w:t>The ability to measure reliably the expenditure attributable to the intangible asset during its development.</w:t>
      </w:r>
    </w:p>
    <w:p w14:paraId="165443ED" w14:textId="77777777" w:rsidR="009E2B77" w:rsidRPr="007D770B" w:rsidRDefault="009E2B77" w:rsidP="00F96B17">
      <w:pPr>
        <w:pStyle w:val="Iauiue"/>
        <w:spacing w:before="240" w:after="240"/>
        <w:jc w:val="both"/>
        <w:rPr>
          <w:sz w:val="20"/>
          <w:szCs w:val="20"/>
          <w:lang w:val="en-US"/>
        </w:rPr>
      </w:pPr>
      <w:r w:rsidRPr="007D770B">
        <w:rPr>
          <w:sz w:val="20"/>
          <w:szCs w:val="20"/>
          <w:lang w:val="en-US"/>
        </w:rPr>
        <w:t xml:space="preserve">The cost of an internally generated intangible asset is the amount of expenditure incurred from the date on which the intangible asset first meets the recognition criteria.  The cost of an internally generated intangible asset includes all direct costs necessary to create, produce and prepare the asset for use in accordance with management's intentions. </w:t>
      </w:r>
    </w:p>
    <w:p w14:paraId="39BE91DA" w14:textId="77777777" w:rsidR="009E2B77" w:rsidRPr="007D770B" w:rsidRDefault="009E2B77" w:rsidP="00F96B17">
      <w:pPr>
        <w:pStyle w:val="Iauiue"/>
        <w:spacing w:before="240" w:after="240"/>
        <w:jc w:val="both"/>
        <w:rPr>
          <w:b/>
          <w:sz w:val="20"/>
          <w:szCs w:val="20"/>
          <w:lang w:val="en-US"/>
        </w:rPr>
      </w:pPr>
      <w:r w:rsidRPr="007D770B">
        <w:rPr>
          <w:b/>
          <w:sz w:val="20"/>
          <w:szCs w:val="20"/>
          <w:lang w:val="en-US"/>
        </w:rPr>
        <w:t>Exchange of assets</w:t>
      </w:r>
    </w:p>
    <w:p w14:paraId="5EEE316A" w14:textId="0E2CFC5B"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 xml:space="preserve">An intangible asset acquired in exchange for another non-monetary asset or a combination of monetary and non-monetary assets is recognized at fair value </w:t>
      </w:r>
      <w:r w:rsidR="00032038" w:rsidRPr="007D770B">
        <w:rPr>
          <w:rFonts w:ascii="Times New Roman" w:hAnsi="Times New Roman"/>
          <w:lang w:val="en-US"/>
        </w:rPr>
        <w:t>unless</w:t>
      </w:r>
      <w:r w:rsidRPr="007D770B">
        <w:rPr>
          <w:rFonts w:ascii="Times New Roman" w:hAnsi="Times New Roman"/>
          <w:lang w:val="en-US"/>
        </w:rPr>
        <w:t>:</w:t>
      </w:r>
    </w:p>
    <w:p w14:paraId="72EA9E06" w14:textId="77777777" w:rsidR="009E2B77" w:rsidRPr="007D770B" w:rsidRDefault="009E2B77" w:rsidP="00AE698A">
      <w:pPr>
        <w:pStyle w:val="aa"/>
        <w:numPr>
          <w:ilvl w:val="0"/>
          <w:numId w:val="209"/>
        </w:numPr>
        <w:autoSpaceDE w:val="0"/>
        <w:autoSpaceDN w:val="0"/>
        <w:adjustRightInd w:val="0"/>
        <w:spacing w:before="240" w:line="240" w:lineRule="auto"/>
        <w:contextualSpacing w:val="0"/>
        <w:rPr>
          <w:rFonts w:ascii="Times New Roman" w:hAnsi="Times New Roman"/>
          <w:lang w:val="en-US"/>
        </w:rPr>
      </w:pPr>
      <w:r w:rsidRPr="007D770B">
        <w:rPr>
          <w:rFonts w:ascii="Times New Roman" w:hAnsi="Times New Roman"/>
          <w:lang w:val="en-US"/>
        </w:rPr>
        <w:t>the exchange transaction has no commercial substance; or</w:t>
      </w:r>
    </w:p>
    <w:p w14:paraId="2DBD4950" w14:textId="77777777" w:rsidR="009E2B77" w:rsidRPr="007D770B" w:rsidRDefault="009E2B77" w:rsidP="00AE698A">
      <w:pPr>
        <w:pStyle w:val="aa"/>
        <w:numPr>
          <w:ilvl w:val="0"/>
          <w:numId w:val="209"/>
        </w:numPr>
        <w:autoSpaceDE w:val="0"/>
        <w:autoSpaceDN w:val="0"/>
        <w:adjustRightInd w:val="0"/>
        <w:spacing w:before="240" w:line="240" w:lineRule="auto"/>
        <w:contextualSpacing w:val="0"/>
        <w:rPr>
          <w:rFonts w:ascii="Times New Roman" w:hAnsi="Times New Roman"/>
          <w:lang w:val="en-US"/>
        </w:rPr>
      </w:pPr>
      <w:r w:rsidRPr="007D770B">
        <w:rPr>
          <w:rFonts w:ascii="Times New Roman" w:hAnsi="Times New Roman"/>
          <w:lang w:val="en-US"/>
        </w:rPr>
        <w:t>the fair value of neither the asset received nor the asset transferred can be measured reliably.</w:t>
      </w:r>
    </w:p>
    <w:p w14:paraId="51B242BA"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 xml:space="preserve">The </w:t>
      </w:r>
      <w:r w:rsidR="00F9744B" w:rsidRPr="007D770B">
        <w:rPr>
          <w:rFonts w:ascii="Times New Roman" w:hAnsi="Times New Roman"/>
          <w:lang w:val="en-US"/>
        </w:rPr>
        <w:t xml:space="preserve">Bank </w:t>
      </w:r>
      <w:r w:rsidRPr="007D770B">
        <w:rPr>
          <w:rFonts w:ascii="Times New Roman" w:hAnsi="Times New Roman"/>
          <w:lang w:val="en-US"/>
        </w:rPr>
        <w:t>determines whether an exchange transaction has commercial substance by forecasting and comparing the expected future cash flows generated by the transferred and received items. An exchange transaction has a commercial basis if there is a significant difference between the forecasts for the items:</w:t>
      </w:r>
    </w:p>
    <w:p w14:paraId="3EB6AA0B" w14:textId="77777777" w:rsidR="009E2B77" w:rsidRPr="007D770B" w:rsidRDefault="009E2B77" w:rsidP="00AE698A">
      <w:pPr>
        <w:pStyle w:val="aa"/>
        <w:numPr>
          <w:ilvl w:val="0"/>
          <w:numId w:val="210"/>
        </w:numPr>
        <w:autoSpaceDE w:val="0"/>
        <w:autoSpaceDN w:val="0"/>
        <w:adjustRightInd w:val="0"/>
        <w:spacing w:before="240" w:line="240" w:lineRule="auto"/>
        <w:contextualSpacing w:val="0"/>
        <w:rPr>
          <w:rFonts w:ascii="Times New Roman" w:hAnsi="Times New Roman"/>
          <w:lang w:val="en-US"/>
        </w:rPr>
      </w:pPr>
      <w:r w:rsidRPr="007D770B">
        <w:rPr>
          <w:rFonts w:ascii="Times New Roman" w:hAnsi="Times New Roman"/>
          <w:lang w:val="en-US"/>
        </w:rPr>
        <w:t>The configuration (risks, timing and amount) of the cash flows that may be derived from the use of the new asset is different from the configuration of the cash flows that may be derived from the use of the transferred asset; or</w:t>
      </w:r>
    </w:p>
    <w:p w14:paraId="00A644FC" w14:textId="438A57C6" w:rsidR="009E2B77" w:rsidRPr="007D770B" w:rsidRDefault="009E2B77" w:rsidP="00AE698A">
      <w:pPr>
        <w:pStyle w:val="aa"/>
        <w:numPr>
          <w:ilvl w:val="0"/>
          <w:numId w:val="210"/>
        </w:numPr>
        <w:autoSpaceDE w:val="0"/>
        <w:autoSpaceDN w:val="0"/>
        <w:adjustRightInd w:val="0"/>
        <w:spacing w:before="240" w:line="240" w:lineRule="auto"/>
        <w:contextualSpacing w:val="0"/>
        <w:rPr>
          <w:rFonts w:ascii="Times New Roman" w:hAnsi="Times New Roman"/>
          <w:lang w:val="en-US"/>
        </w:rPr>
      </w:pPr>
      <w:r w:rsidRPr="007D770B">
        <w:rPr>
          <w:rFonts w:ascii="Times New Roman" w:hAnsi="Times New Roman"/>
          <w:lang w:val="en-US"/>
        </w:rPr>
        <w:t xml:space="preserve">the net present value of the future cash flows that the </w:t>
      </w:r>
      <w:r w:rsidR="00F9744B" w:rsidRPr="007D770B">
        <w:rPr>
          <w:rFonts w:ascii="Times New Roman" w:hAnsi="Times New Roman"/>
          <w:lang w:val="en-US"/>
        </w:rPr>
        <w:t xml:space="preserve">Bank </w:t>
      </w:r>
      <w:r w:rsidRPr="007D770B">
        <w:rPr>
          <w:rFonts w:ascii="Times New Roman" w:hAnsi="Times New Roman"/>
          <w:lang w:val="en-US"/>
        </w:rPr>
        <w:t>expects to derive from the use and disposal of the asset, after tax, changes as a result of the exchange; and</w:t>
      </w:r>
    </w:p>
    <w:p w14:paraId="05B13AFC" w14:textId="77777777" w:rsidR="009E2B77" w:rsidRPr="007D770B" w:rsidRDefault="009E2B77" w:rsidP="00AE698A">
      <w:pPr>
        <w:pStyle w:val="aa"/>
        <w:numPr>
          <w:ilvl w:val="0"/>
          <w:numId w:val="210"/>
        </w:numPr>
        <w:autoSpaceDE w:val="0"/>
        <w:autoSpaceDN w:val="0"/>
        <w:adjustRightInd w:val="0"/>
        <w:spacing w:before="240" w:line="240" w:lineRule="auto"/>
        <w:contextualSpacing w:val="0"/>
        <w:rPr>
          <w:rFonts w:ascii="Times New Roman" w:hAnsi="Times New Roman"/>
          <w:lang w:val="en-US"/>
        </w:rPr>
      </w:pPr>
      <w:r w:rsidRPr="007D770B">
        <w:rPr>
          <w:rFonts w:ascii="Times New Roman" w:hAnsi="Times New Roman"/>
          <w:lang w:val="en-US"/>
        </w:rPr>
        <w:t>the difference arising from the above items is significant compared to the fair value of the assets being exchanged.</w:t>
      </w:r>
    </w:p>
    <w:p w14:paraId="7B309B4E"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If the transaction passes the commercial substance test, the exchanged asset should be recorded at fair value. The difference between the determined fair value of the new asset and the carrying amount of the exchanged asset forms a gain or loss on the exchange transaction and is recognized in profit or loss in the period in which it occurs.</w:t>
      </w:r>
    </w:p>
    <w:p w14:paraId="12C2E8CC" w14:textId="77777777" w:rsidR="009E2B77" w:rsidRPr="007D770B" w:rsidRDefault="009E2B77" w:rsidP="00F96B17">
      <w:pPr>
        <w:spacing w:before="240" w:line="240" w:lineRule="auto"/>
        <w:ind w:left="0"/>
        <w:rPr>
          <w:rFonts w:ascii="Times New Roman" w:hAnsi="Times New Roman"/>
          <w:lang w:val="en-US" w:eastAsia="ru-RU"/>
        </w:rPr>
      </w:pPr>
      <w:r w:rsidRPr="007D770B">
        <w:rPr>
          <w:rFonts w:ascii="Times New Roman" w:hAnsi="Times New Roman"/>
          <w:lang w:val="en-US"/>
        </w:rPr>
        <w:t xml:space="preserve">If the </w:t>
      </w:r>
      <w:r w:rsidR="00F9744B" w:rsidRPr="007D770B">
        <w:rPr>
          <w:rFonts w:ascii="Times New Roman" w:hAnsi="Times New Roman"/>
          <w:lang w:val="en-US"/>
        </w:rPr>
        <w:t xml:space="preserve">Bank </w:t>
      </w:r>
      <w:r w:rsidRPr="007D770B">
        <w:rPr>
          <w:rFonts w:ascii="Times New Roman" w:hAnsi="Times New Roman"/>
          <w:lang w:val="en-US"/>
        </w:rPr>
        <w:t>can reliably measure the fair value of either the received asset or the transferred asset, then the fair value of the transferred asset is used to measure the fair value of the received asset, unless the fair value of the transferred asset is more evident. If the exchange transaction is not based on an arm's length basis or if the fair value of either the asset received or the asset transferred cannot be measured reliably, then the cost of the acquired intangible asset is measured at the carrying amount of the transferred asset and no effect on profit or loss arises from the transaction.</w:t>
      </w:r>
    </w:p>
    <w:p w14:paraId="5A698C16" w14:textId="77777777" w:rsidR="009E2B77" w:rsidRPr="007D770B" w:rsidRDefault="009E2B77" w:rsidP="00F96B17">
      <w:pPr>
        <w:spacing w:before="240" w:line="240" w:lineRule="auto"/>
        <w:ind w:left="0"/>
        <w:rPr>
          <w:rFonts w:ascii="Times New Roman" w:hAnsi="Times New Roman"/>
          <w:b/>
          <w:lang w:val="en-US"/>
        </w:rPr>
      </w:pPr>
      <w:r w:rsidRPr="007D770B">
        <w:rPr>
          <w:rFonts w:ascii="Times New Roman" w:hAnsi="Times New Roman"/>
          <w:b/>
          <w:lang w:val="en-US"/>
        </w:rPr>
        <w:t>Subsequent expenditure and valuation of intangible assets</w:t>
      </w:r>
    </w:p>
    <w:p w14:paraId="1E3007C1" w14:textId="317C20FF" w:rsidR="009E2B77" w:rsidRPr="007D770B" w:rsidRDefault="009E2B77" w:rsidP="00F96B17">
      <w:pPr>
        <w:pStyle w:val="Iauiue"/>
        <w:spacing w:before="240" w:after="240"/>
        <w:jc w:val="both"/>
        <w:rPr>
          <w:sz w:val="20"/>
          <w:szCs w:val="20"/>
          <w:lang w:val="en-US"/>
        </w:rPr>
      </w:pPr>
      <w:r w:rsidRPr="007D770B">
        <w:rPr>
          <w:sz w:val="20"/>
          <w:szCs w:val="20"/>
          <w:lang w:val="en-US"/>
        </w:rPr>
        <w:t>Subsequent expenditure on an intangible asset after it has been purchased or completed is recognized as an expense unless:</w:t>
      </w:r>
    </w:p>
    <w:p w14:paraId="33A62FD6" w14:textId="77777777" w:rsidR="009E2B77" w:rsidRPr="007D770B" w:rsidRDefault="009E2B77" w:rsidP="00AE698A">
      <w:pPr>
        <w:pStyle w:val="Iauiue"/>
        <w:numPr>
          <w:ilvl w:val="0"/>
          <w:numId w:val="211"/>
        </w:numPr>
        <w:spacing w:before="240" w:after="240"/>
        <w:jc w:val="both"/>
        <w:rPr>
          <w:sz w:val="20"/>
          <w:szCs w:val="20"/>
          <w:lang w:val="en-US"/>
        </w:rPr>
      </w:pPr>
      <w:r w:rsidRPr="007D770B">
        <w:rPr>
          <w:sz w:val="20"/>
          <w:szCs w:val="20"/>
          <w:lang w:val="en-US"/>
        </w:rPr>
        <w:t>it is probable that the expenditure will allow the asset to generate future economic benefits beyond those originally identified; and</w:t>
      </w:r>
    </w:p>
    <w:p w14:paraId="0985EB7A" w14:textId="77777777" w:rsidR="009E2B77" w:rsidRPr="007D770B" w:rsidRDefault="009E2B77" w:rsidP="00AE698A">
      <w:pPr>
        <w:pStyle w:val="Iauiue"/>
        <w:numPr>
          <w:ilvl w:val="0"/>
          <w:numId w:val="211"/>
        </w:numPr>
        <w:spacing w:before="240" w:after="240"/>
        <w:jc w:val="both"/>
        <w:rPr>
          <w:sz w:val="20"/>
          <w:szCs w:val="20"/>
          <w:lang w:val="en-US"/>
        </w:rPr>
      </w:pPr>
      <w:r w:rsidRPr="007D770B">
        <w:rPr>
          <w:sz w:val="20"/>
          <w:szCs w:val="20"/>
          <w:lang w:val="en-US"/>
        </w:rPr>
        <w:lastRenderedPageBreak/>
        <w:t>these costs can be reliably measured and allocated to the asset.</w:t>
      </w:r>
    </w:p>
    <w:p w14:paraId="71A76CC7" w14:textId="77777777" w:rsidR="009E2B77" w:rsidRPr="007D770B" w:rsidRDefault="009E2B77" w:rsidP="00F96B17">
      <w:pPr>
        <w:pStyle w:val="Iauiue"/>
        <w:spacing w:before="240" w:after="240"/>
        <w:jc w:val="both"/>
        <w:rPr>
          <w:sz w:val="20"/>
          <w:szCs w:val="20"/>
          <w:lang w:val="en-US"/>
        </w:rPr>
      </w:pPr>
      <w:r w:rsidRPr="007D770B">
        <w:rPr>
          <w:sz w:val="20"/>
          <w:szCs w:val="20"/>
          <w:lang w:val="en-US"/>
        </w:rPr>
        <w:t>Such cases are expected to be very rare because the nature of intangible assets is such that:</w:t>
      </w:r>
    </w:p>
    <w:p w14:paraId="3F04F6BE" w14:textId="77777777" w:rsidR="009E2B77" w:rsidRPr="007D770B" w:rsidRDefault="009E2B77" w:rsidP="00AE698A">
      <w:pPr>
        <w:pStyle w:val="Iauiue"/>
        <w:numPr>
          <w:ilvl w:val="0"/>
          <w:numId w:val="212"/>
        </w:numPr>
        <w:spacing w:before="240" w:after="240"/>
        <w:jc w:val="both"/>
        <w:rPr>
          <w:sz w:val="20"/>
          <w:szCs w:val="20"/>
          <w:lang w:val="en-US"/>
        </w:rPr>
      </w:pPr>
      <w:r w:rsidRPr="007D770B">
        <w:rPr>
          <w:sz w:val="20"/>
          <w:szCs w:val="20"/>
          <w:lang w:val="en-US"/>
        </w:rPr>
        <w:t>it is generally difficult to determine reliably whether there is an increase in the future economic benefits embodied in the asset;</w:t>
      </w:r>
    </w:p>
    <w:p w14:paraId="3C7AB8F5" w14:textId="77777777" w:rsidR="009E2B77" w:rsidRPr="007D770B" w:rsidRDefault="009E2B77" w:rsidP="00AE698A">
      <w:pPr>
        <w:pStyle w:val="Iauiue"/>
        <w:numPr>
          <w:ilvl w:val="0"/>
          <w:numId w:val="212"/>
        </w:numPr>
        <w:spacing w:before="240" w:after="240"/>
        <w:jc w:val="both"/>
        <w:rPr>
          <w:sz w:val="20"/>
          <w:szCs w:val="20"/>
          <w:lang w:val="en-US"/>
        </w:rPr>
      </w:pPr>
      <w:r w:rsidRPr="007D770B">
        <w:rPr>
          <w:sz w:val="20"/>
          <w:szCs w:val="20"/>
          <w:lang w:val="en-US"/>
        </w:rPr>
        <w:t xml:space="preserve">it is difficult to separate costs that relate to a particular asset from those that relate to the </w:t>
      </w:r>
      <w:r w:rsidR="00F9744B" w:rsidRPr="007D770B">
        <w:rPr>
          <w:sz w:val="20"/>
          <w:szCs w:val="20"/>
          <w:lang w:val="en-US"/>
        </w:rPr>
        <w:t xml:space="preserve">Bank's </w:t>
      </w:r>
      <w:r w:rsidRPr="007D770B">
        <w:rPr>
          <w:sz w:val="20"/>
          <w:szCs w:val="20"/>
          <w:lang w:val="en-US"/>
        </w:rPr>
        <w:t>operations as a whole;</w:t>
      </w:r>
    </w:p>
    <w:p w14:paraId="4B1651FD" w14:textId="77777777" w:rsidR="009E2B77" w:rsidRPr="007D770B" w:rsidRDefault="009E2B77" w:rsidP="00AE698A">
      <w:pPr>
        <w:pStyle w:val="Iauiue"/>
        <w:numPr>
          <w:ilvl w:val="0"/>
          <w:numId w:val="212"/>
        </w:numPr>
        <w:spacing w:before="240" w:after="240"/>
        <w:jc w:val="both"/>
        <w:rPr>
          <w:sz w:val="20"/>
          <w:szCs w:val="20"/>
          <w:lang w:val="en-US"/>
        </w:rPr>
      </w:pPr>
      <w:r w:rsidRPr="007D770B">
        <w:rPr>
          <w:sz w:val="20"/>
          <w:szCs w:val="20"/>
          <w:lang w:val="en-US"/>
        </w:rPr>
        <w:t xml:space="preserve">the </w:t>
      </w:r>
      <w:r w:rsidR="00F9744B" w:rsidRPr="007D770B">
        <w:rPr>
          <w:sz w:val="20"/>
          <w:szCs w:val="20"/>
          <w:lang w:val="en-US"/>
        </w:rPr>
        <w:t xml:space="preserve">Bank's </w:t>
      </w:r>
      <w:r w:rsidRPr="007D770B">
        <w:rPr>
          <w:sz w:val="20"/>
          <w:szCs w:val="20"/>
          <w:lang w:val="en-US"/>
        </w:rPr>
        <w:t xml:space="preserve">subsequent expenditure on trademarks, trade marks and similar assets is always recognized as an expense in the period in which it is incurred and does not increase the cost of the intangible asset. </w:t>
      </w:r>
    </w:p>
    <w:p w14:paraId="32543F96" w14:textId="77777777" w:rsidR="009E2B77" w:rsidRPr="007D770B" w:rsidRDefault="009E2B77" w:rsidP="00F96B17">
      <w:pPr>
        <w:pStyle w:val="Iauiue"/>
        <w:spacing w:before="240" w:after="240"/>
        <w:jc w:val="both"/>
        <w:rPr>
          <w:sz w:val="20"/>
          <w:szCs w:val="20"/>
          <w:lang w:val="en-US"/>
        </w:rPr>
      </w:pPr>
      <w:r w:rsidRPr="007D770B">
        <w:rPr>
          <w:sz w:val="20"/>
          <w:szCs w:val="20"/>
          <w:lang w:val="en-US"/>
        </w:rPr>
        <w:t>After initial recognition, an intangible asset should be carried at cost less any accumulated amortization and any accumulated impairment losses.</w:t>
      </w:r>
    </w:p>
    <w:p w14:paraId="65182DD0" w14:textId="77777777" w:rsidR="009E2B77" w:rsidRPr="007D770B" w:rsidRDefault="009E2B77" w:rsidP="00F96B17">
      <w:pPr>
        <w:spacing w:before="240" w:line="240" w:lineRule="auto"/>
        <w:ind w:left="0"/>
        <w:rPr>
          <w:rFonts w:ascii="Times New Roman" w:hAnsi="Times New Roman"/>
          <w:b/>
          <w:lang w:val="en-US"/>
        </w:rPr>
      </w:pPr>
      <w:r w:rsidRPr="007D770B">
        <w:rPr>
          <w:rFonts w:ascii="Times New Roman" w:hAnsi="Times New Roman"/>
          <w:b/>
          <w:lang w:val="en-US"/>
        </w:rPr>
        <w:t>Amortization of intangible assets</w:t>
      </w:r>
    </w:p>
    <w:p w14:paraId="6BA279F9" w14:textId="77777777" w:rsidR="009E2B77" w:rsidRPr="007D770B" w:rsidRDefault="009E2B77" w:rsidP="00F96B17">
      <w:pPr>
        <w:pStyle w:val="ABC-paragrahinNotes"/>
        <w:spacing w:before="240"/>
        <w:rPr>
          <w:rFonts w:ascii="Times New Roman" w:hAnsi="Times New Roman"/>
          <w:sz w:val="20"/>
          <w:lang w:val="en-US"/>
        </w:rPr>
      </w:pPr>
      <w:r w:rsidRPr="007D770B">
        <w:rPr>
          <w:rFonts w:ascii="Times New Roman" w:hAnsi="Times New Roman"/>
          <w:sz w:val="20"/>
          <w:lang w:val="en-US"/>
        </w:rPr>
        <w:t>The amortizable value of intangible assets with finite lives is amortized on a systematic basis over the best estimate of their useful lives.  The amortized cost of an asset is the difference between its cost and its estimated residual value.</w:t>
      </w:r>
    </w:p>
    <w:p w14:paraId="532E377F" w14:textId="77777777" w:rsidR="009E2B77" w:rsidRPr="007D770B" w:rsidRDefault="009E2B77" w:rsidP="00F96B17">
      <w:pPr>
        <w:pStyle w:val="ABC-paragrahinNotes"/>
        <w:spacing w:before="240"/>
        <w:rPr>
          <w:rFonts w:ascii="Times New Roman" w:hAnsi="Times New Roman"/>
          <w:sz w:val="20"/>
          <w:lang w:val="en-US"/>
        </w:rPr>
      </w:pPr>
      <w:r w:rsidRPr="007D770B">
        <w:rPr>
          <w:rFonts w:ascii="Times New Roman" w:hAnsi="Times New Roman"/>
          <w:sz w:val="20"/>
          <w:lang w:val="en-US"/>
        </w:rPr>
        <w:t>The residual value of an intangible asset is assumed to be zero unless the following facts indicate otherwise:</w:t>
      </w:r>
    </w:p>
    <w:p w14:paraId="2F13EEA9" w14:textId="77777777" w:rsidR="009E2B77" w:rsidRPr="007D770B" w:rsidRDefault="009E2B77" w:rsidP="00AE698A">
      <w:pPr>
        <w:pStyle w:val="ABC-paragrahinNotes"/>
        <w:numPr>
          <w:ilvl w:val="0"/>
          <w:numId w:val="213"/>
        </w:numPr>
        <w:spacing w:before="240"/>
        <w:rPr>
          <w:rFonts w:ascii="Times New Roman" w:hAnsi="Times New Roman"/>
          <w:sz w:val="20"/>
          <w:lang w:val="en-US"/>
        </w:rPr>
      </w:pPr>
      <w:r w:rsidRPr="007D770B">
        <w:rPr>
          <w:rFonts w:ascii="Times New Roman" w:hAnsi="Times New Roman"/>
          <w:sz w:val="20"/>
          <w:lang w:val="en-US"/>
        </w:rPr>
        <w:t>There is a third party obligation to purchase the asset at the end of its useful life;</w:t>
      </w:r>
    </w:p>
    <w:p w14:paraId="2AB795F9" w14:textId="77777777" w:rsidR="009E2B77" w:rsidRPr="007D770B" w:rsidRDefault="009E2B77" w:rsidP="00AE698A">
      <w:pPr>
        <w:pStyle w:val="ABC-paragrahinNotes"/>
        <w:numPr>
          <w:ilvl w:val="0"/>
          <w:numId w:val="213"/>
        </w:numPr>
        <w:spacing w:before="240"/>
        <w:rPr>
          <w:rFonts w:ascii="Times New Roman" w:hAnsi="Times New Roman"/>
          <w:sz w:val="20"/>
          <w:lang w:val="en-US"/>
        </w:rPr>
      </w:pPr>
      <w:r w:rsidRPr="007D770B">
        <w:rPr>
          <w:rFonts w:ascii="Times New Roman" w:hAnsi="Times New Roman"/>
          <w:sz w:val="20"/>
          <w:lang w:val="en-US"/>
        </w:rPr>
        <w:t>There is a real market for this category of intangible assets:</w:t>
      </w:r>
    </w:p>
    <w:p w14:paraId="60013D5C" w14:textId="77777777" w:rsidR="009E2B77" w:rsidRPr="007D770B" w:rsidRDefault="009E2B77" w:rsidP="00B43209">
      <w:pPr>
        <w:pStyle w:val="Iauiue"/>
        <w:numPr>
          <w:ilvl w:val="0"/>
          <w:numId w:val="5"/>
        </w:numPr>
        <w:tabs>
          <w:tab w:val="num" w:pos="1080"/>
        </w:tabs>
        <w:spacing w:before="240" w:after="240"/>
        <w:ind w:left="1080"/>
        <w:jc w:val="both"/>
        <w:rPr>
          <w:sz w:val="20"/>
          <w:szCs w:val="20"/>
          <w:lang w:val="en-US"/>
        </w:rPr>
      </w:pPr>
      <w:r w:rsidRPr="007D770B">
        <w:rPr>
          <w:sz w:val="20"/>
          <w:szCs w:val="20"/>
          <w:lang w:val="en-US"/>
        </w:rPr>
        <w:t>the liquidation value can be determined with reference to that market;</w:t>
      </w:r>
    </w:p>
    <w:p w14:paraId="2A9BCC56" w14:textId="77777777" w:rsidR="009E2B77" w:rsidRPr="007D770B" w:rsidRDefault="009E2B77" w:rsidP="00B43209">
      <w:pPr>
        <w:pStyle w:val="Iauiue"/>
        <w:numPr>
          <w:ilvl w:val="0"/>
          <w:numId w:val="5"/>
        </w:numPr>
        <w:tabs>
          <w:tab w:val="num" w:pos="1080"/>
        </w:tabs>
        <w:spacing w:before="240" w:after="240"/>
        <w:ind w:left="1080"/>
        <w:jc w:val="both"/>
        <w:rPr>
          <w:sz w:val="20"/>
          <w:szCs w:val="20"/>
          <w:lang w:val="en-US"/>
        </w:rPr>
      </w:pPr>
      <w:r w:rsidRPr="007D770B">
        <w:rPr>
          <w:sz w:val="20"/>
          <w:szCs w:val="20"/>
          <w:lang w:val="en-US"/>
        </w:rPr>
        <w:t>it is probable that the market will continue to exist at the end of the asset's useful life.</w:t>
      </w:r>
    </w:p>
    <w:p w14:paraId="35FAD7E2" w14:textId="77777777" w:rsidR="009E2B77" w:rsidRPr="007D770B" w:rsidRDefault="009E2B77" w:rsidP="00F96B17">
      <w:pPr>
        <w:pStyle w:val="ABC-paragrahinNotes"/>
        <w:keepNext/>
        <w:spacing w:before="240"/>
        <w:rPr>
          <w:rFonts w:ascii="Times New Roman" w:hAnsi="Times New Roman"/>
          <w:sz w:val="20"/>
          <w:lang w:val="en-US"/>
        </w:rPr>
      </w:pPr>
      <w:r w:rsidRPr="007D770B">
        <w:rPr>
          <w:rFonts w:ascii="Times New Roman" w:hAnsi="Times New Roman"/>
          <w:sz w:val="20"/>
          <w:lang w:val="en-US"/>
        </w:rPr>
        <w:t xml:space="preserve">For the purposes of the financial statements, </w:t>
      </w:r>
      <w:r w:rsidR="00F9744B" w:rsidRPr="007D770B">
        <w:rPr>
          <w:rFonts w:ascii="Times New Roman" w:hAnsi="Times New Roman"/>
          <w:sz w:val="20"/>
          <w:lang w:val="en-US"/>
        </w:rPr>
        <w:t xml:space="preserve">the Bank </w:t>
      </w:r>
      <w:r w:rsidRPr="007D770B">
        <w:rPr>
          <w:rFonts w:ascii="Times New Roman" w:hAnsi="Times New Roman"/>
          <w:sz w:val="20"/>
          <w:lang w:val="en-US"/>
        </w:rPr>
        <w:t>uses the following useful lives for major categories of intangible assets:</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2567"/>
        <w:gridCol w:w="1300"/>
      </w:tblGrid>
      <w:tr w:rsidR="009E2B77" w:rsidRPr="002D4EA3" w14:paraId="1135DDD8" w14:textId="77777777" w:rsidTr="0041141D">
        <w:trPr>
          <w:trHeight w:val="21"/>
        </w:trPr>
        <w:tc>
          <w:tcPr>
            <w:tcW w:w="2567" w:type="dxa"/>
            <w:shd w:val="clear" w:color="auto" w:fill="auto"/>
          </w:tcPr>
          <w:p w14:paraId="7338CE5E" w14:textId="77777777" w:rsidR="009E2B77" w:rsidRPr="007D770B" w:rsidRDefault="009E2B77" w:rsidP="003929AB">
            <w:pPr>
              <w:spacing w:after="0" w:line="240" w:lineRule="auto"/>
              <w:ind w:left="619"/>
              <w:rPr>
                <w:rFonts w:ascii="Times New Roman" w:hAnsi="Times New Roman"/>
                <w:lang w:val="en-US"/>
              </w:rPr>
            </w:pPr>
          </w:p>
        </w:tc>
        <w:tc>
          <w:tcPr>
            <w:tcW w:w="1300" w:type="dxa"/>
            <w:shd w:val="clear" w:color="auto" w:fill="auto"/>
          </w:tcPr>
          <w:p w14:paraId="6551E11C" w14:textId="77777777" w:rsidR="009E2B77" w:rsidRPr="002D4EA3" w:rsidRDefault="003929AB" w:rsidP="003929AB">
            <w:pPr>
              <w:spacing w:after="0" w:line="240" w:lineRule="auto"/>
              <w:ind w:left="0"/>
              <w:jc w:val="right"/>
              <w:rPr>
                <w:rFonts w:ascii="Times New Roman" w:hAnsi="Times New Roman"/>
                <w:b/>
              </w:rPr>
            </w:pPr>
            <w:r w:rsidRPr="002D4EA3">
              <w:rPr>
                <w:rFonts w:ascii="Times New Roman" w:hAnsi="Times New Roman"/>
                <w:b/>
              </w:rPr>
              <w:t>Years</w:t>
            </w:r>
          </w:p>
        </w:tc>
      </w:tr>
      <w:tr w:rsidR="009E2B77" w:rsidRPr="002D4EA3" w14:paraId="179C9908" w14:textId="77777777" w:rsidTr="0041141D">
        <w:trPr>
          <w:trHeight w:val="21"/>
        </w:trPr>
        <w:tc>
          <w:tcPr>
            <w:tcW w:w="2567" w:type="dxa"/>
            <w:shd w:val="clear" w:color="auto" w:fill="auto"/>
          </w:tcPr>
          <w:p w14:paraId="5A8C65CF" w14:textId="77777777" w:rsidR="009E2B77" w:rsidRPr="002D4EA3" w:rsidRDefault="009E2B77" w:rsidP="003929AB">
            <w:pPr>
              <w:spacing w:after="0" w:line="240" w:lineRule="auto"/>
              <w:ind w:left="-101"/>
              <w:rPr>
                <w:rFonts w:ascii="Times New Roman" w:hAnsi="Times New Roman"/>
              </w:rPr>
            </w:pPr>
            <w:r w:rsidRPr="002D4EA3">
              <w:rPr>
                <w:rFonts w:ascii="Times New Roman" w:hAnsi="Times New Roman"/>
              </w:rPr>
              <w:t>Licenses</w:t>
            </w:r>
          </w:p>
        </w:tc>
        <w:tc>
          <w:tcPr>
            <w:tcW w:w="1300" w:type="dxa"/>
            <w:shd w:val="clear" w:color="auto" w:fill="auto"/>
          </w:tcPr>
          <w:p w14:paraId="572A94D5" w14:textId="77777777" w:rsidR="009E2B77" w:rsidRPr="002D4EA3" w:rsidRDefault="009E2B77" w:rsidP="003929AB">
            <w:pPr>
              <w:spacing w:after="0" w:line="240" w:lineRule="auto"/>
              <w:ind w:left="619"/>
              <w:rPr>
                <w:rFonts w:ascii="Times New Roman" w:hAnsi="Times New Roman"/>
              </w:rPr>
            </w:pPr>
            <w:r w:rsidRPr="002D4EA3">
              <w:rPr>
                <w:rFonts w:ascii="Times New Roman" w:hAnsi="Times New Roman"/>
              </w:rPr>
              <w:t>3-20</w:t>
            </w:r>
          </w:p>
        </w:tc>
      </w:tr>
      <w:tr w:rsidR="009E2B77" w:rsidRPr="002D4EA3" w14:paraId="087DC47B" w14:textId="77777777" w:rsidTr="0041141D">
        <w:trPr>
          <w:trHeight w:val="21"/>
        </w:trPr>
        <w:tc>
          <w:tcPr>
            <w:tcW w:w="2567" w:type="dxa"/>
            <w:shd w:val="clear" w:color="auto" w:fill="auto"/>
          </w:tcPr>
          <w:p w14:paraId="6DA77FBA" w14:textId="77777777" w:rsidR="009E2B77" w:rsidRPr="002D4EA3" w:rsidRDefault="009E2B77" w:rsidP="003929AB">
            <w:pPr>
              <w:spacing w:after="0" w:line="240" w:lineRule="auto"/>
              <w:ind w:left="-101"/>
              <w:rPr>
                <w:rFonts w:ascii="Times New Roman" w:hAnsi="Times New Roman"/>
              </w:rPr>
            </w:pPr>
            <w:r w:rsidRPr="002D4EA3">
              <w:rPr>
                <w:rFonts w:ascii="Times New Roman" w:hAnsi="Times New Roman"/>
              </w:rPr>
              <w:t>Software</w:t>
            </w:r>
          </w:p>
        </w:tc>
        <w:tc>
          <w:tcPr>
            <w:tcW w:w="1300" w:type="dxa"/>
            <w:shd w:val="clear" w:color="auto" w:fill="auto"/>
          </w:tcPr>
          <w:p w14:paraId="4DDBE8C6" w14:textId="77777777" w:rsidR="009E2B77" w:rsidRPr="002D4EA3" w:rsidRDefault="009E2B77" w:rsidP="003929AB">
            <w:pPr>
              <w:spacing w:after="0" w:line="240" w:lineRule="auto"/>
              <w:ind w:left="619"/>
              <w:rPr>
                <w:rFonts w:ascii="Times New Roman" w:hAnsi="Times New Roman"/>
              </w:rPr>
            </w:pPr>
            <w:r w:rsidRPr="002D4EA3">
              <w:rPr>
                <w:rFonts w:ascii="Times New Roman" w:hAnsi="Times New Roman"/>
              </w:rPr>
              <w:t>1-14</w:t>
            </w:r>
          </w:p>
        </w:tc>
      </w:tr>
    </w:tbl>
    <w:p w14:paraId="5BE76046" w14:textId="12E828DE" w:rsidR="009E2B77" w:rsidRPr="007D770B" w:rsidRDefault="009E2B77" w:rsidP="00F96B17">
      <w:pPr>
        <w:pStyle w:val="ABC-paragrahinNotes"/>
        <w:spacing w:before="240"/>
        <w:rPr>
          <w:rFonts w:ascii="Times New Roman" w:hAnsi="Times New Roman"/>
          <w:sz w:val="20"/>
          <w:lang w:val="en-US"/>
        </w:rPr>
      </w:pPr>
      <w:r w:rsidRPr="007D770B">
        <w:rPr>
          <w:rFonts w:ascii="Times New Roman" w:hAnsi="Times New Roman"/>
          <w:sz w:val="20"/>
          <w:lang w:val="en-US"/>
        </w:rPr>
        <w:t>If control over the future economic benefits of an intangible asset is achieved through legal rights that have been granted for a limited period, the useful life of the intangible asset does not exceed the period of the legal right, unless:</w:t>
      </w:r>
    </w:p>
    <w:p w14:paraId="5665431B" w14:textId="77777777" w:rsidR="009E2B77" w:rsidRPr="00005188" w:rsidRDefault="009E2B77" w:rsidP="00AE698A">
      <w:pPr>
        <w:pStyle w:val="Iauiue"/>
        <w:numPr>
          <w:ilvl w:val="0"/>
          <w:numId w:val="214"/>
        </w:numPr>
        <w:spacing w:before="240" w:after="240"/>
        <w:jc w:val="both"/>
        <w:rPr>
          <w:sz w:val="20"/>
          <w:szCs w:val="20"/>
        </w:rPr>
      </w:pPr>
      <w:r w:rsidRPr="00005188">
        <w:rPr>
          <w:sz w:val="20"/>
          <w:szCs w:val="20"/>
        </w:rPr>
        <w:t>legal rights are renewable; and</w:t>
      </w:r>
    </w:p>
    <w:p w14:paraId="05CC4F4F" w14:textId="77777777" w:rsidR="009E2B77" w:rsidRPr="007D770B" w:rsidRDefault="009E2B77" w:rsidP="00AE698A">
      <w:pPr>
        <w:pStyle w:val="Iauiue"/>
        <w:numPr>
          <w:ilvl w:val="0"/>
          <w:numId w:val="214"/>
        </w:numPr>
        <w:spacing w:before="240" w:after="240"/>
        <w:jc w:val="both"/>
        <w:rPr>
          <w:sz w:val="20"/>
          <w:szCs w:val="20"/>
          <w:lang w:val="en-US"/>
        </w:rPr>
      </w:pPr>
      <w:r w:rsidRPr="007D770B">
        <w:rPr>
          <w:sz w:val="20"/>
          <w:szCs w:val="20"/>
          <w:lang w:val="en-US"/>
        </w:rPr>
        <w:t>the cost of maintaining the intangible asset in a condition for future use is not significant.</w:t>
      </w:r>
    </w:p>
    <w:p w14:paraId="0A0B3DC7" w14:textId="77777777" w:rsidR="009E2B77" w:rsidRPr="007D770B" w:rsidRDefault="009E2B77" w:rsidP="00F96B17">
      <w:pPr>
        <w:pStyle w:val="ABC-paragrahinNotes"/>
        <w:spacing w:before="240"/>
        <w:rPr>
          <w:rFonts w:ascii="Times New Roman" w:hAnsi="Times New Roman"/>
          <w:sz w:val="20"/>
          <w:lang w:val="en-US"/>
        </w:rPr>
      </w:pPr>
      <w:r w:rsidRPr="007D770B">
        <w:rPr>
          <w:rFonts w:ascii="Times New Roman" w:hAnsi="Times New Roman"/>
          <w:sz w:val="20"/>
          <w:lang w:val="en-US"/>
        </w:rPr>
        <w:t xml:space="preserve">The </w:t>
      </w:r>
      <w:r w:rsidR="00F9744B" w:rsidRPr="007D770B">
        <w:rPr>
          <w:rFonts w:ascii="Times New Roman" w:hAnsi="Times New Roman"/>
          <w:sz w:val="20"/>
          <w:lang w:val="en-US"/>
        </w:rPr>
        <w:t xml:space="preserve">Bank </w:t>
      </w:r>
      <w:r w:rsidRPr="007D770B">
        <w:rPr>
          <w:rFonts w:ascii="Times New Roman" w:hAnsi="Times New Roman"/>
          <w:sz w:val="20"/>
          <w:lang w:val="en-US"/>
        </w:rPr>
        <w:t>assumes that the economic benefits from intangible assets are consumed on a straight-line basis over the useful lives of the items and uses the straight-line method to amortize intangible assets.</w:t>
      </w:r>
    </w:p>
    <w:p w14:paraId="6C4DB7FC" w14:textId="77777777" w:rsidR="009E2B77" w:rsidRPr="007D770B" w:rsidRDefault="009E2B77" w:rsidP="00F96B17">
      <w:pPr>
        <w:pStyle w:val="ABC-paragrahinNotes"/>
        <w:spacing w:before="240"/>
        <w:rPr>
          <w:rFonts w:ascii="Times New Roman" w:hAnsi="Times New Roman"/>
          <w:sz w:val="20"/>
          <w:lang w:val="en-US"/>
        </w:rPr>
      </w:pPr>
      <w:r w:rsidRPr="007D770B">
        <w:rPr>
          <w:rFonts w:ascii="Times New Roman" w:hAnsi="Times New Roman"/>
          <w:sz w:val="20"/>
          <w:lang w:val="en-US"/>
        </w:rPr>
        <w:t>The straight-line method of amortization is applied consistently from period to period, unless there is a change in the pattern of consumption of the economic benefits expected from the use of intangible assets.</w:t>
      </w:r>
    </w:p>
    <w:p w14:paraId="7C981D54" w14:textId="77777777" w:rsidR="009E2B77" w:rsidRPr="007D770B" w:rsidRDefault="009E2B77" w:rsidP="00F96B17">
      <w:pPr>
        <w:pStyle w:val="ABC-paragrahinNotes"/>
        <w:spacing w:before="240"/>
        <w:rPr>
          <w:rFonts w:ascii="Times New Roman" w:hAnsi="Times New Roman"/>
          <w:sz w:val="20"/>
          <w:lang w:val="en-US"/>
        </w:rPr>
      </w:pPr>
      <w:r w:rsidRPr="007D770B">
        <w:rPr>
          <w:rFonts w:ascii="Times New Roman" w:hAnsi="Times New Roman"/>
          <w:sz w:val="20"/>
          <w:lang w:val="en-US"/>
        </w:rPr>
        <w:t xml:space="preserve">An intangible asset with an indefinite useful life is not amortized but is tested annually for impairment. </w:t>
      </w:r>
    </w:p>
    <w:p w14:paraId="72AA172C" w14:textId="77777777" w:rsidR="009E2B77" w:rsidRPr="007D770B" w:rsidRDefault="009E2B77" w:rsidP="00F96B17">
      <w:pPr>
        <w:spacing w:before="240" w:line="240" w:lineRule="auto"/>
        <w:ind w:left="0"/>
        <w:rPr>
          <w:rFonts w:ascii="Times New Roman" w:hAnsi="Times New Roman"/>
          <w:b/>
          <w:lang w:val="en-US"/>
        </w:rPr>
      </w:pPr>
      <w:r w:rsidRPr="007D770B">
        <w:rPr>
          <w:rFonts w:ascii="Times New Roman" w:hAnsi="Times New Roman"/>
          <w:b/>
          <w:lang w:val="en-US"/>
        </w:rPr>
        <w:t>Revision of useful life and amortization method</w:t>
      </w:r>
    </w:p>
    <w:p w14:paraId="0247F656" w14:textId="77777777" w:rsidR="009E2B77" w:rsidRPr="007D770B" w:rsidRDefault="009E2B77" w:rsidP="00F96B17">
      <w:pPr>
        <w:pStyle w:val="ABC-paragrahinNotes"/>
        <w:spacing w:before="240"/>
        <w:rPr>
          <w:rFonts w:ascii="Times New Roman" w:hAnsi="Times New Roman"/>
          <w:sz w:val="20"/>
          <w:lang w:val="en-US"/>
        </w:rPr>
      </w:pPr>
      <w:r w:rsidRPr="007D770B">
        <w:rPr>
          <w:rFonts w:ascii="Times New Roman" w:hAnsi="Times New Roman"/>
          <w:sz w:val="20"/>
          <w:lang w:val="en-US"/>
        </w:rPr>
        <w:t xml:space="preserve">The useful lives of intangible assets with finite lives are </w:t>
      </w:r>
      <w:r w:rsidR="00C57615" w:rsidRPr="007D770B">
        <w:rPr>
          <w:rFonts w:ascii="Times New Roman" w:hAnsi="Times New Roman"/>
          <w:sz w:val="20"/>
          <w:lang w:val="en-US"/>
        </w:rPr>
        <w:t xml:space="preserve">reviewed </w:t>
      </w:r>
      <w:r w:rsidRPr="007D770B">
        <w:rPr>
          <w:rFonts w:ascii="Times New Roman" w:hAnsi="Times New Roman"/>
          <w:sz w:val="20"/>
          <w:lang w:val="en-US"/>
        </w:rPr>
        <w:t>annually. If the estimated useful life differs significantly from previous estimates, the amortization period should be changed accordingly.</w:t>
      </w:r>
    </w:p>
    <w:p w14:paraId="1DC204C1" w14:textId="77777777" w:rsidR="009E2B77" w:rsidRPr="007D770B" w:rsidRDefault="009E2B77" w:rsidP="00F96B17">
      <w:pPr>
        <w:pStyle w:val="ABC-paragrahinNotes"/>
        <w:spacing w:before="240"/>
        <w:rPr>
          <w:rFonts w:ascii="Times New Roman" w:hAnsi="Times New Roman"/>
          <w:sz w:val="20"/>
          <w:lang w:val="en-US"/>
        </w:rPr>
      </w:pPr>
      <w:r w:rsidRPr="007D770B">
        <w:rPr>
          <w:rFonts w:ascii="Times New Roman" w:hAnsi="Times New Roman"/>
          <w:sz w:val="20"/>
          <w:lang w:val="en-US"/>
        </w:rPr>
        <w:t xml:space="preserve">If there has been a significant change in the pattern of consumption of </w:t>
      </w:r>
      <w:r w:rsidR="00CF649B" w:rsidRPr="007D770B">
        <w:rPr>
          <w:rFonts w:ascii="Times New Roman" w:hAnsi="Times New Roman"/>
          <w:sz w:val="20"/>
          <w:lang w:val="en-US"/>
        </w:rPr>
        <w:t>the</w:t>
      </w:r>
      <w:r w:rsidRPr="007D770B">
        <w:rPr>
          <w:rFonts w:ascii="Times New Roman" w:hAnsi="Times New Roman"/>
          <w:sz w:val="20"/>
          <w:lang w:val="en-US"/>
        </w:rPr>
        <w:t xml:space="preserve"> economic benefits expected to arise from the use of an item of intangible assets, the amortization method is changed to reflect that change.</w:t>
      </w:r>
    </w:p>
    <w:p w14:paraId="373D2CD8" w14:textId="77777777" w:rsidR="009E2B77" w:rsidRPr="007D770B" w:rsidRDefault="009E2B77" w:rsidP="00F96B17">
      <w:pPr>
        <w:pStyle w:val="Iauiue"/>
        <w:spacing w:before="240" w:after="240"/>
        <w:jc w:val="both"/>
        <w:rPr>
          <w:sz w:val="20"/>
          <w:szCs w:val="20"/>
          <w:lang w:val="en-US"/>
        </w:rPr>
      </w:pPr>
      <w:r w:rsidRPr="007D770B">
        <w:rPr>
          <w:sz w:val="20"/>
          <w:szCs w:val="20"/>
          <w:lang w:val="en-US"/>
        </w:rPr>
        <w:lastRenderedPageBreak/>
        <w:t>Changes in the useful life and amortization method of intangible assets are accounted for as changes in estimates by adjusting the amortization charge for current and future periods.</w:t>
      </w:r>
    </w:p>
    <w:p w14:paraId="40EE24F3" w14:textId="77777777" w:rsidR="009E2B77" w:rsidRPr="007D770B" w:rsidRDefault="009E2B77" w:rsidP="00F96B17">
      <w:pPr>
        <w:spacing w:before="240" w:line="240" w:lineRule="auto"/>
        <w:ind w:left="0"/>
        <w:rPr>
          <w:rFonts w:ascii="Times New Roman" w:hAnsi="Times New Roman"/>
          <w:b/>
          <w:lang w:val="en-US"/>
        </w:rPr>
      </w:pPr>
      <w:r w:rsidRPr="007D770B">
        <w:rPr>
          <w:rFonts w:ascii="Times New Roman" w:hAnsi="Times New Roman"/>
          <w:b/>
          <w:lang w:val="en-US"/>
        </w:rPr>
        <w:t>Impairment of intangible assets</w:t>
      </w:r>
    </w:p>
    <w:p w14:paraId="0B0C46E3" w14:textId="415C1F2A" w:rsidR="009E2B77" w:rsidRPr="007D770B" w:rsidRDefault="009E2B77" w:rsidP="00F96B17">
      <w:pPr>
        <w:pStyle w:val="Iauiue"/>
        <w:spacing w:before="240" w:after="240"/>
        <w:jc w:val="both"/>
        <w:rPr>
          <w:sz w:val="20"/>
          <w:szCs w:val="20"/>
          <w:lang w:val="en-US"/>
        </w:rPr>
      </w:pPr>
      <w:r w:rsidRPr="007D770B">
        <w:rPr>
          <w:sz w:val="20"/>
          <w:szCs w:val="20"/>
          <w:lang w:val="en-US"/>
        </w:rPr>
        <w:t xml:space="preserve">The </w:t>
      </w:r>
      <w:r w:rsidR="00F9744B" w:rsidRPr="007D770B">
        <w:rPr>
          <w:sz w:val="20"/>
          <w:szCs w:val="20"/>
          <w:lang w:val="en-US"/>
        </w:rPr>
        <w:t xml:space="preserve">Bank </w:t>
      </w:r>
      <w:r w:rsidRPr="007D770B">
        <w:rPr>
          <w:sz w:val="20"/>
          <w:szCs w:val="20"/>
          <w:lang w:val="en-US"/>
        </w:rPr>
        <w:t xml:space="preserve">annually assesses the recoverable amount of intangible assets not yet available for use. The recoverable amount of the intangible asset in accordance with section </w:t>
      </w:r>
      <w:r w:rsidR="00D34A18" w:rsidRPr="007D770B">
        <w:rPr>
          <w:sz w:val="20"/>
          <w:szCs w:val="20"/>
          <w:lang w:val="en-US"/>
        </w:rPr>
        <w:t xml:space="preserve">11 </w:t>
      </w:r>
      <w:r w:rsidRPr="007D770B">
        <w:rPr>
          <w:sz w:val="20"/>
          <w:szCs w:val="20"/>
          <w:lang w:val="en-US"/>
        </w:rPr>
        <w:t xml:space="preserve">Impairment of Assets (IAS 36) </w:t>
      </w:r>
      <w:r w:rsidR="00802136" w:rsidRPr="007D770B">
        <w:rPr>
          <w:sz w:val="20"/>
          <w:szCs w:val="20"/>
          <w:lang w:val="en-US"/>
        </w:rPr>
        <w:t xml:space="preserve">of </w:t>
      </w:r>
      <w:r w:rsidRPr="007D770B">
        <w:rPr>
          <w:sz w:val="20"/>
          <w:szCs w:val="20"/>
          <w:lang w:val="en-US"/>
        </w:rPr>
        <w:t xml:space="preserve">Chapter 2. Impairment loss and reversal of impairment loss are recognized in the statement of comprehensive income. </w:t>
      </w:r>
    </w:p>
    <w:p w14:paraId="71082650" w14:textId="5E5F9707" w:rsidR="004A0977" w:rsidRPr="007D770B" w:rsidRDefault="004A0977" w:rsidP="004A0977">
      <w:pPr>
        <w:pStyle w:val="affff3"/>
        <w:ind w:right="48"/>
        <w:jc w:val="both"/>
        <w:rPr>
          <w:rFonts w:eastAsia="Calibri"/>
          <w:sz w:val="20"/>
          <w:szCs w:val="20"/>
          <w:lang w:val="en-US"/>
        </w:rPr>
      </w:pPr>
      <w:r w:rsidRPr="007D770B">
        <w:rPr>
          <w:rFonts w:eastAsia="Calibri"/>
          <w:sz w:val="20"/>
          <w:szCs w:val="20"/>
          <w:lang w:val="en-US"/>
        </w:rPr>
        <w:t xml:space="preserve">Each year before the financial statements are prepared, the Bank's authorized body (the Bank's Commission for determining the cost and write-off of property, plant and equipment, intangible assets and stale inventories) identifies indicators of possible impairment of intangible assets. If any indication of impairment is identified, an impairment test is performed. An impairment test is performed by </w:t>
      </w:r>
      <w:r w:rsidR="00032038" w:rsidRPr="007D770B">
        <w:rPr>
          <w:rFonts w:eastAsia="Calibri"/>
          <w:sz w:val="20"/>
          <w:szCs w:val="20"/>
          <w:lang w:val="en-US"/>
        </w:rPr>
        <w:t xml:space="preserve">comparing the carrying amount with the </w:t>
      </w:r>
      <w:r w:rsidRPr="007D770B">
        <w:rPr>
          <w:rFonts w:eastAsia="Calibri"/>
          <w:sz w:val="20"/>
          <w:szCs w:val="20"/>
          <w:lang w:val="en-US"/>
        </w:rPr>
        <w:t xml:space="preserve">recoverable amount, irrespective of whether there is </w:t>
      </w:r>
      <w:r w:rsidR="00032038" w:rsidRPr="007D770B">
        <w:rPr>
          <w:rFonts w:eastAsia="Calibri"/>
          <w:sz w:val="20"/>
          <w:szCs w:val="20"/>
          <w:lang w:val="en-US"/>
        </w:rPr>
        <w:t xml:space="preserve">any </w:t>
      </w:r>
      <w:r w:rsidRPr="007D770B">
        <w:rPr>
          <w:rFonts w:eastAsia="Calibri"/>
          <w:sz w:val="20"/>
          <w:szCs w:val="20"/>
          <w:lang w:val="en-US"/>
        </w:rPr>
        <w:t>indication of impairment for intangible assets with indefinite useful lives or that are not yet available for use.</w:t>
      </w:r>
    </w:p>
    <w:p w14:paraId="76480450" w14:textId="77777777" w:rsidR="00E11D91" w:rsidRPr="007D770B" w:rsidRDefault="00E11D91" w:rsidP="004A0977">
      <w:pPr>
        <w:pStyle w:val="affff3"/>
        <w:ind w:right="48"/>
        <w:jc w:val="both"/>
        <w:rPr>
          <w:rFonts w:eastAsia="Calibri"/>
          <w:sz w:val="20"/>
          <w:szCs w:val="20"/>
          <w:lang w:val="en-US"/>
        </w:rPr>
      </w:pPr>
    </w:p>
    <w:p w14:paraId="60B2BF93" w14:textId="640858A8" w:rsidR="004A0977" w:rsidRPr="007D770B" w:rsidRDefault="004A0977" w:rsidP="004A0977">
      <w:pPr>
        <w:pStyle w:val="affff3"/>
        <w:tabs>
          <w:tab w:val="left" w:pos="0"/>
          <w:tab w:val="left" w:pos="609"/>
          <w:tab w:val="left" w:pos="2520"/>
          <w:tab w:val="left" w:pos="3960"/>
        </w:tabs>
        <w:ind w:right="-6"/>
        <w:jc w:val="both"/>
        <w:rPr>
          <w:rFonts w:eastAsia="Calibri"/>
          <w:sz w:val="20"/>
          <w:szCs w:val="20"/>
          <w:lang w:val="en-US"/>
        </w:rPr>
      </w:pPr>
      <w:r w:rsidRPr="007D770B">
        <w:rPr>
          <w:rFonts w:eastAsia="Calibri"/>
          <w:sz w:val="20"/>
          <w:szCs w:val="20"/>
          <w:lang w:val="en-US"/>
        </w:rPr>
        <w:t xml:space="preserve">The procedure for impairment of intangible </w:t>
      </w:r>
      <w:r w:rsidR="00032038" w:rsidRPr="007D770B">
        <w:rPr>
          <w:rFonts w:eastAsia="Calibri"/>
          <w:sz w:val="20"/>
          <w:szCs w:val="20"/>
          <w:lang w:val="en-US"/>
        </w:rPr>
        <w:t xml:space="preserve">assets is regulated by the internal </w:t>
      </w:r>
      <w:r w:rsidRPr="007D770B">
        <w:rPr>
          <w:rFonts w:eastAsia="Calibri"/>
          <w:sz w:val="20"/>
          <w:szCs w:val="20"/>
          <w:lang w:val="en-US"/>
        </w:rPr>
        <w:t>document on administrative and business accounting</w:t>
      </w:r>
    </w:p>
    <w:p w14:paraId="446C55A0" w14:textId="77777777" w:rsidR="004A0977" w:rsidRPr="007D770B" w:rsidRDefault="004A0977" w:rsidP="004A0977">
      <w:pPr>
        <w:rPr>
          <w:lang w:val="en-US" w:eastAsia="ru-RU"/>
        </w:rPr>
      </w:pPr>
    </w:p>
    <w:p w14:paraId="0B1DB232" w14:textId="77777777" w:rsidR="009E2B77" w:rsidRPr="007D770B" w:rsidRDefault="009E2B77" w:rsidP="00F96B17">
      <w:pPr>
        <w:spacing w:before="240" w:line="240" w:lineRule="auto"/>
        <w:ind w:left="0"/>
        <w:rPr>
          <w:rFonts w:ascii="Times New Roman" w:hAnsi="Times New Roman"/>
          <w:b/>
          <w:lang w:val="en-US"/>
        </w:rPr>
      </w:pPr>
      <w:r w:rsidRPr="007D770B">
        <w:rPr>
          <w:rFonts w:ascii="Times New Roman" w:hAnsi="Times New Roman"/>
          <w:b/>
          <w:lang w:val="en-US"/>
        </w:rPr>
        <w:t>Accounting for the disposal of intangible assets</w:t>
      </w:r>
    </w:p>
    <w:p w14:paraId="0D49DE31" w14:textId="77777777" w:rsidR="009E2B77" w:rsidRPr="007D770B" w:rsidRDefault="009E2B77" w:rsidP="00F96B17">
      <w:pPr>
        <w:pStyle w:val="Iauiue"/>
        <w:spacing w:before="240" w:after="240"/>
        <w:jc w:val="both"/>
        <w:rPr>
          <w:sz w:val="20"/>
          <w:szCs w:val="20"/>
          <w:lang w:val="en-US"/>
        </w:rPr>
      </w:pPr>
      <w:r w:rsidRPr="007D770B">
        <w:rPr>
          <w:sz w:val="20"/>
          <w:szCs w:val="20"/>
          <w:lang w:val="en-US"/>
        </w:rPr>
        <w:t xml:space="preserve">An intangible asset is removed from the </w:t>
      </w:r>
      <w:r w:rsidR="00F9744B" w:rsidRPr="007D770B">
        <w:rPr>
          <w:sz w:val="20"/>
          <w:szCs w:val="20"/>
          <w:lang w:val="en-US"/>
        </w:rPr>
        <w:t xml:space="preserve">Bank's </w:t>
      </w:r>
      <w:r w:rsidRPr="007D770B">
        <w:rPr>
          <w:sz w:val="20"/>
          <w:szCs w:val="20"/>
          <w:lang w:val="en-US"/>
        </w:rPr>
        <w:t xml:space="preserve">statement of financial position on disposal or when the asset is determined to be derecognized and no further economic benefits are expected from disposal. The financial result from the disposal or retirement of intangible assets is determined as the difference between the net disposal proceeds and the carrying amount of the intangible asset and is recognized in the respective lines of the statement of comprehensive income. The carrying amount is the difference between the original cost of the intangible asset and the accumulated amortization (including provision for impairment). </w:t>
      </w:r>
    </w:p>
    <w:p w14:paraId="65DDAFDA" w14:textId="77777777" w:rsidR="009E2B77" w:rsidRPr="002D4EA3" w:rsidRDefault="009E2B77" w:rsidP="00F96B17">
      <w:pPr>
        <w:pStyle w:val="Iauiue"/>
        <w:spacing w:before="240" w:after="240"/>
        <w:jc w:val="both"/>
        <w:rPr>
          <w:sz w:val="20"/>
          <w:szCs w:val="20"/>
        </w:rPr>
      </w:pPr>
      <w:r w:rsidRPr="007D770B">
        <w:rPr>
          <w:sz w:val="20"/>
          <w:szCs w:val="20"/>
          <w:lang w:val="en-US"/>
        </w:rPr>
        <w:t xml:space="preserve">When transferring intangible assets, the </w:t>
      </w:r>
      <w:r w:rsidR="00F9744B" w:rsidRPr="007D770B">
        <w:rPr>
          <w:sz w:val="20"/>
          <w:szCs w:val="20"/>
          <w:lang w:val="en-US"/>
        </w:rPr>
        <w:t xml:space="preserve">Bank </w:t>
      </w:r>
      <w:r w:rsidRPr="007D770B">
        <w:rPr>
          <w:sz w:val="20"/>
          <w:szCs w:val="20"/>
          <w:lang w:val="en-US"/>
        </w:rPr>
        <w:t xml:space="preserve">assesses the extent to which it retains the risks and rewards of ownership of the asset. </w:t>
      </w:r>
      <w:r w:rsidRPr="002D4EA3">
        <w:rPr>
          <w:sz w:val="20"/>
          <w:szCs w:val="20"/>
        </w:rPr>
        <w:t>In doing so:</w:t>
      </w:r>
    </w:p>
    <w:p w14:paraId="04B024ED" w14:textId="77777777" w:rsidR="009E2B77" w:rsidRPr="007D770B" w:rsidRDefault="009E2B77" w:rsidP="00AE698A">
      <w:pPr>
        <w:pStyle w:val="Iauiue"/>
        <w:numPr>
          <w:ilvl w:val="0"/>
          <w:numId w:val="215"/>
        </w:numPr>
        <w:spacing w:before="240" w:after="240"/>
        <w:jc w:val="both"/>
        <w:rPr>
          <w:sz w:val="20"/>
          <w:szCs w:val="20"/>
          <w:lang w:val="en-US"/>
        </w:rPr>
      </w:pPr>
      <w:r w:rsidRPr="007D770B">
        <w:rPr>
          <w:sz w:val="20"/>
          <w:szCs w:val="20"/>
          <w:lang w:val="en-US"/>
        </w:rPr>
        <w:t xml:space="preserve">when the majority of the risks and rewards of ownership of an asset have been transferred, the </w:t>
      </w:r>
      <w:r w:rsidR="00F9744B" w:rsidRPr="007D770B">
        <w:rPr>
          <w:sz w:val="20"/>
          <w:szCs w:val="20"/>
          <w:lang w:val="en-US"/>
        </w:rPr>
        <w:t xml:space="preserve">Bank </w:t>
      </w:r>
      <w:r w:rsidRPr="007D770B">
        <w:rPr>
          <w:sz w:val="20"/>
          <w:szCs w:val="20"/>
          <w:lang w:val="en-US"/>
        </w:rPr>
        <w:t>recognizes the disposal and separately recognizes as an asset or liability any rights or obligations assumed in the transfer;</w:t>
      </w:r>
    </w:p>
    <w:p w14:paraId="74854CB2" w14:textId="77777777" w:rsidR="009E2B77" w:rsidRPr="007D770B" w:rsidRDefault="009E2B77" w:rsidP="00AE698A">
      <w:pPr>
        <w:pStyle w:val="Iauiue"/>
        <w:numPr>
          <w:ilvl w:val="0"/>
          <w:numId w:val="215"/>
        </w:numPr>
        <w:spacing w:before="240" w:after="240"/>
        <w:jc w:val="both"/>
        <w:rPr>
          <w:sz w:val="20"/>
          <w:szCs w:val="20"/>
          <w:lang w:val="en-US"/>
        </w:rPr>
      </w:pPr>
      <w:r w:rsidRPr="007D770B">
        <w:rPr>
          <w:sz w:val="20"/>
          <w:szCs w:val="20"/>
          <w:lang w:val="en-US"/>
        </w:rPr>
        <w:t xml:space="preserve">if the </w:t>
      </w:r>
      <w:r w:rsidR="00F9744B" w:rsidRPr="007D770B">
        <w:rPr>
          <w:sz w:val="20"/>
          <w:szCs w:val="20"/>
          <w:lang w:val="en-US"/>
        </w:rPr>
        <w:t xml:space="preserve">Bank </w:t>
      </w:r>
      <w:r w:rsidRPr="007D770B">
        <w:rPr>
          <w:sz w:val="20"/>
          <w:szCs w:val="20"/>
          <w:lang w:val="en-US"/>
        </w:rPr>
        <w:t>continues to bear the majority of the risks and rewards of ownership, no derecognition of the intangible asset is recognized.</w:t>
      </w:r>
    </w:p>
    <w:p w14:paraId="38DC3623" w14:textId="77777777" w:rsidR="009E2B77" w:rsidRPr="007D770B" w:rsidRDefault="009E2B77" w:rsidP="00F96B17">
      <w:pPr>
        <w:spacing w:before="240" w:line="240" w:lineRule="auto"/>
        <w:ind w:left="0"/>
        <w:rPr>
          <w:rFonts w:ascii="Times New Roman" w:hAnsi="Times New Roman"/>
          <w:lang w:val="en-US"/>
        </w:rPr>
      </w:pPr>
      <w:r w:rsidRPr="007D770B">
        <w:rPr>
          <w:rFonts w:ascii="Times New Roman" w:hAnsi="Times New Roman"/>
          <w:lang w:val="en-US"/>
        </w:rPr>
        <w:t xml:space="preserve">Where the </w:t>
      </w:r>
      <w:r w:rsidR="00F9744B" w:rsidRPr="007D770B">
        <w:rPr>
          <w:rFonts w:ascii="Times New Roman" w:hAnsi="Times New Roman"/>
          <w:lang w:val="en-US"/>
        </w:rPr>
        <w:t xml:space="preserve">Bank </w:t>
      </w:r>
      <w:r w:rsidR="002638B9" w:rsidRPr="007D770B">
        <w:rPr>
          <w:rFonts w:ascii="Times New Roman" w:hAnsi="Times New Roman"/>
          <w:lang w:val="en-US"/>
        </w:rPr>
        <w:t xml:space="preserve">has transferred substantially </w:t>
      </w:r>
      <w:r w:rsidRPr="007D770B">
        <w:rPr>
          <w:rFonts w:ascii="Times New Roman" w:hAnsi="Times New Roman"/>
          <w:lang w:val="en-US"/>
        </w:rPr>
        <w:t xml:space="preserve">all the benefits of ownership of an asset and </w:t>
      </w:r>
      <w:r w:rsidR="002638B9" w:rsidRPr="007D770B">
        <w:rPr>
          <w:rFonts w:ascii="Times New Roman" w:hAnsi="Times New Roman"/>
          <w:lang w:val="en-US"/>
        </w:rPr>
        <w:t xml:space="preserve">retained </w:t>
      </w:r>
      <w:r w:rsidRPr="007D770B">
        <w:rPr>
          <w:rFonts w:ascii="Times New Roman" w:hAnsi="Times New Roman"/>
          <w:lang w:val="en-US"/>
        </w:rPr>
        <w:t xml:space="preserve">substantially all the risks incidental to ownership, the asset remains with the </w:t>
      </w:r>
      <w:r w:rsidR="00F9744B" w:rsidRPr="007D770B">
        <w:rPr>
          <w:rFonts w:ascii="Times New Roman" w:hAnsi="Times New Roman"/>
          <w:lang w:val="en-US"/>
        </w:rPr>
        <w:t>Bank</w:t>
      </w:r>
      <w:r w:rsidRPr="007D770B">
        <w:rPr>
          <w:rFonts w:ascii="Times New Roman" w:hAnsi="Times New Roman"/>
          <w:lang w:val="en-US"/>
        </w:rPr>
        <w:t xml:space="preserve">. </w:t>
      </w:r>
    </w:p>
    <w:p w14:paraId="73159EB9" w14:textId="77777777" w:rsidR="009E2B77" w:rsidRPr="007D770B" w:rsidRDefault="009E2B77" w:rsidP="00F96B17">
      <w:pPr>
        <w:pStyle w:val="ABC-paragrahinNotes"/>
        <w:spacing w:before="240"/>
        <w:rPr>
          <w:rFonts w:ascii="Times New Roman" w:hAnsi="Times New Roman"/>
          <w:sz w:val="20"/>
          <w:lang w:val="en-US"/>
        </w:rPr>
      </w:pPr>
      <w:r w:rsidRPr="007D770B">
        <w:rPr>
          <w:rFonts w:ascii="Times New Roman" w:hAnsi="Times New Roman"/>
          <w:sz w:val="20"/>
          <w:lang w:val="en-US"/>
        </w:rPr>
        <w:t xml:space="preserve">The </w:t>
      </w:r>
      <w:r w:rsidR="00F9744B" w:rsidRPr="007D770B">
        <w:rPr>
          <w:rFonts w:ascii="Times New Roman" w:hAnsi="Times New Roman"/>
          <w:sz w:val="20"/>
          <w:lang w:val="en-US"/>
        </w:rPr>
        <w:t xml:space="preserve">Bank </w:t>
      </w:r>
      <w:r w:rsidRPr="007D770B">
        <w:rPr>
          <w:rFonts w:ascii="Times New Roman" w:hAnsi="Times New Roman"/>
          <w:sz w:val="20"/>
          <w:lang w:val="en-US"/>
        </w:rPr>
        <w:t xml:space="preserve">includes in the carrying amount of the intangible asset the cost of replacing part of the intangible asset and derecognizes the carrying amount of the replaced part.  If the </w:t>
      </w:r>
      <w:r w:rsidR="00F9744B" w:rsidRPr="007D770B">
        <w:rPr>
          <w:rFonts w:ascii="Times New Roman" w:hAnsi="Times New Roman"/>
          <w:sz w:val="20"/>
          <w:lang w:val="en-US"/>
        </w:rPr>
        <w:t xml:space="preserve">Bank </w:t>
      </w:r>
      <w:r w:rsidRPr="007D770B">
        <w:rPr>
          <w:rFonts w:ascii="Times New Roman" w:hAnsi="Times New Roman"/>
          <w:sz w:val="20"/>
          <w:lang w:val="en-US"/>
        </w:rPr>
        <w:t>is unable to determine the carrying amount of the replaced part, the replacement cost at the time of acquisition or construction may be used as the approximate cost of the replaced part.</w:t>
      </w:r>
    </w:p>
    <w:p w14:paraId="1F772063" w14:textId="3D6A7970" w:rsidR="009E2B77" w:rsidRPr="007D770B" w:rsidRDefault="009E2B77" w:rsidP="00E61D21">
      <w:pPr>
        <w:pStyle w:val="3"/>
        <w:rPr>
          <w:lang w:val="en-US"/>
        </w:rPr>
      </w:pPr>
      <w:bookmarkStart w:id="89" w:name="_Toc249285597"/>
      <w:bookmarkStart w:id="90" w:name="_Toc270001418"/>
      <w:bookmarkStart w:id="91" w:name="_Toc168502027"/>
      <w:r w:rsidRPr="007D770B">
        <w:rPr>
          <w:lang w:val="en-US"/>
        </w:rPr>
        <w:t xml:space="preserve">2.3 Disclosure of information </w:t>
      </w:r>
      <w:bookmarkEnd w:id="89"/>
      <w:bookmarkEnd w:id="90"/>
      <w:bookmarkEnd w:id="91"/>
    </w:p>
    <w:p w14:paraId="38222F23" w14:textId="77777777" w:rsidR="009E2B77" w:rsidRPr="007D770B" w:rsidRDefault="009E2B77" w:rsidP="00F96B17">
      <w:pPr>
        <w:spacing w:before="240" w:line="240" w:lineRule="auto"/>
        <w:ind w:left="0"/>
        <w:rPr>
          <w:rFonts w:ascii="Times New Roman" w:hAnsi="Times New Roman"/>
          <w:lang w:val="en-US"/>
        </w:rPr>
      </w:pPr>
      <w:r w:rsidRPr="007D770B">
        <w:rPr>
          <w:rFonts w:ascii="Times New Roman" w:hAnsi="Times New Roman"/>
          <w:lang w:val="en-US"/>
        </w:rPr>
        <w:t xml:space="preserve">In the financial statements, the </w:t>
      </w:r>
      <w:r w:rsidR="00F9744B" w:rsidRPr="007D770B">
        <w:rPr>
          <w:rFonts w:ascii="Times New Roman" w:hAnsi="Times New Roman"/>
          <w:lang w:val="en-US"/>
        </w:rPr>
        <w:t xml:space="preserve">Bank </w:t>
      </w:r>
      <w:r w:rsidRPr="007D770B">
        <w:rPr>
          <w:rFonts w:ascii="Times New Roman" w:hAnsi="Times New Roman"/>
          <w:lang w:val="en-US"/>
        </w:rPr>
        <w:t>discloses the following information for each class of intangible assets, distinguishing between internally generated intangible assets and other intangible assets:</w:t>
      </w:r>
    </w:p>
    <w:p w14:paraId="12771BE6" w14:textId="77777777" w:rsidR="009E2B77" w:rsidRPr="007D770B" w:rsidRDefault="009E2B77" w:rsidP="00AE698A">
      <w:pPr>
        <w:numPr>
          <w:ilvl w:val="0"/>
          <w:numId w:val="216"/>
        </w:numPr>
        <w:spacing w:before="240" w:line="240" w:lineRule="auto"/>
        <w:rPr>
          <w:rFonts w:ascii="Times New Roman" w:hAnsi="Times New Roman"/>
          <w:lang w:val="en-US"/>
        </w:rPr>
      </w:pPr>
      <w:r w:rsidRPr="007D770B">
        <w:rPr>
          <w:rFonts w:ascii="Times New Roman" w:hAnsi="Times New Roman"/>
          <w:lang w:val="en-US"/>
        </w:rPr>
        <w:t>useful lives or applicable depreciation rates;</w:t>
      </w:r>
    </w:p>
    <w:p w14:paraId="7E75F349" w14:textId="77777777" w:rsidR="009E2B77" w:rsidRPr="007D770B" w:rsidRDefault="009E2B77" w:rsidP="00AE698A">
      <w:pPr>
        <w:numPr>
          <w:ilvl w:val="0"/>
          <w:numId w:val="216"/>
        </w:numPr>
        <w:spacing w:before="240" w:line="240" w:lineRule="auto"/>
        <w:rPr>
          <w:rFonts w:ascii="Times New Roman" w:hAnsi="Times New Roman"/>
          <w:lang w:val="en-US"/>
        </w:rPr>
      </w:pPr>
      <w:r w:rsidRPr="007D770B">
        <w:rPr>
          <w:rFonts w:ascii="Times New Roman" w:hAnsi="Times New Roman"/>
          <w:lang w:val="en-US"/>
        </w:rPr>
        <w:t>applied depreciation methods (straight-line method);</w:t>
      </w:r>
    </w:p>
    <w:p w14:paraId="0E032239" w14:textId="77777777" w:rsidR="009E2B77" w:rsidRPr="007D770B" w:rsidRDefault="009E2B77" w:rsidP="00AE698A">
      <w:pPr>
        <w:numPr>
          <w:ilvl w:val="0"/>
          <w:numId w:val="216"/>
        </w:numPr>
        <w:spacing w:before="240" w:line="240" w:lineRule="auto"/>
        <w:rPr>
          <w:rFonts w:ascii="Times New Roman" w:hAnsi="Times New Roman"/>
          <w:lang w:val="en-US"/>
        </w:rPr>
      </w:pPr>
      <w:r w:rsidRPr="007D770B">
        <w:rPr>
          <w:rFonts w:ascii="Times New Roman" w:hAnsi="Times New Roman"/>
          <w:lang w:val="en-US"/>
        </w:rPr>
        <w:t>cost and accumulated depreciation (including accumulated impairment losses) at the beginning and end of the period;</w:t>
      </w:r>
    </w:p>
    <w:p w14:paraId="29448AFF" w14:textId="77777777" w:rsidR="009E2B77" w:rsidRPr="007D770B" w:rsidRDefault="009E2B77" w:rsidP="00AE698A">
      <w:pPr>
        <w:numPr>
          <w:ilvl w:val="0"/>
          <w:numId w:val="216"/>
        </w:numPr>
        <w:spacing w:before="240" w:line="240" w:lineRule="auto"/>
        <w:rPr>
          <w:rFonts w:ascii="Times New Roman" w:hAnsi="Times New Roman"/>
          <w:lang w:val="en-US"/>
        </w:rPr>
      </w:pPr>
      <w:r w:rsidRPr="007D770B">
        <w:rPr>
          <w:rFonts w:ascii="Times New Roman" w:hAnsi="Times New Roman"/>
          <w:lang w:val="en-US"/>
        </w:rPr>
        <w:t>items in the statement of comprehensive income that include amortization of intangible assets;</w:t>
      </w:r>
    </w:p>
    <w:p w14:paraId="45952B82" w14:textId="77777777" w:rsidR="009E2B77" w:rsidRPr="007D770B" w:rsidRDefault="009E2B77" w:rsidP="00AE698A">
      <w:pPr>
        <w:numPr>
          <w:ilvl w:val="0"/>
          <w:numId w:val="216"/>
        </w:numPr>
        <w:spacing w:before="240" w:line="240" w:lineRule="auto"/>
        <w:rPr>
          <w:rFonts w:ascii="Times New Roman" w:hAnsi="Times New Roman"/>
          <w:lang w:val="en-US"/>
        </w:rPr>
      </w:pPr>
      <w:r w:rsidRPr="007D770B">
        <w:rPr>
          <w:rFonts w:ascii="Times New Roman" w:hAnsi="Times New Roman"/>
          <w:lang w:val="en-US"/>
        </w:rPr>
        <w:lastRenderedPageBreak/>
        <w:t>a reconciliation of the net carrying amount at the beginning and end of the reporting period showing:</w:t>
      </w:r>
    </w:p>
    <w:p w14:paraId="06B2F006" w14:textId="182FAFD5" w:rsidR="009E2B77" w:rsidRPr="007D770B" w:rsidRDefault="009E2B77" w:rsidP="00B43209">
      <w:pPr>
        <w:numPr>
          <w:ilvl w:val="0"/>
          <w:numId w:val="4"/>
        </w:numPr>
        <w:tabs>
          <w:tab w:val="num" w:pos="1080"/>
        </w:tabs>
        <w:spacing w:before="240" w:line="240" w:lineRule="auto"/>
        <w:ind w:left="1080"/>
        <w:rPr>
          <w:rFonts w:ascii="Times New Roman" w:hAnsi="Times New Roman"/>
          <w:lang w:val="en-US"/>
        </w:rPr>
      </w:pPr>
      <w:r w:rsidRPr="007D770B">
        <w:rPr>
          <w:rFonts w:ascii="Times New Roman" w:hAnsi="Times New Roman"/>
          <w:lang w:val="en-US"/>
        </w:rPr>
        <w:t xml:space="preserve">increase in the value of intangible assets, with separation of the increase from the </w:t>
      </w:r>
      <w:r w:rsidR="00032038" w:rsidRPr="007D770B">
        <w:rPr>
          <w:rFonts w:ascii="Times New Roman" w:hAnsi="Times New Roman"/>
          <w:lang w:val="en-US"/>
        </w:rPr>
        <w:t xml:space="preserve">Bank's </w:t>
      </w:r>
      <w:r w:rsidRPr="007D770B">
        <w:rPr>
          <w:rFonts w:ascii="Times New Roman" w:hAnsi="Times New Roman"/>
          <w:lang w:val="en-US"/>
        </w:rPr>
        <w:t xml:space="preserve">own creation of intangible assets </w:t>
      </w:r>
      <w:r w:rsidR="00032038" w:rsidRPr="007D770B">
        <w:rPr>
          <w:rFonts w:ascii="Times New Roman" w:hAnsi="Times New Roman"/>
          <w:lang w:val="en-US"/>
        </w:rPr>
        <w:t xml:space="preserve">and </w:t>
      </w:r>
      <w:r w:rsidRPr="007D770B">
        <w:rPr>
          <w:rFonts w:ascii="Times New Roman" w:hAnsi="Times New Roman"/>
          <w:lang w:val="en-US"/>
        </w:rPr>
        <w:t>from business combinations;</w:t>
      </w:r>
    </w:p>
    <w:p w14:paraId="19AEC8D5" w14:textId="77777777" w:rsidR="009E2B77" w:rsidRPr="007D770B" w:rsidRDefault="009E2B77" w:rsidP="00B43209">
      <w:pPr>
        <w:numPr>
          <w:ilvl w:val="0"/>
          <w:numId w:val="4"/>
        </w:numPr>
        <w:tabs>
          <w:tab w:val="num" w:pos="1080"/>
        </w:tabs>
        <w:spacing w:before="240" w:line="240" w:lineRule="auto"/>
        <w:ind w:left="1080"/>
        <w:rPr>
          <w:rFonts w:ascii="Times New Roman" w:hAnsi="Times New Roman"/>
          <w:lang w:val="en-US"/>
        </w:rPr>
      </w:pPr>
      <w:r w:rsidRPr="007D770B">
        <w:rPr>
          <w:rFonts w:ascii="Times New Roman" w:hAnsi="Times New Roman"/>
          <w:lang w:val="en-US"/>
        </w:rPr>
        <w:t>assets classified as held for sale and other disposals;</w:t>
      </w:r>
    </w:p>
    <w:p w14:paraId="615B6520" w14:textId="77777777" w:rsidR="009E2B77" w:rsidRPr="007D770B" w:rsidRDefault="009E2B77" w:rsidP="00B43209">
      <w:pPr>
        <w:numPr>
          <w:ilvl w:val="0"/>
          <w:numId w:val="4"/>
        </w:numPr>
        <w:tabs>
          <w:tab w:val="num" w:pos="1080"/>
        </w:tabs>
        <w:spacing w:before="240" w:line="240" w:lineRule="auto"/>
        <w:ind w:left="1080"/>
        <w:rPr>
          <w:rFonts w:ascii="Times New Roman" w:hAnsi="Times New Roman"/>
          <w:lang w:val="en-US"/>
        </w:rPr>
      </w:pPr>
      <w:r w:rsidRPr="007D770B">
        <w:rPr>
          <w:rFonts w:ascii="Times New Roman" w:hAnsi="Times New Roman"/>
          <w:lang w:val="en-US"/>
        </w:rPr>
        <w:t>impairment losses recognized in the statement of comprehensive income during the period;</w:t>
      </w:r>
    </w:p>
    <w:p w14:paraId="0A435CFD" w14:textId="77777777" w:rsidR="009E2B77" w:rsidRPr="007D770B" w:rsidRDefault="009E2B77" w:rsidP="00B43209">
      <w:pPr>
        <w:numPr>
          <w:ilvl w:val="0"/>
          <w:numId w:val="4"/>
        </w:numPr>
        <w:tabs>
          <w:tab w:val="num" w:pos="1080"/>
        </w:tabs>
        <w:spacing w:before="240" w:line="240" w:lineRule="auto"/>
        <w:ind w:left="1080"/>
        <w:rPr>
          <w:rFonts w:ascii="Times New Roman" w:hAnsi="Times New Roman"/>
          <w:lang w:val="en-US"/>
        </w:rPr>
      </w:pPr>
      <w:r w:rsidRPr="007D770B">
        <w:rPr>
          <w:rFonts w:ascii="Times New Roman" w:hAnsi="Times New Roman"/>
          <w:lang w:val="en-US"/>
        </w:rPr>
        <w:t xml:space="preserve">reversal of an impairment loss recognized in the statement of comprehensive income; </w:t>
      </w:r>
    </w:p>
    <w:p w14:paraId="5552F9A6" w14:textId="77777777" w:rsidR="009E2B77" w:rsidRPr="007D770B" w:rsidRDefault="009E2B77" w:rsidP="00B43209">
      <w:pPr>
        <w:numPr>
          <w:ilvl w:val="0"/>
          <w:numId w:val="4"/>
        </w:numPr>
        <w:tabs>
          <w:tab w:val="num" w:pos="1080"/>
        </w:tabs>
        <w:spacing w:before="240" w:line="240" w:lineRule="auto"/>
        <w:ind w:left="1080"/>
        <w:rPr>
          <w:rFonts w:ascii="Times New Roman" w:hAnsi="Times New Roman"/>
          <w:lang w:val="en-US"/>
        </w:rPr>
      </w:pPr>
      <w:r w:rsidRPr="007D770B">
        <w:rPr>
          <w:rFonts w:ascii="Times New Roman" w:hAnsi="Times New Roman"/>
          <w:lang w:val="en-US"/>
        </w:rPr>
        <w:t>amortization charged during the reporting period;</w:t>
      </w:r>
    </w:p>
    <w:p w14:paraId="6B4047CB" w14:textId="77777777" w:rsidR="009E2B77" w:rsidRPr="007D770B" w:rsidRDefault="009E2B77" w:rsidP="00B43209">
      <w:pPr>
        <w:numPr>
          <w:ilvl w:val="0"/>
          <w:numId w:val="4"/>
        </w:numPr>
        <w:tabs>
          <w:tab w:val="num" w:pos="1080"/>
        </w:tabs>
        <w:spacing w:before="240" w:line="240" w:lineRule="auto"/>
        <w:ind w:left="1080"/>
        <w:rPr>
          <w:rFonts w:ascii="Times New Roman" w:hAnsi="Times New Roman"/>
          <w:lang w:val="en-US"/>
        </w:rPr>
      </w:pPr>
      <w:r w:rsidRPr="007D770B">
        <w:rPr>
          <w:rFonts w:ascii="Times New Roman" w:hAnsi="Times New Roman"/>
          <w:lang w:val="en-US"/>
        </w:rPr>
        <w:t xml:space="preserve">net exchange differences arising from the translation of the financial statements into the presentation currency and from the translation of a </w:t>
      </w:r>
      <w:r w:rsidR="003F5ACF" w:rsidRPr="007D770B">
        <w:rPr>
          <w:rFonts w:ascii="Times New Roman" w:hAnsi="Times New Roman"/>
          <w:lang w:val="en-US"/>
        </w:rPr>
        <w:t xml:space="preserve">foreign entity </w:t>
      </w:r>
      <w:r w:rsidRPr="007D770B">
        <w:rPr>
          <w:rFonts w:ascii="Times New Roman" w:hAnsi="Times New Roman"/>
          <w:lang w:val="en-US"/>
        </w:rPr>
        <w:t>into the presentation currency;</w:t>
      </w:r>
    </w:p>
    <w:p w14:paraId="1C0F2591" w14:textId="77777777" w:rsidR="009E2B77" w:rsidRPr="007D770B" w:rsidRDefault="009E2B77" w:rsidP="00B43209">
      <w:pPr>
        <w:numPr>
          <w:ilvl w:val="0"/>
          <w:numId w:val="4"/>
        </w:numPr>
        <w:tabs>
          <w:tab w:val="num" w:pos="1080"/>
        </w:tabs>
        <w:spacing w:before="240" w:line="240" w:lineRule="auto"/>
        <w:ind w:left="1080"/>
        <w:rPr>
          <w:rFonts w:ascii="Times New Roman" w:hAnsi="Times New Roman"/>
          <w:lang w:val="en-US"/>
        </w:rPr>
      </w:pPr>
      <w:r w:rsidRPr="007D770B">
        <w:rPr>
          <w:rFonts w:ascii="Times New Roman" w:hAnsi="Times New Roman"/>
          <w:lang w:val="en-US"/>
        </w:rPr>
        <w:t>other changes in intangible assets during the period.</w:t>
      </w:r>
    </w:p>
    <w:p w14:paraId="0C20F808" w14:textId="77777777" w:rsidR="009E2B77" w:rsidRPr="002D4EA3" w:rsidRDefault="009E2B77" w:rsidP="00F96B17">
      <w:pPr>
        <w:keepNext/>
        <w:spacing w:before="240" w:line="240" w:lineRule="auto"/>
        <w:ind w:left="0"/>
        <w:rPr>
          <w:rFonts w:ascii="Times New Roman" w:hAnsi="Times New Roman"/>
        </w:rPr>
      </w:pPr>
      <w:r w:rsidRPr="002D4EA3">
        <w:rPr>
          <w:rFonts w:ascii="Times New Roman" w:hAnsi="Times New Roman"/>
        </w:rPr>
        <w:t xml:space="preserve">The </w:t>
      </w:r>
      <w:r w:rsidR="00F9744B">
        <w:rPr>
          <w:rFonts w:ascii="Times New Roman" w:hAnsi="Times New Roman"/>
        </w:rPr>
        <w:t xml:space="preserve">bank </w:t>
      </w:r>
      <w:r w:rsidRPr="002D4EA3">
        <w:rPr>
          <w:rFonts w:ascii="Times New Roman" w:hAnsi="Times New Roman"/>
        </w:rPr>
        <w:t>also discloses:</w:t>
      </w:r>
    </w:p>
    <w:p w14:paraId="67D801E7" w14:textId="77777777" w:rsidR="009E2B77" w:rsidRPr="007D770B" w:rsidRDefault="009E2B77" w:rsidP="00AE698A">
      <w:pPr>
        <w:keepNext/>
        <w:numPr>
          <w:ilvl w:val="0"/>
          <w:numId w:val="217"/>
        </w:numPr>
        <w:spacing w:before="240" w:line="240" w:lineRule="auto"/>
        <w:rPr>
          <w:rFonts w:ascii="Times New Roman" w:hAnsi="Times New Roman"/>
          <w:lang w:val="en-US"/>
        </w:rPr>
      </w:pPr>
      <w:r w:rsidRPr="007D770B">
        <w:rPr>
          <w:rFonts w:ascii="Times New Roman" w:hAnsi="Times New Roman"/>
          <w:lang w:val="en-US"/>
        </w:rPr>
        <w:t xml:space="preserve">description, year-end carrying amount and remaining amortization period of any intangible asset that is material to the </w:t>
      </w:r>
      <w:r w:rsidR="00F9744B" w:rsidRPr="007D770B">
        <w:rPr>
          <w:rFonts w:ascii="Times New Roman" w:hAnsi="Times New Roman"/>
          <w:lang w:val="en-US"/>
        </w:rPr>
        <w:t xml:space="preserve">Bank's </w:t>
      </w:r>
      <w:r w:rsidRPr="007D770B">
        <w:rPr>
          <w:rFonts w:ascii="Times New Roman" w:hAnsi="Times New Roman"/>
          <w:lang w:val="en-US"/>
        </w:rPr>
        <w:t>financial statements taken as a whole;</w:t>
      </w:r>
    </w:p>
    <w:p w14:paraId="64CDE131" w14:textId="77777777" w:rsidR="009E2B77" w:rsidRPr="007D770B" w:rsidRDefault="009E2B77" w:rsidP="00AE698A">
      <w:pPr>
        <w:keepNext/>
        <w:numPr>
          <w:ilvl w:val="0"/>
          <w:numId w:val="217"/>
        </w:numPr>
        <w:spacing w:before="240" w:line="240" w:lineRule="auto"/>
        <w:rPr>
          <w:rFonts w:ascii="Times New Roman" w:hAnsi="Times New Roman"/>
          <w:lang w:val="en-US"/>
        </w:rPr>
      </w:pPr>
      <w:r w:rsidRPr="007D770B">
        <w:rPr>
          <w:rFonts w:ascii="Times New Roman" w:hAnsi="Times New Roman"/>
          <w:lang w:val="en-US"/>
        </w:rPr>
        <w:t>intangible assets pledged to secure liabilities;</w:t>
      </w:r>
    </w:p>
    <w:p w14:paraId="494512AE" w14:textId="77777777" w:rsidR="009E2B77" w:rsidRPr="007D770B" w:rsidRDefault="009E2B77" w:rsidP="00AE698A">
      <w:pPr>
        <w:keepNext/>
        <w:numPr>
          <w:ilvl w:val="0"/>
          <w:numId w:val="217"/>
        </w:numPr>
        <w:spacing w:before="240" w:line="240" w:lineRule="auto"/>
        <w:rPr>
          <w:rFonts w:ascii="Times New Roman" w:hAnsi="Times New Roman"/>
          <w:lang w:val="en-US"/>
        </w:rPr>
      </w:pPr>
      <w:r w:rsidRPr="007D770B">
        <w:rPr>
          <w:rFonts w:ascii="Times New Roman" w:hAnsi="Times New Roman"/>
          <w:lang w:val="en-US"/>
        </w:rPr>
        <w:t>the amount of contractual obligations to acquire intangible assets;</w:t>
      </w:r>
    </w:p>
    <w:p w14:paraId="79EA7D0A" w14:textId="77777777" w:rsidR="009E2B77" w:rsidRPr="007D770B" w:rsidRDefault="009E2B77" w:rsidP="00AE698A">
      <w:pPr>
        <w:keepNext/>
        <w:numPr>
          <w:ilvl w:val="0"/>
          <w:numId w:val="217"/>
        </w:numPr>
        <w:spacing w:before="240" w:line="240" w:lineRule="auto"/>
        <w:rPr>
          <w:rFonts w:ascii="Times New Roman" w:hAnsi="Times New Roman"/>
          <w:lang w:val="en-US"/>
        </w:rPr>
      </w:pPr>
      <w:r w:rsidRPr="007D770B">
        <w:rPr>
          <w:rFonts w:ascii="Times New Roman" w:hAnsi="Times New Roman"/>
          <w:lang w:val="en-US"/>
        </w:rPr>
        <w:t>for intangible assets acquired through a government grant and initially recognized at fair value the initially recognized fair value of such assets and their carrying amount;</w:t>
      </w:r>
    </w:p>
    <w:p w14:paraId="33CBF50D" w14:textId="77777777" w:rsidR="00B40341" w:rsidRPr="007D770B" w:rsidRDefault="009E2B77" w:rsidP="00AE698A">
      <w:pPr>
        <w:keepNext/>
        <w:numPr>
          <w:ilvl w:val="0"/>
          <w:numId w:val="217"/>
        </w:numPr>
        <w:spacing w:before="240" w:line="240" w:lineRule="auto"/>
        <w:rPr>
          <w:rFonts w:ascii="Times New Roman" w:hAnsi="Times New Roman"/>
          <w:lang w:val="en-US"/>
        </w:rPr>
      </w:pPr>
      <w:r w:rsidRPr="007D770B">
        <w:rPr>
          <w:rFonts w:ascii="Times New Roman" w:hAnsi="Times New Roman"/>
          <w:lang w:val="en-US"/>
        </w:rPr>
        <w:t>total research and development costs recognized as current period expenses.</w:t>
      </w:r>
    </w:p>
    <w:p w14:paraId="3284B67C" w14:textId="77777777" w:rsidR="00B40341" w:rsidRPr="007D770B" w:rsidRDefault="00B40341" w:rsidP="00B40341">
      <w:pPr>
        <w:keepNext/>
        <w:spacing w:before="240" w:line="240" w:lineRule="auto"/>
        <w:rPr>
          <w:rFonts w:ascii="Times New Roman" w:hAnsi="Times New Roman"/>
          <w:lang w:val="en-US"/>
        </w:rPr>
      </w:pPr>
    </w:p>
    <w:p w14:paraId="285986D2" w14:textId="77777777" w:rsidR="00B40341" w:rsidRPr="007D770B" w:rsidRDefault="00B40341" w:rsidP="00B40341">
      <w:pPr>
        <w:spacing w:before="240" w:line="240" w:lineRule="auto"/>
        <w:ind w:left="0"/>
        <w:rPr>
          <w:rFonts w:ascii="Times New Roman" w:hAnsi="Times New Roman"/>
          <w:lang w:val="en-US"/>
        </w:rPr>
        <w:sectPr w:rsidR="00B40341" w:rsidRPr="007D770B" w:rsidSect="004C597B">
          <w:headerReference w:type="even" r:id="rId26"/>
          <w:headerReference w:type="default" r:id="rId27"/>
          <w:headerReference w:type="first" r:id="rId28"/>
          <w:pgSz w:w="11906" w:h="16838"/>
          <w:pgMar w:top="1134" w:right="850" w:bottom="1134" w:left="1701" w:header="720" w:footer="432" w:gutter="0"/>
          <w:cols w:space="720"/>
          <w:docGrid w:linePitch="360"/>
        </w:sectPr>
      </w:pPr>
    </w:p>
    <w:p w14:paraId="4487CFC9" w14:textId="77777777" w:rsidR="00331FED" w:rsidRPr="007D770B" w:rsidRDefault="00331FED" w:rsidP="00331FED">
      <w:pPr>
        <w:pStyle w:val="2"/>
        <w:pageBreakBefore/>
        <w:spacing w:before="240"/>
        <w:ind w:right="11"/>
        <w:jc w:val="both"/>
        <w:rPr>
          <w:rFonts w:ascii="Times New Roman" w:hAnsi="Times New Roman"/>
          <w:lang w:val="en-US"/>
        </w:rPr>
      </w:pPr>
      <w:bookmarkStart w:id="92" w:name="_Toc168502028"/>
      <w:bookmarkStart w:id="93" w:name="_Toc255041503"/>
      <w:r w:rsidRPr="007D770B">
        <w:rPr>
          <w:rFonts w:ascii="Times New Roman" w:hAnsi="Times New Roman"/>
          <w:lang w:val="en-US"/>
        </w:rPr>
        <w:lastRenderedPageBreak/>
        <w:t>Section 3. Financial assets and liabilities (IAS 32, IFRS 9, IFRS 7)</w:t>
      </w:r>
      <w:bookmarkEnd w:id="92"/>
    </w:p>
    <w:p w14:paraId="293B27BD" w14:textId="77777777" w:rsidR="00331FED" w:rsidRPr="007D770B" w:rsidRDefault="00331FED" w:rsidP="00E61D21">
      <w:pPr>
        <w:pStyle w:val="3"/>
        <w:rPr>
          <w:lang w:val="en-US"/>
        </w:rPr>
      </w:pPr>
      <w:bookmarkStart w:id="94" w:name="_Toc248698820"/>
      <w:bookmarkStart w:id="95" w:name="_Toc255041505"/>
      <w:bookmarkStart w:id="96" w:name="_Toc168502029"/>
      <w:r w:rsidRPr="007D770B">
        <w:rPr>
          <w:lang w:val="en-US"/>
        </w:rPr>
        <w:t>3.1 Definitions</w:t>
      </w:r>
      <w:bookmarkEnd w:id="94"/>
      <w:bookmarkEnd w:id="95"/>
      <w:bookmarkEnd w:id="96"/>
    </w:p>
    <w:p w14:paraId="5D704FB5" w14:textId="77777777" w:rsidR="00331FED" w:rsidRPr="007D770B" w:rsidRDefault="00331FED" w:rsidP="00331FED">
      <w:pPr>
        <w:pStyle w:val="1"/>
        <w:numPr>
          <w:ilvl w:val="0"/>
          <w:numId w:val="0"/>
        </w:numPr>
        <w:spacing w:before="240" w:after="240" w:line="240" w:lineRule="atLeast"/>
        <w:rPr>
          <w:sz w:val="20"/>
          <w:szCs w:val="20"/>
          <w:lang w:val="en-US"/>
        </w:rPr>
      </w:pPr>
      <w:r w:rsidRPr="007D770B">
        <w:rPr>
          <w:b/>
          <w:i/>
          <w:sz w:val="20"/>
          <w:szCs w:val="20"/>
          <w:lang w:val="en-US"/>
        </w:rPr>
        <w:t xml:space="preserve">A financial instrument </w:t>
      </w:r>
      <w:r w:rsidRPr="007D770B">
        <w:rPr>
          <w:sz w:val="20"/>
          <w:szCs w:val="20"/>
          <w:lang w:val="en-US"/>
        </w:rPr>
        <w:t xml:space="preserve">is a contract that gives rise simultaneously to a financial asset for one entity and a financial liability or an equity instrument for another entity. </w:t>
      </w:r>
    </w:p>
    <w:p w14:paraId="38AEA89F" w14:textId="77777777" w:rsidR="00331FED" w:rsidRPr="007D770B" w:rsidRDefault="00331FED" w:rsidP="00331FED">
      <w:pPr>
        <w:pStyle w:val="1"/>
        <w:numPr>
          <w:ilvl w:val="0"/>
          <w:numId w:val="0"/>
        </w:numPr>
        <w:spacing w:after="240" w:line="240" w:lineRule="atLeast"/>
        <w:rPr>
          <w:sz w:val="20"/>
          <w:szCs w:val="20"/>
          <w:lang w:val="en-US"/>
        </w:rPr>
      </w:pPr>
      <w:r w:rsidRPr="007D770B">
        <w:rPr>
          <w:rFonts w:eastAsia="Arial Unicode MS"/>
          <w:b/>
          <w:i/>
          <w:sz w:val="20"/>
          <w:szCs w:val="20"/>
          <w:lang w:val="en-US"/>
        </w:rPr>
        <w:t xml:space="preserve">A financial asset </w:t>
      </w:r>
      <w:r w:rsidRPr="007D770B">
        <w:rPr>
          <w:sz w:val="20"/>
          <w:szCs w:val="20"/>
          <w:lang w:val="en-US"/>
        </w:rPr>
        <w:t xml:space="preserve">is an asset that represents: </w:t>
      </w:r>
    </w:p>
    <w:p w14:paraId="1F87BBBF" w14:textId="77777777" w:rsidR="00331FED" w:rsidRDefault="00331FED" w:rsidP="00AE698A">
      <w:pPr>
        <w:pStyle w:val="21"/>
        <w:numPr>
          <w:ilvl w:val="0"/>
          <w:numId w:val="258"/>
        </w:numPr>
        <w:spacing w:after="240" w:line="240" w:lineRule="atLeast"/>
        <w:rPr>
          <w:sz w:val="20"/>
          <w:szCs w:val="20"/>
        </w:rPr>
      </w:pPr>
      <w:r w:rsidRPr="00F41327">
        <w:rPr>
          <w:sz w:val="20"/>
          <w:szCs w:val="20"/>
        </w:rPr>
        <w:t xml:space="preserve">funds; </w:t>
      </w:r>
    </w:p>
    <w:p w14:paraId="353A5C03" w14:textId="77777777" w:rsidR="00331FED" w:rsidRPr="007D770B" w:rsidRDefault="00331FED" w:rsidP="00AE698A">
      <w:pPr>
        <w:pStyle w:val="21"/>
        <w:numPr>
          <w:ilvl w:val="0"/>
          <w:numId w:val="258"/>
        </w:numPr>
        <w:spacing w:after="240" w:line="240" w:lineRule="atLeast"/>
        <w:rPr>
          <w:sz w:val="20"/>
          <w:szCs w:val="20"/>
          <w:lang w:val="en-US"/>
        </w:rPr>
      </w:pPr>
      <w:r w:rsidRPr="007D770B">
        <w:rPr>
          <w:sz w:val="20"/>
          <w:szCs w:val="20"/>
          <w:lang w:val="en-US"/>
        </w:rPr>
        <w:t xml:space="preserve">an equity financial instrument of another entity; </w:t>
      </w:r>
    </w:p>
    <w:p w14:paraId="1AE8BFD3" w14:textId="77777777" w:rsidR="00331FED" w:rsidRDefault="00331FED" w:rsidP="00AE698A">
      <w:pPr>
        <w:pStyle w:val="21"/>
        <w:numPr>
          <w:ilvl w:val="0"/>
          <w:numId w:val="258"/>
        </w:numPr>
        <w:spacing w:after="240" w:line="240" w:lineRule="atLeast"/>
        <w:rPr>
          <w:sz w:val="20"/>
          <w:szCs w:val="20"/>
        </w:rPr>
      </w:pPr>
      <w:r w:rsidRPr="00F41327">
        <w:rPr>
          <w:sz w:val="20"/>
          <w:szCs w:val="20"/>
        </w:rPr>
        <w:t>contract law:</w:t>
      </w:r>
    </w:p>
    <w:p w14:paraId="6E13C83B" w14:textId="77777777" w:rsidR="00331FED" w:rsidRPr="007D770B" w:rsidRDefault="00331FED" w:rsidP="00AE698A">
      <w:pPr>
        <w:pStyle w:val="21"/>
        <w:numPr>
          <w:ilvl w:val="0"/>
          <w:numId w:val="259"/>
        </w:numPr>
        <w:spacing w:after="240" w:line="240" w:lineRule="atLeast"/>
        <w:ind w:left="1080"/>
        <w:rPr>
          <w:sz w:val="20"/>
          <w:szCs w:val="20"/>
          <w:lang w:val="en-US"/>
        </w:rPr>
      </w:pPr>
      <w:r w:rsidRPr="007D770B">
        <w:rPr>
          <w:sz w:val="20"/>
          <w:szCs w:val="20"/>
          <w:lang w:val="en-US"/>
        </w:rPr>
        <w:t>to receive cash or another financial asset from another entity;</w:t>
      </w:r>
    </w:p>
    <w:p w14:paraId="07F583B0" w14:textId="77777777" w:rsidR="00331FED" w:rsidRPr="007D770B" w:rsidRDefault="00331FED" w:rsidP="00AE698A">
      <w:pPr>
        <w:pStyle w:val="21"/>
        <w:numPr>
          <w:ilvl w:val="0"/>
          <w:numId w:val="259"/>
        </w:numPr>
        <w:spacing w:after="240" w:line="240" w:lineRule="atLeast"/>
        <w:ind w:left="1080"/>
        <w:rPr>
          <w:sz w:val="20"/>
          <w:szCs w:val="20"/>
          <w:lang w:val="en-US"/>
        </w:rPr>
      </w:pPr>
      <w:r w:rsidRPr="007D770B">
        <w:rPr>
          <w:sz w:val="20"/>
          <w:szCs w:val="20"/>
          <w:lang w:val="en-US"/>
        </w:rPr>
        <w:t xml:space="preserve">exchanging financial assets or financial liabilities with another entity on potentially advantageous terms; or </w:t>
      </w:r>
    </w:p>
    <w:p w14:paraId="70C99AFA" w14:textId="77777777" w:rsidR="00331FED" w:rsidRPr="007D770B" w:rsidRDefault="00331FED" w:rsidP="00AE698A">
      <w:pPr>
        <w:pStyle w:val="21"/>
        <w:numPr>
          <w:ilvl w:val="0"/>
          <w:numId w:val="260"/>
        </w:numPr>
        <w:spacing w:after="240" w:line="240" w:lineRule="atLeast"/>
        <w:rPr>
          <w:sz w:val="20"/>
          <w:szCs w:val="20"/>
          <w:lang w:val="en-US"/>
        </w:rPr>
      </w:pPr>
      <w:r w:rsidRPr="007D770B">
        <w:rPr>
          <w:sz w:val="20"/>
          <w:szCs w:val="20"/>
          <w:lang w:val="en-US"/>
        </w:rPr>
        <w:t>a contract that will or may be settled in the Bank's own equity instruments and that is:</w:t>
      </w:r>
    </w:p>
    <w:p w14:paraId="014B50D3" w14:textId="77777777" w:rsidR="00331FED" w:rsidRPr="007D770B" w:rsidRDefault="00331FED" w:rsidP="00AE698A">
      <w:pPr>
        <w:pStyle w:val="21"/>
        <w:numPr>
          <w:ilvl w:val="0"/>
          <w:numId w:val="261"/>
        </w:numPr>
        <w:tabs>
          <w:tab w:val="left" w:pos="1080"/>
        </w:tabs>
        <w:spacing w:after="240" w:line="240" w:lineRule="atLeast"/>
        <w:ind w:left="1080"/>
        <w:rPr>
          <w:sz w:val="20"/>
          <w:szCs w:val="20"/>
          <w:lang w:val="en-US"/>
        </w:rPr>
      </w:pPr>
      <w:r w:rsidRPr="007D770B">
        <w:rPr>
          <w:sz w:val="20"/>
          <w:szCs w:val="20"/>
          <w:lang w:val="en-US"/>
        </w:rPr>
        <w:t>a non-derivative instrument for which the Bank has or may become liable to receive a variable number of its own equity instruments; or</w:t>
      </w:r>
    </w:p>
    <w:p w14:paraId="416866A0" w14:textId="3CE4BC5F" w:rsidR="00331FED" w:rsidRPr="007D770B" w:rsidRDefault="00331FED" w:rsidP="00AE698A">
      <w:pPr>
        <w:pStyle w:val="21"/>
        <w:numPr>
          <w:ilvl w:val="0"/>
          <w:numId w:val="261"/>
        </w:numPr>
        <w:tabs>
          <w:tab w:val="left" w:pos="1080"/>
        </w:tabs>
        <w:spacing w:after="240" w:line="240" w:lineRule="atLeast"/>
        <w:ind w:left="1080"/>
        <w:rPr>
          <w:b/>
          <w:sz w:val="20"/>
          <w:szCs w:val="20"/>
          <w:lang w:val="en-US"/>
        </w:rPr>
      </w:pPr>
      <w:r w:rsidRPr="007D770B">
        <w:rPr>
          <w:b/>
          <w:sz w:val="20"/>
          <w:szCs w:val="20"/>
          <w:lang w:val="en-US"/>
        </w:rPr>
        <w:t>a derivative that will or may be settled other than by the exchange of a fixed amount of cash or another financial asset for a fixed number of the entity</w:t>
      </w:r>
      <w:r w:rsidR="00802136" w:rsidRPr="007D770B">
        <w:rPr>
          <w:b/>
          <w:sz w:val="20"/>
          <w:szCs w:val="20"/>
          <w:lang w:val="en-US"/>
        </w:rPr>
        <w:t>'</w:t>
      </w:r>
      <w:r w:rsidRPr="007D770B">
        <w:rPr>
          <w:b/>
          <w:sz w:val="20"/>
          <w:szCs w:val="20"/>
          <w:lang w:val="en-US"/>
        </w:rPr>
        <w:t>s own equity instruments (as required by IAS 32 Financial Instruments: Presentation</w:t>
      </w:r>
      <w:r w:rsidR="00802136" w:rsidRPr="007D770B">
        <w:rPr>
          <w:b/>
          <w:sz w:val="20"/>
          <w:szCs w:val="20"/>
          <w:lang w:val="en-US"/>
        </w:rPr>
        <w:t>"</w:t>
      </w:r>
      <w:r w:rsidRPr="007D770B">
        <w:rPr>
          <w:b/>
          <w:sz w:val="20"/>
          <w:szCs w:val="20"/>
          <w:lang w:val="en-US"/>
        </w:rPr>
        <w:t>).</w:t>
      </w:r>
    </w:p>
    <w:p w14:paraId="5D35D5E6" w14:textId="77777777" w:rsidR="00331FED" w:rsidRPr="007D770B" w:rsidRDefault="00331FED" w:rsidP="00331FED">
      <w:pPr>
        <w:pStyle w:val="1"/>
        <w:numPr>
          <w:ilvl w:val="0"/>
          <w:numId w:val="0"/>
        </w:numPr>
        <w:spacing w:after="240" w:line="240" w:lineRule="atLeast"/>
        <w:rPr>
          <w:sz w:val="20"/>
          <w:szCs w:val="20"/>
          <w:lang w:val="en-US"/>
        </w:rPr>
      </w:pPr>
      <w:r w:rsidRPr="007D770B">
        <w:rPr>
          <w:b/>
          <w:i/>
          <w:sz w:val="20"/>
          <w:szCs w:val="20"/>
          <w:lang w:val="en-US"/>
        </w:rPr>
        <w:t xml:space="preserve">A financial liability </w:t>
      </w:r>
      <w:r w:rsidRPr="007D770B">
        <w:rPr>
          <w:sz w:val="20"/>
          <w:szCs w:val="20"/>
          <w:lang w:val="en-US"/>
        </w:rPr>
        <w:t xml:space="preserve">is a liability that represents: </w:t>
      </w:r>
    </w:p>
    <w:p w14:paraId="755BD2AF" w14:textId="77777777" w:rsidR="00331FED" w:rsidRPr="00F41327" w:rsidRDefault="00331FED" w:rsidP="00AE698A">
      <w:pPr>
        <w:pStyle w:val="21"/>
        <w:numPr>
          <w:ilvl w:val="0"/>
          <w:numId w:val="260"/>
        </w:numPr>
        <w:spacing w:after="240" w:line="240" w:lineRule="atLeast"/>
        <w:rPr>
          <w:sz w:val="20"/>
          <w:szCs w:val="20"/>
        </w:rPr>
      </w:pPr>
      <w:r w:rsidRPr="00F41327">
        <w:rPr>
          <w:sz w:val="20"/>
          <w:szCs w:val="20"/>
        </w:rPr>
        <w:t>a contractual obligation:</w:t>
      </w:r>
    </w:p>
    <w:p w14:paraId="5EAE869F" w14:textId="77777777" w:rsidR="00331FED" w:rsidRPr="007D770B" w:rsidRDefault="00331FED" w:rsidP="00AE698A">
      <w:pPr>
        <w:pStyle w:val="21"/>
        <w:numPr>
          <w:ilvl w:val="0"/>
          <w:numId w:val="262"/>
        </w:numPr>
        <w:tabs>
          <w:tab w:val="left" w:pos="1080"/>
        </w:tabs>
        <w:spacing w:after="240" w:line="240" w:lineRule="atLeast"/>
        <w:ind w:left="1080"/>
        <w:rPr>
          <w:sz w:val="20"/>
          <w:szCs w:val="20"/>
          <w:lang w:val="en-US"/>
        </w:rPr>
      </w:pPr>
      <w:r w:rsidRPr="007D770B">
        <w:rPr>
          <w:sz w:val="20"/>
          <w:szCs w:val="20"/>
          <w:lang w:val="en-US"/>
        </w:rPr>
        <w:t>provide cash or another financial asset to another company; or</w:t>
      </w:r>
    </w:p>
    <w:p w14:paraId="686F7620" w14:textId="77777777" w:rsidR="00331FED" w:rsidRPr="007D770B" w:rsidRDefault="00331FED" w:rsidP="00AE698A">
      <w:pPr>
        <w:pStyle w:val="21"/>
        <w:numPr>
          <w:ilvl w:val="0"/>
          <w:numId w:val="262"/>
        </w:numPr>
        <w:tabs>
          <w:tab w:val="left" w:pos="1080"/>
        </w:tabs>
        <w:spacing w:after="240" w:line="240" w:lineRule="atLeast"/>
        <w:ind w:left="1080"/>
        <w:rPr>
          <w:sz w:val="20"/>
          <w:szCs w:val="20"/>
          <w:lang w:val="en-US"/>
        </w:rPr>
      </w:pPr>
      <w:r w:rsidRPr="007D770B">
        <w:rPr>
          <w:sz w:val="20"/>
          <w:szCs w:val="20"/>
          <w:lang w:val="en-US"/>
        </w:rPr>
        <w:t xml:space="preserve">exchange financial instruments with another company on potentially unfavorable terms. </w:t>
      </w:r>
    </w:p>
    <w:p w14:paraId="171386D7" w14:textId="77777777" w:rsidR="00331FED" w:rsidRPr="007D770B" w:rsidRDefault="00331FED" w:rsidP="00AE698A">
      <w:pPr>
        <w:pStyle w:val="21"/>
        <w:numPr>
          <w:ilvl w:val="0"/>
          <w:numId w:val="260"/>
        </w:numPr>
        <w:spacing w:after="240" w:line="240" w:lineRule="atLeast"/>
        <w:rPr>
          <w:sz w:val="20"/>
          <w:szCs w:val="20"/>
          <w:lang w:val="en-US"/>
        </w:rPr>
      </w:pPr>
      <w:r w:rsidRPr="007D770B">
        <w:rPr>
          <w:sz w:val="20"/>
          <w:szCs w:val="20"/>
          <w:lang w:val="en-US"/>
        </w:rPr>
        <w:t>a contract that will or may be settled in the Bank's own equity instruments and is:</w:t>
      </w:r>
    </w:p>
    <w:p w14:paraId="63289815" w14:textId="77777777" w:rsidR="00331FED" w:rsidRPr="007D770B" w:rsidRDefault="00331FED" w:rsidP="00AE698A">
      <w:pPr>
        <w:pStyle w:val="21"/>
        <w:numPr>
          <w:ilvl w:val="0"/>
          <w:numId w:val="262"/>
        </w:numPr>
        <w:tabs>
          <w:tab w:val="left" w:pos="1080"/>
        </w:tabs>
        <w:spacing w:after="240" w:line="240" w:lineRule="atLeast"/>
        <w:ind w:left="1080"/>
        <w:rPr>
          <w:b/>
          <w:sz w:val="20"/>
          <w:szCs w:val="20"/>
          <w:lang w:val="en-US"/>
        </w:rPr>
      </w:pPr>
      <w:r w:rsidRPr="007D770B">
        <w:rPr>
          <w:sz w:val="20"/>
          <w:szCs w:val="20"/>
          <w:lang w:val="en-US"/>
        </w:rPr>
        <w:t xml:space="preserve">a non-derivative instrument for which the Bank is </w:t>
      </w:r>
      <w:r w:rsidRPr="007D770B">
        <w:rPr>
          <w:b/>
          <w:sz w:val="20"/>
          <w:szCs w:val="20"/>
          <w:lang w:val="en-US"/>
        </w:rPr>
        <w:t xml:space="preserve">or may become obliged </w:t>
      </w:r>
      <w:r w:rsidRPr="007D770B">
        <w:rPr>
          <w:sz w:val="20"/>
          <w:szCs w:val="20"/>
          <w:lang w:val="en-US"/>
        </w:rPr>
        <w:t xml:space="preserve">to </w:t>
      </w:r>
      <w:r w:rsidRPr="007D770B">
        <w:rPr>
          <w:b/>
          <w:sz w:val="20"/>
          <w:szCs w:val="20"/>
          <w:lang w:val="en-US"/>
        </w:rPr>
        <w:t>deliver a variable number of its own equity instruments; or</w:t>
      </w:r>
    </w:p>
    <w:p w14:paraId="275F3D64" w14:textId="2A987290" w:rsidR="00331FED" w:rsidRPr="007D770B" w:rsidRDefault="00331FED" w:rsidP="00AE698A">
      <w:pPr>
        <w:pStyle w:val="21"/>
        <w:numPr>
          <w:ilvl w:val="0"/>
          <w:numId w:val="262"/>
        </w:numPr>
        <w:tabs>
          <w:tab w:val="left" w:pos="1080"/>
        </w:tabs>
        <w:spacing w:after="240" w:line="240" w:lineRule="atLeast"/>
        <w:ind w:left="1080"/>
        <w:rPr>
          <w:b/>
          <w:sz w:val="20"/>
          <w:szCs w:val="20"/>
          <w:lang w:val="en-US"/>
        </w:rPr>
      </w:pPr>
      <w:r w:rsidRPr="007D770B">
        <w:rPr>
          <w:b/>
          <w:sz w:val="20"/>
          <w:szCs w:val="20"/>
          <w:lang w:val="en-US"/>
        </w:rPr>
        <w:t xml:space="preserve">a derivative that will or can be settled other than by the exchange of a fixed amount of cash or another financial asset for a fixed number of the Bank's own equity instruments. For the </w:t>
      </w:r>
      <w:r w:rsidR="00A8754F" w:rsidRPr="007D770B">
        <w:rPr>
          <w:b/>
          <w:sz w:val="20"/>
          <w:szCs w:val="20"/>
          <w:lang w:val="en-US"/>
        </w:rPr>
        <w:t>purposes of this definition</w:t>
      </w:r>
      <w:r w:rsidRPr="007D770B">
        <w:rPr>
          <w:b/>
          <w:sz w:val="20"/>
          <w:szCs w:val="20"/>
          <w:lang w:val="en-US"/>
        </w:rPr>
        <w:t xml:space="preserve">, rights, options or warrants to acquire a fixed number of the Bank's own equity instruments for a fixed amount of units of any currency are equity instruments if the Bank grants those rights, options or warrants pro rata to all of the current owners of </w:t>
      </w:r>
      <w:r w:rsidR="00A8754F" w:rsidRPr="007D770B">
        <w:rPr>
          <w:b/>
          <w:sz w:val="20"/>
          <w:szCs w:val="20"/>
          <w:lang w:val="en-US"/>
        </w:rPr>
        <w:t xml:space="preserve">its </w:t>
      </w:r>
      <w:r w:rsidRPr="007D770B">
        <w:rPr>
          <w:b/>
          <w:sz w:val="20"/>
          <w:szCs w:val="20"/>
          <w:lang w:val="en-US"/>
        </w:rPr>
        <w:t>own non-derivative equity instruments of the same class.</w:t>
      </w:r>
    </w:p>
    <w:p w14:paraId="0BC2DE0D" w14:textId="77777777" w:rsidR="00331FED" w:rsidRPr="007D770B" w:rsidRDefault="00331FED" w:rsidP="00331FED">
      <w:pPr>
        <w:pStyle w:val="1"/>
        <w:numPr>
          <w:ilvl w:val="0"/>
          <w:numId w:val="0"/>
        </w:numPr>
        <w:spacing w:after="240" w:line="240" w:lineRule="atLeast"/>
        <w:rPr>
          <w:sz w:val="20"/>
          <w:szCs w:val="20"/>
          <w:lang w:val="en-US"/>
        </w:rPr>
      </w:pPr>
      <w:r w:rsidRPr="007D770B">
        <w:rPr>
          <w:sz w:val="20"/>
          <w:szCs w:val="20"/>
          <w:lang w:val="en-US"/>
        </w:rPr>
        <w:t>They are not financial instruments:</w:t>
      </w:r>
    </w:p>
    <w:p w14:paraId="4DCD5F74" w14:textId="77777777" w:rsidR="00331FED" w:rsidRPr="007D770B" w:rsidRDefault="00331FED" w:rsidP="00AE698A">
      <w:pPr>
        <w:pStyle w:val="21"/>
        <w:numPr>
          <w:ilvl w:val="0"/>
          <w:numId w:val="263"/>
        </w:numPr>
        <w:spacing w:after="240" w:line="240" w:lineRule="atLeast"/>
        <w:rPr>
          <w:sz w:val="20"/>
          <w:szCs w:val="20"/>
          <w:lang w:val="en-US"/>
        </w:rPr>
      </w:pPr>
      <w:r w:rsidRPr="007D770B">
        <w:rPr>
          <w:sz w:val="20"/>
          <w:szCs w:val="20"/>
          <w:lang w:val="en-US"/>
        </w:rPr>
        <w:t>treasury shares or treasury bonds held for resale or cancellation;</w:t>
      </w:r>
    </w:p>
    <w:p w14:paraId="5AD3D0F6" w14:textId="77777777" w:rsidR="00331FED" w:rsidRPr="007D770B" w:rsidRDefault="00331FED" w:rsidP="00AE698A">
      <w:pPr>
        <w:pStyle w:val="21"/>
        <w:numPr>
          <w:ilvl w:val="0"/>
          <w:numId w:val="263"/>
        </w:numPr>
        <w:spacing w:after="240" w:line="240" w:lineRule="atLeast"/>
        <w:rPr>
          <w:sz w:val="20"/>
          <w:szCs w:val="20"/>
          <w:lang w:val="en-US"/>
        </w:rPr>
      </w:pPr>
      <w:r w:rsidRPr="007D770B">
        <w:rPr>
          <w:sz w:val="20"/>
          <w:szCs w:val="20"/>
          <w:lang w:val="en-US"/>
        </w:rPr>
        <w:t>investments in fixed assets, inventories, intangible assets.</w:t>
      </w:r>
    </w:p>
    <w:p w14:paraId="0B0455D2" w14:textId="77777777" w:rsidR="00331FED" w:rsidRPr="007D770B" w:rsidRDefault="00331FED" w:rsidP="00331FED">
      <w:pPr>
        <w:pStyle w:val="Default"/>
        <w:rPr>
          <w:rFonts w:eastAsia="Calibri"/>
          <w:b/>
          <w:i/>
          <w:iCs/>
          <w:sz w:val="20"/>
          <w:szCs w:val="20"/>
          <w:lang w:eastAsia="ru-RU"/>
        </w:rPr>
      </w:pPr>
      <w:r w:rsidRPr="007D770B">
        <w:rPr>
          <w:rFonts w:eastAsia="Calibri"/>
          <w:b/>
          <w:iCs/>
          <w:sz w:val="20"/>
          <w:szCs w:val="20"/>
          <w:lang w:eastAsia="ru-RU"/>
        </w:rPr>
        <w:t>An equity instrument is an instrument that meets the definition of equity from the perspective of the issuer; that is, an instrument that does not contain a contractual obligation to pay and that evidences a residual interest in the net assets of the issuer. Examples of equity instruments include basic common shares.</w:t>
      </w:r>
    </w:p>
    <w:p w14:paraId="405D14B5" w14:textId="77777777" w:rsidR="00331FED" w:rsidRPr="007D770B" w:rsidRDefault="00331FED" w:rsidP="00331FED">
      <w:pPr>
        <w:pStyle w:val="Default"/>
        <w:rPr>
          <w:iCs/>
          <w:sz w:val="20"/>
          <w:szCs w:val="20"/>
        </w:rPr>
      </w:pPr>
    </w:p>
    <w:p w14:paraId="4DF03F2A" w14:textId="77777777" w:rsidR="00331FED" w:rsidRPr="007D770B" w:rsidRDefault="00331FED" w:rsidP="00331FED">
      <w:pPr>
        <w:pStyle w:val="Default"/>
        <w:rPr>
          <w:rFonts w:eastAsia="Calibri"/>
          <w:iCs/>
          <w:sz w:val="20"/>
          <w:szCs w:val="20"/>
          <w:lang w:eastAsia="ru-RU"/>
        </w:rPr>
      </w:pPr>
      <w:r w:rsidRPr="007D770B">
        <w:rPr>
          <w:rFonts w:eastAsia="Calibri"/>
          <w:b/>
          <w:i/>
          <w:iCs/>
          <w:sz w:val="20"/>
          <w:szCs w:val="20"/>
          <w:lang w:eastAsia="ru-RU"/>
        </w:rPr>
        <w:t xml:space="preserve">A debt instrument </w:t>
      </w:r>
      <w:r w:rsidRPr="007D770B">
        <w:rPr>
          <w:rFonts w:eastAsia="Calibri"/>
          <w:b/>
          <w:iCs/>
          <w:sz w:val="20"/>
          <w:szCs w:val="20"/>
          <w:lang w:eastAsia="ru-RU"/>
        </w:rPr>
        <w:t>is an instrument that meets the definition of a financial liability from the perspective of the issuer, such as loans, government and corporate bonds, and trade receivables purchased from customers under non-recourse factoring arrangements.</w:t>
      </w:r>
    </w:p>
    <w:p w14:paraId="14B41F2D" w14:textId="77777777" w:rsidR="00331FED" w:rsidRPr="007D770B" w:rsidRDefault="00331FED" w:rsidP="00331FED">
      <w:pPr>
        <w:pStyle w:val="Default"/>
        <w:rPr>
          <w:lang w:eastAsia="ru-RU"/>
        </w:rPr>
      </w:pPr>
    </w:p>
    <w:p w14:paraId="5D1CD0EC" w14:textId="35402559" w:rsidR="00331FED" w:rsidRPr="007D770B" w:rsidRDefault="00331FED" w:rsidP="00302504">
      <w:pPr>
        <w:pStyle w:val="ABC-paragrahinNotes"/>
        <w:spacing w:line="240" w:lineRule="atLeast"/>
        <w:rPr>
          <w:rFonts w:ascii="Times New Roman" w:hAnsi="Times New Roman"/>
          <w:sz w:val="20"/>
          <w:lang w:val="en-US"/>
        </w:rPr>
      </w:pPr>
      <w:r w:rsidRPr="007D770B">
        <w:rPr>
          <w:rFonts w:ascii="Times New Roman" w:hAnsi="Times New Roman"/>
          <w:b/>
          <w:i/>
          <w:iCs/>
          <w:color w:val="000000"/>
          <w:sz w:val="20"/>
          <w:lang w:val="en-US"/>
        </w:rPr>
        <w:t xml:space="preserve">Fair </w:t>
      </w:r>
      <w:r w:rsidRPr="007D770B">
        <w:rPr>
          <w:rFonts w:ascii="Times New Roman" w:hAnsi="Times New Roman"/>
          <w:b/>
          <w:i/>
          <w:sz w:val="20"/>
          <w:lang w:val="en-US"/>
        </w:rPr>
        <w:t xml:space="preserve">value </w:t>
      </w:r>
      <w:r w:rsidR="00302504" w:rsidRPr="007D770B">
        <w:rPr>
          <w:rFonts w:ascii="Times New Roman" w:hAnsi="Times New Roman"/>
          <w:sz w:val="20"/>
          <w:lang w:val="en-US"/>
        </w:rPr>
        <w:t>is the price that would be received to sell an asset or paid to transfer a liability in an orderly transaction between market participants at the measurement date, measured in accordance with IFRS 13, Chapter 3, Section 5 of this Accounting Policy</w:t>
      </w:r>
      <w:r w:rsidRPr="007D770B">
        <w:rPr>
          <w:rFonts w:ascii="Times New Roman" w:hAnsi="Times New Roman"/>
          <w:sz w:val="20"/>
          <w:lang w:val="en-US"/>
        </w:rPr>
        <w:t>.</w:t>
      </w:r>
    </w:p>
    <w:p w14:paraId="3587C3D4" w14:textId="3720AAAE" w:rsidR="00331FED" w:rsidRPr="007D770B" w:rsidRDefault="00331FED" w:rsidP="00331FED">
      <w:pPr>
        <w:pStyle w:val="ABC-paragrahinNotes"/>
        <w:spacing w:line="240" w:lineRule="atLeast"/>
        <w:rPr>
          <w:rFonts w:ascii="Times New Roman" w:hAnsi="Times New Roman"/>
          <w:color w:val="000000"/>
          <w:sz w:val="20"/>
          <w:lang w:val="en-US"/>
        </w:rPr>
      </w:pPr>
      <w:r w:rsidRPr="007D770B">
        <w:rPr>
          <w:rFonts w:ascii="Times New Roman" w:hAnsi="Times New Roman"/>
          <w:sz w:val="20"/>
          <w:lang w:val="en-US"/>
        </w:rPr>
        <w:t>For financial assets and liabilities with offsetting risks, the Bank may use mid-market prices to determine the fair value of positions with offsetting risks and apply the bid or asking price to the net open position as appropriate.</w:t>
      </w:r>
    </w:p>
    <w:p w14:paraId="34706A8B" w14:textId="77777777" w:rsidR="00331FED" w:rsidRPr="007D770B" w:rsidRDefault="00331FED" w:rsidP="00331FED">
      <w:pPr>
        <w:pStyle w:val="ABC-paragrahinNotes"/>
        <w:spacing w:line="240" w:lineRule="atLeast"/>
        <w:rPr>
          <w:rFonts w:ascii="Times New Roman" w:hAnsi="Times New Roman"/>
          <w:color w:val="000000"/>
          <w:sz w:val="20"/>
          <w:lang w:val="en-US"/>
        </w:rPr>
      </w:pPr>
      <w:r w:rsidRPr="007D770B">
        <w:rPr>
          <w:rFonts w:ascii="Times New Roman" w:hAnsi="Times New Roman"/>
          <w:sz w:val="20"/>
          <w:lang w:val="en-US"/>
        </w:rPr>
        <w:t>A financial instrument is quoted in an active market if quoted prices are readily and regularly available from an exchange or other institution and those prices represent actual and regularly occurring market transactions on an arm's length basis</w:t>
      </w:r>
    </w:p>
    <w:p w14:paraId="57B417C2" w14:textId="77777777" w:rsidR="00331FED" w:rsidRPr="007D770B" w:rsidRDefault="00331FED" w:rsidP="00331FED">
      <w:pPr>
        <w:pStyle w:val="ABC-paragrahinNotes"/>
        <w:spacing w:line="240" w:lineRule="atLeast"/>
        <w:rPr>
          <w:rFonts w:ascii="Times New Roman" w:hAnsi="Times New Roman"/>
          <w:sz w:val="20"/>
          <w:lang w:val="en-US"/>
        </w:rPr>
      </w:pPr>
      <w:r w:rsidRPr="007D770B">
        <w:rPr>
          <w:rFonts w:ascii="Times New Roman" w:hAnsi="Times New Roman"/>
          <w:sz w:val="20"/>
          <w:lang w:val="en-US"/>
        </w:rPr>
        <w:t>Valuation techniques such as discounted cash flow models or models based on recent arm's length transactions or consideration of the current value of the investee are used to fair value financial instruments for which market transaction price information is not available. The calculations using these valuation techniques may require the exercise of judgment not supported by observable market data</w:t>
      </w:r>
    </w:p>
    <w:p w14:paraId="33004F56" w14:textId="77777777" w:rsidR="00331FED" w:rsidRPr="007D770B" w:rsidRDefault="00331FED" w:rsidP="00331FED">
      <w:pPr>
        <w:pStyle w:val="ABC-paragrahinNotes"/>
        <w:spacing w:line="240" w:lineRule="atLeast"/>
        <w:rPr>
          <w:rFonts w:ascii="Times New Roman" w:hAnsi="Times New Roman"/>
          <w:sz w:val="20"/>
          <w:lang w:val="en-US"/>
        </w:rPr>
      </w:pPr>
      <w:r w:rsidRPr="007D770B">
        <w:rPr>
          <w:rFonts w:ascii="Times New Roman" w:hAnsi="Times New Roman"/>
          <w:sz w:val="20"/>
          <w:lang w:val="en-US"/>
        </w:rPr>
        <w:t>Reasonable changes in these judgments would result in significant changes in net income, revenues, total assets or total liabilities.</w:t>
      </w:r>
    </w:p>
    <w:p w14:paraId="2DF05243" w14:textId="77777777" w:rsidR="00331FED" w:rsidRPr="007D770B" w:rsidRDefault="00331FED" w:rsidP="00331FED">
      <w:pPr>
        <w:pStyle w:val="Default"/>
        <w:spacing w:after="240" w:line="240" w:lineRule="atLeast"/>
        <w:jc w:val="both"/>
      </w:pPr>
      <w:r w:rsidRPr="007D770B">
        <w:rPr>
          <w:sz w:val="20"/>
          <w:szCs w:val="20"/>
          <w:lang w:eastAsia="ru-RU"/>
        </w:rPr>
        <w:t xml:space="preserve">A </w:t>
      </w:r>
      <w:r w:rsidRPr="007D770B">
        <w:rPr>
          <w:b/>
          <w:i/>
          <w:sz w:val="20"/>
          <w:szCs w:val="20"/>
          <w:lang w:eastAsia="ru-RU"/>
        </w:rPr>
        <w:t xml:space="preserve">puttable instrument </w:t>
      </w:r>
      <w:r w:rsidRPr="007D770B">
        <w:rPr>
          <w:sz w:val="20"/>
          <w:szCs w:val="20"/>
          <w:lang w:eastAsia="ru-RU"/>
        </w:rPr>
        <w:t>is a financial instrument that gives the holder the right to sell the instrument back to its issuer for cash or other financial assets or that is automatically returned to its issuer upon the occurrence of an uncertain future event or the death or retirement of the holder of the instrument.</w:t>
      </w:r>
    </w:p>
    <w:p w14:paraId="77909AC5" w14:textId="7B40A229" w:rsidR="00331FED" w:rsidRPr="007D770B" w:rsidRDefault="00331FED" w:rsidP="00331FED">
      <w:pPr>
        <w:pStyle w:val="ABC-paragrahinNotes"/>
        <w:spacing w:line="240" w:lineRule="atLeast"/>
        <w:rPr>
          <w:rFonts w:ascii="Times New Roman" w:hAnsi="Times New Roman"/>
          <w:sz w:val="20"/>
          <w:lang w:val="en-US"/>
        </w:rPr>
      </w:pPr>
      <w:r w:rsidRPr="007D770B">
        <w:rPr>
          <w:rFonts w:ascii="Times New Roman" w:hAnsi="Times New Roman"/>
          <w:b/>
          <w:i/>
          <w:sz w:val="20"/>
          <w:lang w:val="en-US"/>
        </w:rPr>
        <w:t xml:space="preserve">Cost </w:t>
      </w:r>
      <w:r w:rsidRPr="007D770B">
        <w:rPr>
          <w:rFonts w:ascii="Times New Roman" w:hAnsi="Times New Roman"/>
          <w:sz w:val="20"/>
          <w:lang w:val="en-US"/>
        </w:rPr>
        <w:t xml:space="preserve">is the amount of cash or cash equivalents paid or the fair value of other consideration given to acquire an asset at the date of purchase and includes transaction costs. </w:t>
      </w:r>
    </w:p>
    <w:p w14:paraId="018E6DE2" w14:textId="0A3E139F" w:rsidR="00331FED" w:rsidRPr="007D770B" w:rsidRDefault="00331FED" w:rsidP="00331FED">
      <w:pPr>
        <w:pStyle w:val="ABC-paragrahinNotes"/>
        <w:spacing w:line="240" w:lineRule="atLeast"/>
        <w:rPr>
          <w:rFonts w:ascii="Times New Roman" w:hAnsi="Times New Roman"/>
          <w:sz w:val="20"/>
          <w:lang w:val="en-US"/>
        </w:rPr>
      </w:pPr>
      <w:r w:rsidRPr="007D770B">
        <w:rPr>
          <w:rFonts w:ascii="Times New Roman" w:hAnsi="Times New Roman"/>
          <w:sz w:val="20"/>
          <w:lang w:val="en-US"/>
        </w:rPr>
        <w:t xml:space="preserve">The </w:t>
      </w:r>
      <w:r w:rsidRPr="007D770B">
        <w:rPr>
          <w:rFonts w:ascii="Times New Roman" w:hAnsi="Times New Roman"/>
          <w:b/>
          <w:i/>
          <w:sz w:val="20"/>
          <w:lang w:val="en-US"/>
        </w:rPr>
        <w:t xml:space="preserve">trade </w:t>
      </w:r>
      <w:r w:rsidRPr="007D770B">
        <w:rPr>
          <w:rFonts w:ascii="Times New Roman" w:hAnsi="Times New Roman"/>
          <w:sz w:val="20"/>
          <w:lang w:val="en-US"/>
        </w:rPr>
        <w:t>date is the date on which the Bank commits to purchase or sell an asset. The trade date method of accounting provides for (a) recognition of the asset to be received and the liability to pay on  trade date, and (b) derecognition of the asset that has been sold, recognition of a gain or loss on disposal and recognition of a receivable from the buyer for payment on  trade date. Generally, the accrual of interest on the asset and the related liability does not begin until the settlement date when title passes.</w:t>
      </w:r>
    </w:p>
    <w:p w14:paraId="501A2362" w14:textId="77777777" w:rsidR="00331FED" w:rsidRPr="007D770B" w:rsidRDefault="00331FED" w:rsidP="00331FED">
      <w:pPr>
        <w:keepLines/>
        <w:spacing w:line="259" w:lineRule="auto"/>
        <w:ind w:left="0"/>
        <w:rPr>
          <w:rFonts w:ascii="Times New Roman" w:hAnsi="Times New Roman"/>
          <w:lang w:val="en-US" w:eastAsia="ru-RU"/>
        </w:rPr>
      </w:pPr>
      <w:r w:rsidRPr="007D770B">
        <w:rPr>
          <w:rFonts w:ascii="Times New Roman" w:hAnsi="Times New Roman"/>
          <w:lang w:val="en-US" w:eastAsia="ru-RU"/>
        </w:rPr>
        <w:t xml:space="preserve">The </w:t>
      </w:r>
      <w:r w:rsidRPr="007D770B">
        <w:rPr>
          <w:rFonts w:ascii="Times New Roman" w:hAnsi="Times New Roman"/>
          <w:b/>
          <w:i/>
          <w:lang w:val="en-US" w:eastAsia="ru-RU"/>
        </w:rPr>
        <w:t xml:space="preserve">settlement </w:t>
      </w:r>
      <w:r w:rsidRPr="007D770B">
        <w:rPr>
          <w:rFonts w:ascii="Times New Roman" w:hAnsi="Times New Roman"/>
          <w:lang w:val="en-US" w:eastAsia="ru-RU"/>
        </w:rPr>
        <w:t xml:space="preserve">date is the date on which the asset is delivered to or by the Bank. The settlement date method of accounting provides for (a) recognition of the asset on the date it is received by the Bank and (b) derecognition of the asset and recognition of a gain or loss on disposal on the date of delivery by the Bank. When the Bank applies the settlement date method of accounting, it recognizes changes in the fair value of the asset to be received that arise between the trade date and settlement date in the same way as it recognizes an acquired asset. </w:t>
      </w:r>
    </w:p>
    <w:p w14:paraId="15CC4DDB" w14:textId="77777777" w:rsidR="00331FED" w:rsidRPr="007D770B" w:rsidRDefault="00331FED" w:rsidP="00331FED">
      <w:pPr>
        <w:spacing w:line="259" w:lineRule="auto"/>
        <w:ind w:left="0"/>
        <w:rPr>
          <w:rFonts w:ascii="Times New Roman" w:hAnsi="Times New Roman"/>
          <w:lang w:val="en-US" w:eastAsia="ru-RU"/>
        </w:rPr>
      </w:pPr>
      <w:r w:rsidRPr="007D770B">
        <w:rPr>
          <w:rFonts w:ascii="Times New Roman" w:hAnsi="Times New Roman"/>
          <w:b/>
          <w:i/>
          <w:lang w:val="en-US" w:eastAsia="ru-RU"/>
        </w:rPr>
        <w:t xml:space="preserve">An accounting mismatch </w:t>
      </w:r>
      <w:r w:rsidRPr="007D770B">
        <w:rPr>
          <w:rFonts w:ascii="Times New Roman" w:hAnsi="Times New Roman"/>
          <w:lang w:val="en-US" w:eastAsia="ru-RU"/>
        </w:rPr>
        <w:t>is an inconsistency in the accounting treatment of financial instruments that results in a material discrepancy.</w:t>
      </w:r>
    </w:p>
    <w:p w14:paraId="59D39509" w14:textId="04ACED12" w:rsidR="00331FED" w:rsidRPr="007D770B" w:rsidRDefault="00331FED" w:rsidP="00331FED">
      <w:pPr>
        <w:pStyle w:val="ABC-paragrahinNotes"/>
        <w:rPr>
          <w:rFonts w:ascii="Times New Roman" w:hAnsi="Times New Roman"/>
          <w:sz w:val="20"/>
          <w:lang w:val="en-US"/>
        </w:rPr>
      </w:pPr>
      <w:r w:rsidRPr="007D770B">
        <w:rPr>
          <w:rFonts w:ascii="Times New Roman" w:hAnsi="Times New Roman"/>
          <w:b/>
          <w:i/>
          <w:sz w:val="20"/>
          <w:lang w:val="en-US"/>
        </w:rPr>
        <w:t xml:space="preserve">Transaction costs </w:t>
      </w:r>
      <w:r w:rsidRPr="007D770B">
        <w:rPr>
          <w:rFonts w:ascii="Times New Roman" w:hAnsi="Times New Roman"/>
          <w:sz w:val="20"/>
          <w:lang w:val="en-US"/>
        </w:rPr>
        <w:t xml:space="preserve">are incremental costs and are directly attributable to the acquisition, issue or disposal of a financial instrument. </w:t>
      </w:r>
    </w:p>
    <w:p w14:paraId="2509693E" w14:textId="790F87A1" w:rsidR="00331FED" w:rsidRPr="007D770B" w:rsidRDefault="00331FED" w:rsidP="00331FED">
      <w:pPr>
        <w:pStyle w:val="ABC-paragrahinNotes"/>
        <w:rPr>
          <w:rFonts w:ascii="Times New Roman" w:hAnsi="Times New Roman"/>
          <w:sz w:val="20"/>
          <w:lang w:val="en-US"/>
        </w:rPr>
      </w:pPr>
      <w:r w:rsidRPr="007D770B">
        <w:rPr>
          <w:rFonts w:ascii="Times New Roman" w:hAnsi="Times New Roman"/>
          <w:sz w:val="20"/>
          <w:lang w:val="en-US"/>
        </w:rPr>
        <w:t>Incremental costs are costs that would not have been incurred if the transaction had not taken place. Transaction costs include fees and commissions paid to agents (including employees acting as selling agents for ), advisors, brokers and dealers, levies by regulatory agencies and securities exchanges, and transfer taxes and duties. Transaction costs do not include premiums or discounts on debt instruments, financing costs, internal administrative costs or holding costs</w:t>
      </w:r>
    </w:p>
    <w:p w14:paraId="7517235F" w14:textId="77777777" w:rsidR="00331FED" w:rsidRPr="007D770B" w:rsidRDefault="00331FED" w:rsidP="00331FED">
      <w:pPr>
        <w:pStyle w:val="ABC-paragrahinNotes"/>
        <w:rPr>
          <w:rFonts w:ascii="Times New Roman" w:hAnsi="Times New Roman"/>
          <w:sz w:val="20"/>
          <w:lang w:val="en-US"/>
        </w:rPr>
      </w:pPr>
      <w:r w:rsidRPr="007D770B">
        <w:rPr>
          <w:rFonts w:ascii="Times New Roman" w:hAnsi="Times New Roman"/>
          <w:b/>
          <w:i/>
          <w:sz w:val="20"/>
          <w:lang w:val="en-US"/>
        </w:rPr>
        <w:t xml:space="preserve">Amortized cost </w:t>
      </w:r>
      <w:r w:rsidRPr="007D770B">
        <w:rPr>
          <w:rFonts w:ascii="Times New Roman" w:hAnsi="Times New Roman"/>
          <w:sz w:val="20"/>
          <w:lang w:val="en-US"/>
        </w:rPr>
        <w:t>is the amount at which the financial asset or financial liability is measured at initial recognition minus principal repayments, plus or minus the cumulative amortization using the effective interest method for any difference between that initial amount and the maturity amount and, for financial assets, adjusted for any allowance for losses.</w:t>
      </w:r>
    </w:p>
    <w:p w14:paraId="13B4E807" w14:textId="7FBB719F" w:rsidR="00331FED" w:rsidRPr="007D770B" w:rsidRDefault="00331FED" w:rsidP="00331FED">
      <w:pPr>
        <w:pStyle w:val="ABC-paragrahinNotes"/>
        <w:rPr>
          <w:rFonts w:ascii="Times New Roman" w:hAnsi="Times New Roman"/>
          <w:sz w:val="20"/>
          <w:lang w:val="en-US"/>
        </w:rPr>
      </w:pPr>
      <w:r w:rsidRPr="007D770B">
        <w:rPr>
          <w:rFonts w:ascii="Times New Roman" w:hAnsi="Times New Roman"/>
          <w:b/>
          <w:i/>
          <w:sz w:val="20"/>
          <w:lang w:val="en-US"/>
        </w:rPr>
        <w:t xml:space="preserve">The effective interest rate </w:t>
      </w:r>
      <w:r w:rsidRPr="007D770B">
        <w:rPr>
          <w:rFonts w:ascii="Times New Roman" w:hAnsi="Times New Roman"/>
          <w:sz w:val="20"/>
          <w:lang w:val="en-US"/>
        </w:rPr>
        <w:t xml:space="preserve">is the rate that exactly discounts estimated future cash payments or receipts through the expected life of the financial asset or financial liability to the gross carrying amount of the financial asset (i.e. its amortized cost before any allowance for impairment) or to the amortized cost of the financial liability. The calculation excludes </w:t>
      </w:r>
      <w:r>
        <w:rPr>
          <w:rFonts w:ascii="Times New Roman" w:hAnsi="Times New Roman"/>
          <w:sz w:val="20"/>
        </w:rPr>
        <w:t xml:space="preserve">expected credit losses </w:t>
      </w:r>
      <w:r w:rsidRPr="007D770B">
        <w:rPr>
          <w:rFonts w:ascii="Times New Roman" w:hAnsi="Times New Roman"/>
          <w:sz w:val="20"/>
          <w:lang w:val="en-US"/>
        </w:rPr>
        <w:t>(</w:t>
      </w:r>
      <w:r w:rsidR="00802136" w:rsidRPr="007D770B">
        <w:rPr>
          <w:rFonts w:ascii="Times New Roman" w:hAnsi="Times New Roman"/>
          <w:sz w:val="20"/>
          <w:lang w:val="en-US"/>
        </w:rPr>
        <w:t>"</w:t>
      </w:r>
      <w:r>
        <w:rPr>
          <w:rFonts w:ascii="Times New Roman" w:hAnsi="Times New Roman"/>
          <w:sz w:val="20"/>
        </w:rPr>
        <w:t>ECL</w:t>
      </w:r>
      <w:r w:rsidR="00802136" w:rsidRPr="007D770B">
        <w:rPr>
          <w:rFonts w:ascii="Times New Roman" w:hAnsi="Times New Roman"/>
          <w:sz w:val="20"/>
          <w:lang w:val="en-US"/>
        </w:rPr>
        <w:t>"</w:t>
      </w:r>
      <w:r w:rsidRPr="007D770B">
        <w:rPr>
          <w:rFonts w:ascii="Times New Roman" w:hAnsi="Times New Roman"/>
          <w:sz w:val="20"/>
          <w:lang w:val="en-US"/>
        </w:rPr>
        <w:t xml:space="preserve">) and includes transaction costs, premiums or discounts, fees and charges paid or received that are an integral part of the effective interest rate, such as loan origination fees. For </w:t>
      </w:r>
      <w:r>
        <w:rPr>
          <w:rFonts w:ascii="Times New Roman" w:hAnsi="Times New Roman"/>
          <w:sz w:val="20"/>
        </w:rPr>
        <w:t xml:space="preserve">purchased or originated credit impaired </w:t>
      </w:r>
      <w:r w:rsidRPr="007D770B">
        <w:rPr>
          <w:rFonts w:ascii="Times New Roman" w:hAnsi="Times New Roman"/>
          <w:sz w:val="20"/>
          <w:lang w:val="en-US"/>
        </w:rPr>
        <w:t>(</w:t>
      </w:r>
      <w:r w:rsidR="00802136" w:rsidRPr="007D770B">
        <w:rPr>
          <w:rFonts w:ascii="Times New Roman" w:hAnsi="Times New Roman"/>
          <w:sz w:val="20"/>
          <w:lang w:val="en-US"/>
        </w:rPr>
        <w:t>"</w:t>
      </w:r>
      <w:r>
        <w:rPr>
          <w:rFonts w:ascii="Times New Roman" w:hAnsi="Times New Roman"/>
          <w:sz w:val="20"/>
        </w:rPr>
        <w:t>POCI</w:t>
      </w:r>
      <w:r w:rsidR="00802136" w:rsidRPr="007D770B">
        <w:rPr>
          <w:rFonts w:ascii="Times New Roman" w:hAnsi="Times New Roman"/>
          <w:sz w:val="20"/>
          <w:lang w:val="en-US"/>
        </w:rPr>
        <w:t>"</w:t>
      </w:r>
      <w:r w:rsidRPr="007D770B">
        <w:rPr>
          <w:rFonts w:ascii="Times New Roman" w:hAnsi="Times New Roman"/>
          <w:sz w:val="20"/>
          <w:lang w:val="en-US"/>
        </w:rPr>
        <w:t>) financial assets - assets that are credit-impaired at initial recognition - the Bank calculates an effective interest rate adjusted for credit risk, which is calculated based on the amortized cost of the financial asset instead of its gross carrying amount and includes the effect of expected credit losses in estimated future cash flows.</w:t>
      </w:r>
    </w:p>
    <w:p w14:paraId="1E361968" w14:textId="77777777" w:rsidR="00331FED" w:rsidRPr="007D770B" w:rsidRDefault="00331FED" w:rsidP="00331FED">
      <w:pPr>
        <w:pStyle w:val="ABC-paragrahinNotes"/>
        <w:rPr>
          <w:rFonts w:ascii="Times New Roman" w:hAnsi="Times New Roman"/>
          <w:sz w:val="20"/>
          <w:lang w:val="en-US"/>
        </w:rPr>
      </w:pPr>
      <w:r w:rsidRPr="007D770B">
        <w:rPr>
          <w:rFonts w:ascii="Times New Roman" w:hAnsi="Times New Roman"/>
          <w:sz w:val="20"/>
          <w:lang w:val="en-US"/>
        </w:rPr>
        <w:lastRenderedPageBreak/>
        <w:t>When the Bank revises its estimates of future cash flows, the carrying amounts of the related financial assets or financial liabilities are adjusted to reflect the new estimate discounted at the original effective interest rate. Any changes are recognized in profit or loss.</w:t>
      </w:r>
    </w:p>
    <w:p w14:paraId="1C795B7D" w14:textId="0B10BB9D" w:rsidR="00331FED" w:rsidRPr="007D770B" w:rsidRDefault="00331FED" w:rsidP="00331FED">
      <w:pPr>
        <w:spacing w:line="259" w:lineRule="auto"/>
        <w:ind w:left="0"/>
        <w:rPr>
          <w:rFonts w:ascii="Times New Roman" w:hAnsi="Times New Roman"/>
          <w:lang w:val="en-US"/>
        </w:rPr>
      </w:pPr>
      <w:r w:rsidRPr="007D770B">
        <w:rPr>
          <w:rFonts w:ascii="Times New Roman" w:hAnsi="Times New Roman"/>
          <w:b/>
          <w:i/>
          <w:lang w:val="en-US"/>
        </w:rPr>
        <w:t xml:space="preserve">Purchased or originated credit-impaired financial assets (POCI) </w:t>
      </w:r>
      <w:r w:rsidRPr="007D770B">
        <w:rPr>
          <w:rFonts w:ascii="Times New Roman" w:hAnsi="Times New Roman"/>
          <w:lang w:val="en-US"/>
        </w:rPr>
        <w:t xml:space="preserve">are assets that are credit-impaired at the time of initial recognition. The present value of future cash flows is discounted at the </w:t>
      </w:r>
      <w:r w:rsidR="00A8754F" w:rsidRPr="007D770B">
        <w:rPr>
          <w:rFonts w:ascii="Times New Roman" w:hAnsi="Times New Roman"/>
          <w:lang w:val="en-US"/>
        </w:rPr>
        <w:t xml:space="preserve">effective </w:t>
      </w:r>
      <w:r w:rsidRPr="007D770B">
        <w:rPr>
          <w:rFonts w:ascii="Times New Roman" w:hAnsi="Times New Roman"/>
          <w:lang w:val="en-US"/>
        </w:rPr>
        <w:t xml:space="preserve">credit risk </w:t>
      </w:r>
      <w:r w:rsidR="00A8754F" w:rsidRPr="007D770B">
        <w:rPr>
          <w:rFonts w:ascii="Times New Roman" w:hAnsi="Times New Roman"/>
          <w:lang w:val="en-US"/>
        </w:rPr>
        <w:t xml:space="preserve">adjusted rate </w:t>
      </w:r>
      <w:r w:rsidRPr="007D770B">
        <w:rPr>
          <w:rFonts w:ascii="Times New Roman" w:hAnsi="Times New Roman"/>
          <w:lang w:val="en-US"/>
        </w:rPr>
        <w:t xml:space="preserve">determined at initial recognition.  Interest income is recognized at the effective interest </w:t>
      </w:r>
      <w:r w:rsidR="00A8754F" w:rsidRPr="007D770B">
        <w:rPr>
          <w:rFonts w:ascii="Times New Roman" w:hAnsi="Times New Roman"/>
          <w:lang w:val="en-US"/>
        </w:rPr>
        <w:t xml:space="preserve">rate adjusted </w:t>
      </w:r>
      <w:r w:rsidRPr="007D770B">
        <w:rPr>
          <w:rFonts w:ascii="Times New Roman" w:hAnsi="Times New Roman"/>
          <w:lang w:val="en-US"/>
        </w:rPr>
        <w:t xml:space="preserve">for credit risk and any change in the </w:t>
      </w:r>
      <w:r w:rsidR="00A8754F" w:rsidRPr="007D770B">
        <w:rPr>
          <w:rFonts w:ascii="Times New Roman" w:hAnsi="Times New Roman"/>
          <w:lang w:val="en-US"/>
        </w:rPr>
        <w:t xml:space="preserve">expected credit losses is recognized </w:t>
      </w:r>
      <w:r w:rsidRPr="007D770B">
        <w:rPr>
          <w:rFonts w:ascii="Times New Roman" w:hAnsi="Times New Roman"/>
          <w:lang w:val="en-US"/>
        </w:rPr>
        <w:t xml:space="preserve">in profit or loss. The amount of the impairment loss is measured as the difference between the gross carrying amount of the asset and the present value of estimated future cash flows based on several scenarios, discounted at the original effective interest rate </w:t>
      </w:r>
      <w:r w:rsidR="00A8754F" w:rsidRPr="007D770B">
        <w:rPr>
          <w:rFonts w:ascii="Times New Roman" w:hAnsi="Times New Roman"/>
          <w:lang w:val="en-US"/>
        </w:rPr>
        <w:t>adjusted for credit risk</w:t>
      </w:r>
      <w:r w:rsidRPr="007D770B">
        <w:rPr>
          <w:rFonts w:ascii="Times New Roman" w:hAnsi="Times New Roman"/>
          <w:lang w:val="en-US"/>
        </w:rPr>
        <w:t>. The discount period is set in accordance with the contractual terms.</w:t>
      </w:r>
    </w:p>
    <w:p w14:paraId="0803F108" w14:textId="77777777" w:rsidR="0088091A" w:rsidRPr="007D770B" w:rsidRDefault="0088091A" w:rsidP="0088091A">
      <w:pPr>
        <w:pStyle w:val="ABC-paragrahinNotes"/>
        <w:rPr>
          <w:rFonts w:ascii="Times New Roman" w:hAnsi="Times New Roman"/>
          <w:sz w:val="20"/>
          <w:lang w:val="en-US"/>
        </w:rPr>
      </w:pPr>
      <w:r w:rsidRPr="007D770B">
        <w:rPr>
          <w:rFonts w:ascii="Times New Roman" w:hAnsi="Times New Roman"/>
          <w:b/>
          <w:i/>
          <w:sz w:val="20"/>
          <w:lang w:val="en-US"/>
        </w:rPr>
        <w:t xml:space="preserve">Credit-impaired financial asset </w:t>
      </w:r>
      <w:r w:rsidRPr="007D770B">
        <w:rPr>
          <w:rFonts w:ascii="Times New Roman" w:hAnsi="Times New Roman"/>
          <w:sz w:val="20"/>
          <w:lang w:val="en-US"/>
        </w:rPr>
        <w:t>- A financial asset is considered to be credit-impaired when one or more events occur that have an adverse effect on the estimated future cash flows of that financial asset.</w:t>
      </w:r>
    </w:p>
    <w:p w14:paraId="78C6FABD" w14:textId="77777777" w:rsidR="00331FED" w:rsidRPr="007D770B" w:rsidRDefault="00331FED" w:rsidP="00331FED">
      <w:pPr>
        <w:spacing w:line="259" w:lineRule="auto"/>
        <w:ind w:left="0"/>
        <w:rPr>
          <w:rFonts w:ascii="Times New Roman" w:hAnsi="Times New Roman"/>
          <w:lang w:val="en-US" w:eastAsia="ru-RU"/>
        </w:rPr>
      </w:pPr>
      <w:r w:rsidRPr="007D770B">
        <w:rPr>
          <w:rFonts w:ascii="Times New Roman" w:hAnsi="Times New Roman"/>
          <w:b/>
          <w:i/>
          <w:lang w:val="en-US" w:eastAsia="ru-RU"/>
        </w:rPr>
        <w:t xml:space="preserve">Interest income </w:t>
      </w:r>
      <w:r w:rsidRPr="007D770B">
        <w:rPr>
          <w:rFonts w:ascii="Times New Roman" w:hAnsi="Times New Roman"/>
          <w:lang w:val="en-US" w:eastAsia="ru-RU"/>
        </w:rPr>
        <w:t>is calculated by applying the effective interest rate to the gross carrying amount of financial assets, except:</w:t>
      </w:r>
    </w:p>
    <w:p w14:paraId="048E0B64" w14:textId="6A40D844" w:rsidR="00331FED" w:rsidRPr="007D770B" w:rsidRDefault="00802136" w:rsidP="00AE698A">
      <w:pPr>
        <w:pStyle w:val="21"/>
        <w:numPr>
          <w:ilvl w:val="0"/>
          <w:numId w:val="260"/>
        </w:numPr>
        <w:spacing w:after="240" w:line="240" w:lineRule="atLeast"/>
        <w:rPr>
          <w:sz w:val="20"/>
          <w:szCs w:val="20"/>
          <w:lang w:val="en-US"/>
        </w:rPr>
      </w:pPr>
      <w:r w:rsidRPr="007D770B">
        <w:rPr>
          <w:sz w:val="20"/>
          <w:szCs w:val="20"/>
          <w:lang w:val="en-US"/>
        </w:rPr>
        <w:t>"</w:t>
      </w:r>
      <w:r w:rsidR="00331FED">
        <w:rPr>
          <w:sz w:val="20"/>
          <w:szCs w:val="20"/>
          <w:lang w:val="en-GB"/>
        </w:rPr>
        <w:t>POCI</w:t>
      </w:r>
      <w:r w:rsidRPr="007D770B">
        <w:rPr>
          <w:sz w:val="20"/>
          <w:szCs w:val="20"/>
          <w:lang w:val="en-US"/>
        </w:rPr>
        <w:t xml:space="preserve">" </w:t>
      </w:r>
      <w:r w:rsidR="00331FED" w:rsidRPr="007D770B">
        <w:rPr>
          <w:sz w:val="20"/>
          <w:szCs w:val="20"/>
          <w:lang w:val="en-US"/>
        </w:rPr>
        <w:t>- financial assets for which an initial credit risk-adjusted interest rate is applied to the amortized cost of the financial asset;</w:t>
      </w:r>
    </w:p>
    <w:p w14:paraId="5857B000" w14:textId="69FBCF60" w:rsidR="00331FED" w:rsidRPr="007D770B" w:rsidRDefault="00331FED" w:rsidP="00AE698A">
      <w:pPr>
        <w:pStyle w:val="21"/>
        <w:numPr>
          <w:ilvl w:val="0"/>
          <w:numId w:val="260"/>
        </w:numPr>
        <w:spacing w:after="240" w:line="240" w:lineRule="atLeast"/>
        <w:rPr>
          <w:sz w:val="20"/>
          <w:szCs w:val="20"/>
          <w:lang w:val="en-US"/>
        </w:rPr>
      </w:pPr>
      <w:r w:rsidRPr="007D770B">
        <w:rPr>
          <w:sz w:val="20"/>
          <w:szCs w:val="20"/>
          <w:lang w:val="en-US"/>
        </w:rPr>
        <w:t xml:space="preserve">Financial assets that are not </w:t>
      </w:r>
      <w:r w:rsidR="00802136" w:rsidRPr="007D770B">
        <w:rPr>
          <w:sz w:val="20"/>
          <w:szCs w:val="20"/>
          <w:lang w:val="en-US"/>
        </w:rPr>
        <w:t>"</w:t>
      </w:r>
      <w:r>
        <w:rPr>
          <w:sz w:val="20"/>
          <w:szCs w:val="20"/>
          <w:lang w:val="en-GB"/>
        </w:rPr>
        <w:t>POCI</w:t>
      </w:r>
      <w:r w:rsidR="00802136" w:rsidRPr="007D770B">
        <w:rPr>
          <w:sz w:val="20"/>
          <w:szCs w:val="20"/>
          <w:lang w:val="en-US"/>
        </w:rPr>
        <w:t xml:space="preserve">" </w:t>
      </w:r>
      <w:r w:rsidRPr="007D770B">
        <w:rPr>
          <w:sz w:val="20"/>
          <w:szCs w:val="20"/>
          <w:lang w:val="en-US"/>
        </w:rPr>
        <w:t xml:space="preserve">but subsequently become credit-impaired (or </w:t>
      </w:r>
      <w:r w:rsidR="00802136" w:rsidRPr="007D770B">
        <w:rPr>
          <w:sz w:val="20"/>
          <w:szCs w:val="20"/>
          <w:lang w:val="en-US"/>
        </w:rPr>
        <w:t>"</w:t>
      </w:r>
      <w:r w:rsidR="00F214E3" w:rsidRPr="007D770B">
        <w:rPr>
          <w:sz w:val="20"/>
          <w:szCs w:val="20"/>
          <w:lang w:val="en-US"/>
        </w:rPr>
        <w:t xml:space="preserve">Basket </w:t>
      </w:r>
      <w:r w:rsidRPr="007D770B">
        <w:rPr>
          <w:sz w:val="20"/>
          <w:szCs w:val="20"/>
          <w:lang w:val="en-US"/>
        </w:rPr>
        <w:t>3</w:t>
      </w:r>
      <w:r w:rsidR="00802136" w:rsidRPr="007D770B">
        <w:rPr>
          <w:sz w:val="20"/>
          <w:szCs w:val="20"/>
          <w:lang w:val="en-US"/>
        </w:rPr>
        <w:t>"</w:t>
      </w:r>
      <w:r w:rsidRPr="007D770B">
        <w:rPr>
          <w:sz w:val="20"/>
          <w:szCs w:val="20"/>
          <w:lang w:val="en-US"/>
        </w:rPr>
        <w:t>) for which interest income is calculated by applying the effective interest rate to their amortized cost (i.e. net of provision for expected credit losses).</w:t>
      </w:r>
    </w:p>
    <w:p w14:paraId="3707E470" w14:textId="3EFF8D4E" w:rsidR="00331FED" w:rsidRPr="007D770B" w:rsidRDefault="00331FED" w:rsidP="00331FED">
      <w:pPr>
        <w:spacing w:line="259" w:lineRule="auto"/>
        <w:ind w:left="0"/>
        <w:rPr>
          <w:rFonts w:ascii="Times New Roman" w:hAnsi="Times New Roman"/>
          <w:lang w:val="en-US"/>
        </w:rPr>
      </w:pPr>
      <w:r w:rsidRPr="007D770B">
        <w:rPr>
          <w:rFonts w:ascii="Times New Roman" w:hAnsi="Times New Roman"/>
          <w:b/>
          <w:i/>
          <w:lang w:val="en-US" w:eastAsia="ru-RU"/>
        </w:rPr>
        <w:t xml:space="preserve">Credit loss </w:t>
      </w:r>
      <w:r w:rsidRPr="007D770B">
        <w:rPr>
          <w:lang w:val="en-US"/>
        </w:rPr>
        <w:t xml:space="preserve">is the </w:t>
      </w:r>
      <w:r w:rsidRPr="007D770B">
        <w:rPr>
          <w:rFonts w:ascii="Times New Roman" w:hAnsi="Times New Roman"/>
          <w:lang w:val="en-US"/>
        </w:rPr>
        <w:t xml:space="preserve">difference between the total contractual cash flows due to the Bank under the contract and the total cash flows expected to be received by the Bank (i.e. all cash flow shortfalls) discounted at the original effective interest rate (or, in the case of purchased or originated credit-impaired financial assets, at the effective interest rate adjusted for credit risk). The Bank estimates the expected cash flows considering all contractual terms of the financial instrument throughout the expected life of the financial instrument. The cash flows considered include cash flows from the sale of collateral held or from other credit enhancements that are an integral part of the contractual terms of the financial instrument. </w:t>
      </w:r>
    </w:p>
    <w:p w14:paraId="44D380DE" w14:textId="77777777" w:rsidR="00331FED" w:rsidRPr="007D770B" w:rsidRDefault="00331FED" w:rsidP="00331FED">
      <w:pPr>
        <w:spacing w:line="259" w:lineRule="auto"/>
        <w:ind w:left="0"/>
        <w:rPr>
          <w:rFonts w:ascii="Times New Roman" w:hAnsi="Times New Roman"/>
          <w:lang w:val="en-US" w:eastAsia="ru-RU"/>
        </w:rPr>
      </w:pPr>
      <w:r w:rsidRPr="007D770B">
        <w:rPr>
          <w:rFonts w:ascii="Times New Roman" w:hAnsi="Times New Roman"/>
          <w:b/>
          <w:i/>
          <w:lang w:val="en-US" w:eastAsia="ru-RU"/>
        </w:rPr>
        <w:t xml:space="preserve">Expected credit losses </w:t>
      </w:r>
      <w:r w:rsidRPr="007D770B">
        <w:rPr>
          <w:rFonts w:ascii="Times New Roman" w:hAnsi="Times New Roman"/>
          <w:lang w:val="en-US" w:eastAsia="ru-RU"/>
        </w:rPr>
        <w:t>are a weighted average of credit losses determined using relevant default risks as weighting factors.</w:t>
      </w:r>
    </w:p>
    <w:p w14:paraId="010398DF" w14:textId="38A8EBD1" w:rsidR="00331FED" w:rsidRPr="007D770B" w:rsidRDefault="00331FED" w:rsidP="00331FED">
      <w:pPr>
        <w:spacing w:line="259" w:lineRule="auto"/>
        <w:ind w:left="0"/>
        <w:rPr>
          <w:rFonts w:ascii="Times New Roman" w:hAnsi="Times New Roman"/>
          <w:lang w:val="en-US" w:eastAsia="ru-RU"/>
        </w:rPr>
      </w:pPr>
      <w:r w:rsidRPr="007D770B">
        <w:rPr>
          <w:rFonts w:ascii="Times New Roman" w:hAnsi="Times New Roman"/>
          <w:b/>
          <w:i/>
          <w:lang w:val="en-US" w:eastAsia="ru-RU"/>
        </w:rPr>
        <w:t xml:space="preserve">12-month expected credit losses </w:t>
      </w:r>
      <w:r w:rsidRPr="007D770B">
        <w:rPr>
          <w:rFonts w:ascii="Times New Roman" w:hAnsi="Times New Roman"/>
          <w:lang w:val="en-US" w:eastAsia="ru-RU"/>
        </w:rPr>
        <w:t xml:space="preserve">are the portion of lifetime expected credit losses that represent expected credit losses that result from defaults on a financial instrument that are </w:t>
      </w:r>
      <w:r w:rsidR="005D7877" w:rsidRPr="007D770B">
        <w:rPr>
          <w:rFonts w:ascii="Times New Roman" w:hAnsi="Times New Roman"/>
          <w:lang w:val="en-US"/>
        </w:rPr>
        <w:t>probable</w:t>
      </w:r>
      <w:r w:rsidRPr="007D770B">
        <w:rPr>
          <w:rFonts w:ascii="Times New Roman" w:hAnsi="Times New Roman"/>
          <w:lang w:val="en-US" w:eastAsia="ru-RU"/>
        </w:rPr>
        <w:t xml:space="preserve"> within 12 months after the reporting date </w:t>
      </w:r>
      <w:r w:rsidR="005D7877" w:rsidRPr="007D770B">
        <w:rPr>
          <w:rFonts w:ascii="Times New Roman" w:hAnsi="Times New Roman"/>
          <w:lang w:val="en-US"/>
        </w:rPr>
        <w:t>(or a shorter period if the expected life of the loan is less than 12 months), weighted by the likelihood that such defaults will occur</w:t>
      </w:r>
      <w:r w:rsidRPr="007D770B">
        <w:rPr>
          <w:rFonts w:ascii="Times New Roman" w:hAnsi="Times New Roman"/>
          <w:lang w:val="en-US" w:eastAsia="ru-RU"/>
        </w:rPr>
        <w:t>.</w:t>
      </w:r>
    </w:p>
    <w:p w14:paraId="020C5CC9" w14:textId="77777777" w:rsidR="00331FED" w:rsidRPr="007D770B" w:rsidRDefault="00331FED" w:rsidP="00331FED">
      <w:pPr>
        <w:spacing w:line="259" w:lineRule="auto"/>
        <w:ind w:left="0"/>
        <w:rPr>
          <w:rFonts w:ascii="Times New Roman" w:hAnsi="Times New Roman"/>
          <w:lang w:val="en-US"/>
        </w:rPr>
      </w:pPr>
      <w:r w:rsidRPr="007D770B">
        <w:rPr>
          <w:rFonts w:ascii="Times New Roman" w:hAnsi="Times New Roman"/>
          <w:b/>
          <w:i/>
          <w:lang w:val="en-US"/>
        </w:rPr>
        <w:t xml:space="preserve">Expected lifetime credit losses </w:t>
      </w:r>
      <w:r w:rsidRPr="007D770B">
        <w:rPr>
          <w:rFonts w:ascii="Times New Roman" w:hAnsi="Times New Roman"/>
          <w:lang w:val="en-US"/>
        </w:rPr>
        <w:t>- expected credit losses arising from all possible events of default over the expected life of the financial instrument.</w:t>
      </w:r>
    </w:p>
    <w:p w14:paraId="3D427B8E" w14:textId="06B05F0D" w:rsidR="00032C90" w:rsidRPr="007D770B" w:rsidRDefault="00331FED" w:rsidP="00540795">
      <w:pPr>
        <w:spacing w:line="259" w:lineRule="auto"/>
        <w:ind w:left="0"/>
        <w:rPr>
          <w:lang w:val="en-US"/>
        </w:rPr>
      </w:pPr>
      <w:r w:rsidRPr="007D770B">
        <w:rPr>
          <w:rFonts w:ascii="Times New Roman" w:hAnsi="Times New Roman"/>
          <w:lang w:val="en-US"/>
        </w:rPr>
        <w:t xml:space="preserve">The </w:t>
      </w:r>
      <w:r w:rsidRPr="007D770B">
        <w:rPr>
          <w:rFonts w:ascii="Times New Roman" w:hAnsi="Times New Roman"/>
          <w:b/>
          <w:i/>
          <w:lang w:val="en-US"/>
        </w:rPr>
        <w:t xml:space="preserve">reclassification date </w:t>
      </w:r>
      <w:r w:rsidRPr="007D770B">
        <w:rPr>
          <w:rFonts w:ascii="Times New Roman" w:hAnsi="Times New Roman"/>
          <w:lang w:val="en-US"/>
        </w:rPr>
        <w:t>is the first day of the first reporting period following the change in business model that causes the entity to reclassify financial assets</w:t>
      </w:r>
    </w:p>
    <w:p w14:paraId="34BC8856" w14:textId="77777777" w:rsidR="00331FED" w:rsidRPr="007D770B" w:rsidRDefault="00331FED" w:rsidP="00E61D21">
      <w:pPr>
        <w:pStyle w:val="3"/>
        <w:rPr>
          <w:i/>
          <w:lang w:val="en-US"/>
        </w:rPr>
      </w:pPr>
      <w:bookmarkStart w:id="97" w:name="_Toc168502030"/>
      <w:r w:rsidRPr="007D770B">
        <w:rPr>
          <w:lang w:val="en-US"/>
        </w:rPr>
        <w:t>3.2 Financial instruments - key elements of recognition and measurement</w:t>
      </w:r>
      <w:bookmarkEnd w:id="97"/>
    </w:p>
    <w:p w14:paraId="3FC70A38" w14:textId="77777777" w:rsidR="00331FED" w:rsidRPr="007D770B" w:rsidRDefault="00331FED" w:rsidP="00331FED">
      <w:pPr>
        <w:pStyle w:val="ABC-paragrahinNotes"/>
        <w:rPr>
          <w:rFonts w:ascii="Times New Roman" w:hAnsi="Times New Roman"/>
          <w:sz w:val="20"/>
          <w:lang w:val="en-US"/>
        </w:rPr>
      </w:pPr>
      <w:r w:rsidRPr="007D770B">
        <w:rPr>
          <w:rFonts w:ascii="Times New Roman" w:hAnsi="Times New Roman"/>
          <w:b/>
          <w:i/>
          <w:sz w:val="20"/>
          <w:lang w:val="en-US"/>
        </w:rPr>
        <w:t>Initial recognition of financial instruments</w:t>
      </w:r>
    </w:p>
    <w:p w14:paraId="51DFE6AA" w14:textId="77777777" w:rsidR="00331FED" w:rsidRPr="007D770B" w:rsidRDefault="00331FED" w:rsidP="00331FED">
      <w:pPr>
        <w:pStyle w:val="ABC-paragrahinNotes"/>
        <w:rPr>
          <w:rFonts w:ascii="Times New Roman" w:hAnsi="Times New Roman"/>
          <w:sz w:val="20"/>
          <w:lang w:val="en-US"/>
        </w:rPr>
      </w:pPr>
      <w:r w:rsidRPr="007D770B">
        <w:rPr>
          <w:rFonts w:ascii="Times New Roman" w:hAnsi="Times New Roman"/>
          <w:sz w:val="20"/>
          <w:lang w:val="en-US"/>
        </w:rPr>
        <w:t>The Bank recognizes a financial asset or financial liability on its statement of financial position when, and only when, it becomes a party to the contractual provisions of the instrument. The trade date or settlement date method of accounting is used to recognize or derecognize purchases or sales of financial assets made under standard terms and conditions.</w:t>
      </w:r>
    </w:p>
    <w:p w14:paraId="15A0E186" w14:textId="77777777" w:rsidR="00331FED" w:rsidRPr="007D770B" w:rsidRDefault="00331FED" w:rsidP="00331FED">
      <w:pPr>
        <w:pStyle w:val="ABC-paragrahinNotes"/>
        <w:rPr>
          <w:rFonts w:ascii="Times New Roman" w:hAnsi="Times New Roman"/>
          <w:sz w:val="20"/>
          <w:lang w:val="en-US"/>
        </w:rPr>
      </w:pPr>
      <w:r w:rsidRPr="007D770B">
        <w:rPr>
          <w:rFonts w:ascii="Times New Roman" w:hAnsi="Times New Roman"/>
          <w:sz w:val="20"/>
          <w:lang w:val="en-US"/>
        </w:rPr>
        <w:t>At initial recognition, the Bank measures a financial asset or financial liability at fair value plus or minus, in the case of a financial asset or financial liability not at fair value through profit or loss, transaction costs that are directly attributable to the acquisition or issue of the financial asset or financial liability. Transaction costs for financial assets and liabilities at fair value through profit or loss are expensed in the statement of profit or loss. Upon initial recognition, the Bank is also required to recognize expected credit losses on financial assets measured at amortized cost and at fair value through other comprehensive income.</w:t>
      </w:r>
    </w:p>
    <w:p w14:paraId="57F89C62" w14:textId="62662B4E" w:rsidR="00331FED" w:rsidRPr="007D770B" w:rsidRDefault="00331FED" w:rsidP="00331FED">
      <w:pPr>
        <w:pStyle w:val="21"/>
        <w:widowControl w:val="0"/>
        <w:tabs>
          <w:tab w:val="clear" w:pos="1134"/>
        </w:tabs>
        <w:spacing w:after="240"/>
        <w:ind w:firstLine="0"/>
        <w:rPr>
          <w:b/>
          <w:i/>
          <w:sz w:val="20"/>
          <w:szCs w:val="20"/>
          <w:lang w:val="en-US"/>
        </w:rPr>
      </w:pPr>
      <w:r w:rsidRPr="007D770B">
        <w:rPr>
          <w:b/>
          <w:i/>
          <w:sz w:val="20"/>
          <w:szCs w:val="20"/>
          <w:lang w:val="en-US"/>
        </w:rPr>
        <w:t>Determination of fair value</w:t>
      </w:r>
    </w:p>
    <w:p w14:paraId="7794391C" w14:textId="77777777" w:rsidR="00331FED" w:rsidRPr="007D770B" w:rsidRDefault="00331FED" w:rsidP="00331FED">
      <w:pPr>
        <w:pStyle w:val="21"/>
        <w:widowControl w:val="0"/>
        <w:tabs>
          <w:tab w:val="clear" w:pos="1134"/>
        </w:tabs>
        <w:spacing w:after="240"/>
        <w:ind w:firstLine="0"/>
        <w:rPr>
          <w:sz w:val="20"/>
          <w:szCs w:val="20"/>
          <w:lang w:val="en-US"/>
        </w:rPr>
      </w:pPr>
      <w:r w:rsidRPr="007D770B">
        <w:rPr>
          <w:sz w:val="20"/>
          <w:szCs w:val="20"/>
          <w:lang w:val="en-US"/>
        </w:rPr>
        <w:t xml:space="preserve">The best evidence of the fair value of a financial instrument at initial recognition is normally the transaction price, i.e. the fair value of the consideration given or received. </w:t>
      </w:r>
    </w:p>
    <w:p w14:paraId="0C5FDB64" w14:textId="78243211" w:rsidR="00331FED" w:rsidRPr="007D770B" w:rsidRDefault="00331FED" w:rsidP="00331FED">
      <w:pPr>
        <w:pStyle w:val="21"/>
        <w:widowControl w:val="0"/>
        <w:tabs>
          <w:tab w:val="clear" w:pos="1134"/>
        </w:tabs>
        <w:spacing w:after="240"/>
        <w:ind w:firstLine="0"/>
        <w:rPr>
          <w:sz w:val="20"/>
          <w:szCs w:val="20"/>
          <w:lang w:val="en-US"/>
        </w:rPr>
      </w:pPr>
      <w:r w:rsidRPr="007D770B">
        <w:rPr>
          <w:sz w:val="20"/>
          <w:szCs w:val="20"/>
          <w:lang w:val="en-US"/>
        </w:rPr>
        <w:lastRenderedPageBreak/>
        <w:t xml:space="preserve">If the </w:t>
      </w:r>
      <w:r w:rsidR="0045470A" w:rsidRPr="007D770B">
        <w:rPr>
          <w:sz w:val="20"/>
          <w:szCs w:val="20"/>
          <w:lang w:val="en-US"/>
        </w:rPr>
        <w:t xml:space="preserve">Bank determines </w:t>
      </w:r>
      <w:r w:rsidRPr="007D770B">
        <w:rPr>
          <w:sz w:val="20"/>
          <w:szCs w:val="20"/>
          <w:lang w:val="en-US"/>
        </w:rPr>
        <w:t xml:space="preserve">that the fair value at initial recognition differs from the transaction price, the </w:t>
      </w:r>
      <w:r w:rsidR="004160EC" w:rsidRPr="007D770B">
        <w:rPr>
          <w:sz w:val="20"/>
          <w:szCs w:val="20"/>
          <w:lang w:val="en-US"/>
        </w:rPr>
        <w:t xml:space="preserve">Bank shall </w:t>
      </w:r>
      <w:r w:rsidRPr="007D770B">
        <w:rPr>
          <w:sz w:val="20"/>
          <w:szCs w:val="20"/>
          <w:lang w:val="en-US"/>
        </w:rPr>
        <w:t>account for the instrument at that date as follows:</w:t>
      </w:r>
    </w:p>
    <w:p w14:paraId="54703450" w14:textId="77777777" w:rsidR="00331FED" w:rsidRPr="007D770B" w:rsidRDefault="00331FED" w:rsidP="00AE698A">
      <w:pPr>
        <w:pStyle w:val="21"/>
        <w:widowControl w:val="0"/>
        <w:numPr>
          <w:ilvl w:val="0"/>
          <w:numId w:val="264"/>
        </w:numPr>
        <w:spacing w:after="240"/>
        <w:rPr>
          <w:sz w:val="20"/>
          <w:szCs w:val="20"/>
          <w:lang w:val="en-US"/>
        </w:rPr>
      </w:pPr>
      <w:r w:rsidRPr="007D770B">
        <w:rPr>
          <w:sz w:val="20"/>
          <w:szCs w:val="20"/>
          <w:lang w:val="en-US"/>
        </w:rPr>
        <w:t>in a valuation technique where that fair value is evidenced by a quoted price for an identical asset or liability in an active market (i.e., a Level 1 input) or based on a valuation technique that uses only data from observable markets, the Bank recognizes the difference between the fair value at initial recognition and the transaction price as a gain or loss.</w:t>
      </w:r>
    </w:p>
    <w:p w14:paraId="6F93C89C" w14:textId="77777777" w:rsidR="00331FED" w:rsidRPr="007D770B" w:rsidRDefault="00331FED" w:rsidP="00AE698A">
      <w:pPr>
        <w:pStyle w:val="21"/>
        <w:numPr>
          <w:ilvl w:val="0"/>
          <w:numId w:val="264"/>
        </w:numPr>
        <w:spacing w:after="240"/>
        <w:rPr>
          <w:sz w:val="20"/>
          <w:szCs w:val="20"/>
          <w:lang w:val="en-US"/>
        </w:rPr>
      </w:pPr>
      <w:r w:rsidRPr="007D770B">
        <w:rPr>
          <w:sz w:val="20"/>
          <w:szCs w:val="20"/>
          <w:lang w:val="en-US"/>
        </w:rPr>
        <w:t>in all other cases at a valuation adjusted to defer the difference between the fair value at initial recognition and the transaction price. Subsequent to initial recognition, the Bank is required to recognize this deferred difference as a gain or loss only to the extent that it arises from a change in a factor (including a temporary factor) that market participants would consider in pricing the asset or liability.</w:t>
      </w:r>
    </w:p>
    <w:p w14:paraId="138409ED" w14:textId="77777777" w:rsidR="00331FED" w:rsidRPr="007D770B" w:rsidRDefault="00331FED" w:rsidP="00331FED">
      <w:pPr>
        <w:pStyle w:val="21"/>
        <w:widowControl w:val="0"/>
        <w:tabs>
          <w:tab w:val="clear" w:pos="1134"/>
        </w:tabs>
        <w:spacing w:after="240"/>
        <w:ind w:firstLine="0"/>
        <w:rPr>
          <w:sz w:val="20"/>
          <w:szCs w:val="20"/>
          <w:lang w:val="en-US"/>
        </w:rPr>
      </w:pPr>
      <w:r w:rsidRPr="007D770B">
        <w:rPr>
          <w:sz w:val="20"/>
          <w:lang w:val="en-US"/>
        </w:rPr>
        <w:t>Subsequent measurement of a financial asset or financial liability and subsequent recognition of gains and losses shall be in accordance with the requirements of these accounting policies.</w:t>
      </w:r>
    </w:p>
    <w:p w14:paraId="3A8AC5DC" w14:textId="77777777" w:rsidR="00032C90" w:rsidRPr="007D770B" w:rsidRDefault="00032C90" w:rsidP="00331FED">
      <w:pPr>
        <w:autoSpaceDE w:val="0"/>
        <w:autoSpaceDN w:val="0"/>
        <w:adjustRightInd w:val="0"/>
        <w:spacing w:line="240" w:lineRule="auto"/>
        <w:ind w:left="0"/>
        <w:rPr>
          <w:rFonts w:ascii="Times New Roman" w:hAnsi="Times New Roman"/>
          <w:b/>
          <w:i/>
          <w:lang w:val="en-US"/>
        </w:rPr>
      </w:pPr>
    </w:p>
    <w:p w14:paraId="4B7D8950" w14:textId="77777777" w:rsidR="00331FED" w:rsidRPr="007D770B" w:rsidRDefault="00331FED" w:rsidP="00331FED">
      <w:pPr>
        <w:autoSpaceDE w:val="0"/>
        <w:autoSpaceDN w:val="0"/>
        <w:adjustRightInd w:val="0"/>
        <w:spacing w:line="240" w:lineRule="auto"/>
        <w:ind w:left="0"/>
        <w:rPr>
          <w:rFonts w:ascii="Times New Roman" w:hAnsi="Times New Roman"/>
          <w:b/>
          <w:i/>
          <w:lang w:val="en-US"/>
        </w:rPr>
      </w:pPr>
      <w:r w:rsidRPr="007D770B">
        <w:rPr>
          <w:rFonts w:ascii="Times New Roman" w:hAnsi="Times New Roman"/>
          <w:b/>
          <w:i/>
          <w:lang w:val="en-US"/>
        </w:rPr>
        <w:t>Loan modification</w:t>
      </w:r>
    </w:p>
    <w:p w14:paraId="2A098F17" w14:textId="77777777" w:rsidR="00331FED" w:rsidRPr="007D770B" w:rsidRDefault="00331FED" w:rsidP="00331FED">
      <w:pPr>
        <w:autoSpaceDE w:val="0"/>
        <w:autoSpaceDN w:val="0"/>
        <w:adjustRightInd w:val="0"/>
        <w:spacing w:line="240" w:lineRule="auto"/>
        <w:ind w:left="0"/>
        <w:rPr>
          <w:rFonts w:ascii="Times New Roman" w:hAnsi="Times New Roman"/>
          <w:color w:val="000000"/>
          <w:lang w:val="en-US"/>
        </w:rPr>
      </w:pPr>
      <w:r w:rsidRPr="007D770B">
        <w:rPr>
          <w:rFonts w:ascii="Times New Roman" w:hAnsi="Times New Roman"/>
          <w:color w:val="000000"/>
          <w:lang w:val="en-US"/>
        </w:rPr>
        <w:t>The Bank occasionally renegotiates or otherwise modifies the contractual cash flows on loans to customers. When this occurs, the Bank assesses whether the new terms differ significantly from the original terms. The Bank does this by considering, among other things, the following factors:</w:t>
      </w:r>
    </w:p>
    <w:p w14:paraId="4BC334B4" w14:textId="04982A27" w:rsidR="00331FED" w:rsidRPr="007D770B" w:rsidRDefault="00331FED" w:rsidP="00AE698A">
      <w:pPr>
        <w:pStyle w:val="21"/>
        <w:widowControl w:val="0"/>
        <w:numPr>
          <w:ilvl w:val="0"/>
          <w:numId w:val="264"/>
        </w:numPr>
        <w:spacing w:after="240"/>
        <w:rPr>
          <w:sz w:val="20"/>
          <w:szCs w:val="20"/>
          <w:lang w:val="en-US"/>
        </w:rPr>
      </w:pPr>
      <w:r w:rsidRPr="007D770B">
        <w:rPr>
          <w:sz w:val="20"/>
          <w:szCs w:val="20"/>
          <w:lang w:val="en-US"/>
        </w:rPr>
        <w:t>If the borrower has financial difficulties, does the modification reduce the contractual cash flows to amounts the borrower is expected to be able to repay.</w:t>
      </w:r>
    </w:p>
    <w:p w14:paraId="1AC9C4F2" w14:textId="5C95D356" w:rsidR="00331FED" w:rsidRPr="007D770B" w:rsidRDefault="00331FED" w:rsidP="00AE698A">
      <w:pPr>
        <w:pStyle w:val="21"/>
        <w:widowControl w:val="0"/>
        <w:numPr>
          <w:ilvl w:val="0"/>
          <w:numId w:val="264"/>
        </w:numPr>
        <w:spacing w:after="240"/>
        <w:rPr>
          <w:sz w:val="20"/>
          <w:szCs w:val="20"/>
          <w:lang w:val="en-US"/>
        </w:rPr>
      </w:pPr>
      <w:r w:rsidRPr="007D770B">
        <w:rPr>
          <w:sz w:val="20"/>
          <w:szCs w:val="20"/>
          <w:lang w:val="en-US"/>
        </w:rPr>
        <w:t>Whether there are any significant new covenants, such as profit share/equity returns, that materially affect the risk exposure of the loan.</w:t>
      </w:r>
    </w:p>
    <w:p w14:paraId="49952C70" w14:textId="77777777" w:rsidR="00331FED" w:rsidRPr="007D770B" w:rsidRDefault="00331FED" w:rsidP="00AE698A">
      <w:pPr>
        <w:pStyle w:val="21"/>
        <w:widowControl w:val="0"/>
        <w:numPr>
          <w:ilvl w:val="0"/>
          <w:numId w:val="264"/>
        </w:numPr>
        <w:spacing w:after="240"/>
        <w:rPr>
          <w:sz w:val="20"/>
          <w:szCs w:val="20"/>
          <w:lang w:val="en-US"/>
        </w:rPr>
      </w:pPr>
      <w:r w:rsidRPr="007D770B">
        <w:rPr>
          <w:sz w:val="20"/>
          <w:szCs w:val="20"/>
          <w:lang w:val="en-US"/>
        </w:rPr>
        <w:t>Substantial extension of the loan term when the borrower is not in financial hardship.</w:t>
      </w:r>
    </w:p>
    <w:p w14:paraId="7AD6AB30" w14:textId="77777777" w:rsidR="00331FED" w:rsidRPr="007D770B" w:rsidRDefault="00331FED" w:rsidP="00AE698A">
      <w:pPr>
        <w:pStyle w:val="21"/>
        <w:widowControl w:val="0"/>
        <w:numPr>
          <w:ilvl w:val="0"/>
          <w:numId w:val="264"/>
        </w:numPr>
        <w:spacing w:after="240"/>
        <w:rPr>
          <w:sz w:val="20"/>
          <w:szCs w:val="20"/>
          <w:lang w:val="en-US"/>
        </w:rPr>
      </w:pPr>
      <w:r w:rsidRPr="007D770B">
        <w:rPr>
          <w:sz w:val="20"/>
          <w:szCs w:val="20"/>
          <w:lang w:val="en-US"/>
        </w:rPr>
        <w:t>Significant change in the interest rate.</w:t>
      </w:r>
    </w:p>
    <w:p w14:paraId="71959777" w14:textId="77777777" w:rsidR="00331FED" w:rsidRPr="007D770B" w:rsidRDefault="00331FED" w:rsidP="00AE698A">
      <w:pPr>
        <w:pStyle w:val="21"/>
        <w:widowControl w:val="0"/>
        <w:numPr>
          <w:ilvl w:val="0"/>
          <w:numId w:val="264"/>
        </w:numPr>
        <w:spacing w:after="240"/>
        <w:rPr>
          <w:sz w:val="20"/>
          <w:szCs w:val="20"/>
          <w:lang w:val="en-US"/>
        </w:rPr>
      </w:pPr>
      <w:r w:rsidRPr="007D770B">
        <w:rPr>
          <w:sz w:val="20"/>
          <w:szCs w:val="20"/>
          <w:lang w:val="en-US"/>
        </w:rPr>
        <w:t>Adding a guarantee, other collateral or credit risk mitigants that materially affects the credit risk associated with the loan.</w:t>
      </w:r>
    </w:p>
    <w:p w14:paraId="12E09E61" w14:textId="0EFC0B77" w:rsidR="00331FED" w:rsidRPr="007D770B" w:rsidRDefault="00331FED" w:rsidP="00331FED">
      <w:pPr>
        <w:autoSpaceDE w:val="0"/>
        <w:autoSpaceDN w:val="0"/>
        <w:adjustRightInd w:val="0"/>
        <w:spacing w:line="240" w:lineRule="auto"/>
        <w:ind w:left="0"/>
        <w:rPr>
          <w:rFonts w:ascii="Times New Roman" w:hAnsi="Times New Roman"/>
          <w:color w:val="000000"/>
          <w:lang w:val="en-US"/>
        </w:rPr>
      </w:pPr>
      <w:r w:rsidRPr="007D770B">
        <w:rPr>
          <w:rFonts w:ascii="Times New Roman" w:hAnsi="Times New Roman"/>
          <w:color w:val="000000"/>
          <w:lang w:val="en-US"/>
        </w:rPr>
        <w:t xml:space="preserve">If the conditions are substantially different, the Bank derecognizes the original financial asset and recognizes the </w:t>
      </w:r>
      <w:r w:rsidR="00802136" w:rsidRPr="007D770B">
        <w:rPr>
          <w:rFonts w:ascii="Times New Roman" w:hAnsi="Times New Roman"/>
          <w:color w:val="000000"/>
          <w:lang w:val="en-US"/>
        </w:rPr>
        <w:t>"</w:t>
      </w:r>
      <w:r w:rsidRPr="007D770B">
        <w:rPr>
          <w:rFonts w:ascii="Times New Roman" w:hAnsi="Times New Roman"/>
          <w:color w:val="000000"/>
          <w:lang w:val="en-US"/>
        </w:rPr>
        <w:t>new</w:t>
      </w:r>
      <w:r w:rsidR="00802136" w:rsidRPr="007D770B">
        <w:rPr>
          <w:rFonts w:ascii="Times New Roman" w:hAnsi="Times New Roman"/>
          <w:color w:val="000000"/>
          <w:lang w:val="en-US"/>
        </w:rPr>
        <w:t xml:space="preserve">" </w:t>
      </w:r>
      <w:r w:rsidRPr="007D770B">
        <w:rPr>
          <w:rFonts w:ascii="Times New Roman" w:hAnsi="Times New Roman"/>
          <w:color w:val="000000"/>
          <w:lang w:val="en-US"/>
        </w:rPr>
        <w:t xml:space="preserve">asset at fair value and recalculates the new effective interest rate of the asset. Accordingly, the reassessment date is considered to be the date of initial recognition for the purpose of impairment calculation, including for the purpose of determining whether there has been a </w:t>
      </w:r>
      <w:r w:rsidR="00EF21E2" w:rsidRPr="007D770B">
        <w:rPr>
          <w:rFonts w:ascii="Times New Roman" w:hAnsi="Times New Roman"/>
          <w:color w:val="000000"/>
          <w:lang w:val="en-US"/>
        </w:rPr>
        <w:t xml:space="preserve">significant </w:t>
      </w:r>
      <w:r w:rsidRPr="007D770B">
        <w:rPr>
          <w:rFonts w:ascii="Times New Roman" w:hAnsi="Times New Roman"/>
          <w:color w:val="000000"/>
          <w:lang w:val="en-US"/>
        </w:rPr>
        <w:t>increase in credit risk.  However, the Bank also assesses whether a newly recognized financial asset is considered credit-impaired upon initial recognition, particularly in circumstances where the reassessment is based on the debtor's inability to make the originally agreed payments. Differences in carrying amount are also recognized in profit or loss as gain or loss on derecognition.</w:t>
      </w:r>
    </w:p>
    <w:p w14:paraId="4E28A350" w14:textId="73416551" w:rsidR="00331FED" w:rsidRPr="007D770B" w:rsidRDefault="00331FED" w:rsidP="00331FED">
      <w:pPr>
        <w:autoSpaceDE w:val="0"/>
        <w:autoSpaceDN w:val="0"/>
        <w:adjustRightInd w:val="0"/>
        <w:spacing w:line="240" w:lineRule="auto"/>
        <w:ind w:left="0"/>
        <w:rPr>
          <w:rFonts w:ascii="Times New Roman" w:hAnsi="Times New Roman"/>
          <w:color w:val="000000"/>
          <w:lang w:val="en-US"/>
        </w:rPr>
      </w:pPr>
      <w:r w:rsidRPr="007D770B">
        <w:rPr>
          <w:rFonts w:ascii="Times New Roman" w:hAnsi="Times New Roman"/>
          <w:color w:val="000000"/>
          <w:lang w:val="en-US"/>
        </w:rPr>
        <w:t>If the terms are not materially different, the revision or modification does not lead to derecognition and the Bank recalculates the gross carrying amount based on the revised cash flows of the financial asset and recognizes the gain or loss on the modification in profit or loss. The new gross carrying amount is recalculated by discounting the modified cash flows at the original effective interest rate (or the credit risk adjusted effective interest rate for acquired or originated credit-impaired financial assets).</w:t>
      </w:r>
    </w:p>
    <w:p w14:paraId="080E171F" w14:textId="2ED8C98A" w:rsidR="00331FED" w:rsidRPr="007D770B" w:rsidRDefault="00331FED" w:rsidP="00331FED">
      <w:pPr>
        <w:autoSpaceDE w:val="0"/>
        <w:autoSpaceDN w:val="0"/>
        <w:adjustRightInd w:val="0"/>
        <w:spacing w:line="240" w:lineRule="auto"/>
        <w:ind w:left="0"/>
        <w:rPr>
          <w:rFonts w:ascii="Times New Roman" w:hAnsi="Times New Roman"/>
          <w:b/>
          <w:i/>
          <w:lang w:val="en-US"/>
        </w:rPr>
      </w:pPr>
      <w:r w:rsidRPr="007D770B">
        <w:rPr>
          <w:rFonts w:ascii="Times New Roman" w:hAnsi="Times New Roman"/>
          <w:b/>
          <w:i/>
          <w:lang w:val="en-US"/>
        </w:rPr>
        <w:t>Derecognition</w:t>
      </w:r>
    </w:p>
    <w:p w14:paraId="1F99B8AF" w14:textId="3B7B0456" w:rsidR="00331FED" w:rsidRPr="007D770B" w:rsidRDefault="00331FED" w:rsidP="00331FED">
      <w:pPr>
        <w:autoSpaceDE w:val="0"/>
        <w:autoSpaceDN w:val="0"/>
        <w:adjustRightInd w:val="0"/>
        <w:spacing w:line="240" w:lineRule="auto"/>
        <w:ind w:left="0"/>
        <w:rPr>
          <w:rFonts w:ascii="Times New Roman" w:hAnsi="Times New Roman"/>
          <w:lang w:val="en-US"/>
        </w:rPr>
      </w:pPr>
      <w:r w:rsidRPr="007D770B">
        <w:rPr>
          <w:rFonts w:ascii="Times New Roman" w:hAnsi="Times New Roman"/>
          <w:lang w:val="en-US"/>
        </w:rPr>
        <w:t>The Bank derecognizes financial assets or parts thereof when the contractual rights to receive cash flows from the assets have expired or when they have been transferred and either (a) the Bank has transferred substantially all the risks and rewards of ownership, or (b) the Bank has neither transferred nor retained substantially all the risks and rewards of ownership and the Bank has not retained control.</w:t>
      </w:r>
    </w:p>
    <w:p w14:paraId="674EE2CB" w14:textId="0BF9EAD7" w:rsidR="00331FED" w:rsidRPr="007D770B" w:rsidRDefault="00331FED" w:rsidP="00331FED">
      <w:pPr>
        <w:autoSpaceDE w:val="0"/>
        <w:autoSpaceDN w:val="0"/>
        <w:adjustRightInd w:val="0"/>
        <w:spacing w:line="240" w:lineRule="auto"/>
        <w:ind w:left="0"/>
        <w:rPr>
          <w:rFonts w:ascii="Times New Roman" w:hAnsi="Times New Roman"/>
          <w:lang w:val="en-US"/>
        </w:rPr>
      </w:pPr>
      <w:r w:rsidRPr="007D770B">
        <w:rPr>
          <w:rFonts w:ascii="Times New Roman" w:hAnsi="Times New Roman"/>
          <w:lang w:val="en-US"/>
        </w:rPr>
        <w:t xml:space="preserve">The Bank enters into transactions whereby it retains its contractual rights to receive cash flows from the assets but assumes a contractual obligation to pay those cash flows to other entities and transfers substantially all the risks and rewards. These transactions are accounted for as </w:t>
      </w:r>
      <w:r w:rsidR="00802136" w:rsidRPr="007D770B">
        <w:rPr>
          <w:rFonts w:ascii="Times New Roman" w:hAnsi="Times New Roman"/>
          <w:lang w:val="en-US"/>
        </w:rPr>
        <w:t>"</w:t>
      </w:r>
      <w:r w:rsidRPr="007D770B">
        <w:rPr>
          <w:rFonts w:ascii="Times New Roman" w:hAnsi="Times New Roman"/>
          <w:lang w:val="en-US"/>
        </w:rPr>
        <w:t>pass-through</w:t>
      </w:r>
      <w:r w:rsidR="00802136" w:rsidRPr="007D770B">
        <w:rPr>
          <w:rFonts w:ascii="Times New Roman" w:hAnsi="Times New Roman"/>
          <w:lang w:val="en-US"/>
        </w:rPr>
        <w:t xml:space="preserve">" </w:t>
      </w:r>
      <w:r w:rsidRPr="007D770B">
        <w:rPr>
          <w:rFonts w:ascii="Times New Roman" w:hAnsi="Times New Roman"/>
          <w:lang w:val="en-US"/>
        </w:rPr>
        <w:t>transfers, which would result in derecognition if the Bank:</w:t>
      </w:r>
    </w:p>
    <w:p w14:paraId="585F820D" w14:textId="77777777" w:rsidR="00331FED" w:rsidRPr="007D770B" w:rsidRDefault="00331FED" w:rsidP="00AE698A">
      <w:pPr>
        <w:pStyle w:val="21"/>
        <w:widowControl w:val="0"/>
        <w:numPr>
          <w:ilvl w:val="0"/>
          <w:numId w:val="264"/>
        </w:numPr>
        <w:spacing w:after="240"/>
        <w:rPr>
          <w:sz w:val="20"/>
          <w:szCs w:val="20"/>
          <w:lang w:val="en-US"/>
        </w:rPr>
      </w:pPr>
      <w:r w:rsidRPr="007D770B">
        <w:rPr>
          <w:sz w:val="20"/>
          <w:szCs w:val="20"/>
          <w:lang w:val="en-US"/>
        </w:rPr>
        <w:t>Does not have a payment obligation unless it receives equivalent amounts from assets;</w:t>
      </w:r>
    </w:p>
    <w:p w14:paraId="630D13AC" w14:textId="0A2F3346" w:rsidR="00331FED" w:rsidRPr="007D770B" w:rsidRDefault="00331FED" w:rsidP="00AE698A">
      <w:pPr>
        <w:pStyle w:val="21"/>
        <w:widowControl w:val="0"/>
        <w:numPr>
          <w:ilvl w:val="0"/>
          <w:numId w:val="264"/>
        </w:numPr>
        <w:spacing w:after="240"/>
        <w:rPr>
          <w:sz w:val="20"/>
          <w:szCs w:val="20"/>
          <w:lang w:val="en-US"/>
        </w:rPr>
      </w:pPr>
      <w:r w:rsidRPr="007D770B">
        <w:rPr>
          <w:sz w:val="20"/>
          <w:szCs w:val="20"/>
          <w:lang w:val="en-US"/>
        </w:rPr>
        <w:lastRenderedPageBreak/>
        <w:t xml:space="preserve">Does not have the right to sell or pledge assets; and </w:t>
      </w:r>
    </w:p>
    <w:p w14:paraId="07B89D5B" w14:textId="77777777" w:rsidR="00331FED" w:rsidRPr="007D770B" w:rsidRDefault="00331FED" w:rsidP="00AE698A">
      <w:pPr>
        <w:pStyle w:val="21"/>
        <w:widowControl w:val="0"/>
        <w:numPr>
          <w:ilvl w:val="0"/>
          <w:numId w:val="264"/>
        </w:numPr>
        <w:spacing w:after="240"/>
        <w:rPr>
          <w:sz w:val="20"/>
          <w:szCs w:val="20"/>
          <w:lang w:val="en-US"/>
        </w:rPr>
      </w:pPr>
      <w:r w:rsidRPr="007D770B">
        <w:rPr>
          <w:sz w:val="20"/>
          <w:szCs w:val="20"/>
          <w:lang w:val="en-US"/>
        </w:rPr>
        <w:t>Has an obligation to remit any cash it receives from assets without material delay.</w:t>
      </w:r>
    </w:p>
    <w:p w14:paraId="507966CD" w14:textId="4ADC1526" w:rsidR="00331FED" w:rsidRPr="007D770B" w:rsidRDefault="00331FED" w:rsidP="00331FED">
      <w:pPr>
        <w:autoSpaceDE w:val="0"/>
        <w:autoSpaceDN w:val="0"/>
        <w:adjustRightInd w:val="0"/>
        <w:spacing w:line="240" w:lineRule="auto"/>
        <w:ind w:left="0"/>
        <w:rPr>
          <w:rFonts w:ascii="Times New Roman" w:hAnsi="Times New Roman"/>
          <w:lang w:val="en-US"/>
        </w:rPr>
      </w:pPr>
      <w:r w:rsidRPr="007D770B">
        <w:rPr>
          <w:rFonts w:ascii="Times New Roman" w:hAnsi="Times New Roman"/>
          <w:lang w:val="en-US"/>
        </w:rPr>
        <w:t>Collateral (shares or bonds) provided by the Bank under standard repurchase agreements and securities lending and borrowing transactions does not result in derecognition as the Bank essentially retains all risks and rewards based on a predetermined repurchase price and accordingly the derecognition criteria are not met. This also applies to certain securitization transactions where the Bank retains a subordinated residual interest.</w:t>
      </w:r>
    </w:p>
    <w:p w14:paraId="5C69AFE5" w14:textId="77777777" w:rsidR="00331FED" w:rsidRPr="007D770B" w:rsidRDefault="00331FED" w:rsidP="00331FED">
      <w:pPr>
        <w:autoSpaceDE w:val="0"/>
        <w:autoSpaceDN w:val="0"/>
        <w:adjustRightInd w:val="0"/>
        <w:spacing w:line="240" w:lineRule="auto"/>
        <w:ind w:left="0"/>
        <w:rPr>
          <w:rFonts w:ascii="Times New Roman" w:hAnsi="Times New Roman"/>
          <w:b/>
          <w:i/>
          <w:lang w:val="en-US"/>
        </w:rPr>
      </w:pPr>
      <w:r w:rsidRPr="007D770B">
        <w:rPr>
          <w:rFonts w:ascii="Times New Roman" w:hAnsi="Times New Roman"/>
          <w:b/>
          <w:i/>
          <w:lang w:val="en-US"/>
        </w:rPr>
        <w:t>Impairments</w:t>
      </w:r>
    </w:p>
    <w:p w14:paraId="5D8DD3D5" w14:textId="2684A574" w:rsidR="00331FED" w:rsidRPr="00CC5F05" w:rsidRDefault="00331FED" w:rsidP="00331FED">
      <w:pPr>
        <w:autoSpaceDE w:val="0"/>
        <w:autoSpaceDN w:val="0"/>
        <w:adjustRightInd w:val="0"/>
        <w:spacing w:line="240" w:lineRule="auto"/>
        <w:ind w:left="0"/>
        <w:rPr>
          <w:rFonts w:ascii="Times New Roman" w:hAnsi="Times New Roman"/>
        </w:rPr>
      </w:pPr>
      <w:r w:rsidRPr="007D770B">
        <w:rPr>
          <w:rFonts w:ascii="Times New Roman" w:hAnsi="Times New Roman"/>
          <w:lang w:val="en-US"/>
        </w:rPr>
        <w:t>The Bank estimates on a forward-looking basis expected credit losses (</w:t>
      </w:r>
      <w:r w:rsidR="00802136" w:rsidRPr="007D770B">
        <w:rPr>
          <w:rFonts w:ascii="Times New Roman" w:hAnsi="Times New Roman"/>
          <w:lang w:val="en-US"/>
        </w:rPr>
        <w:t>"</w:t>
      </w:r>
      <w:r w:rsidRPr="007D770B">
        <w:rPr>
          <w:rFonts w:ascii="Times New Roman" w:hAnsi="Times New Roman"/>
          <w:lang w:val="en-US"/>
        </w:rPr>
        <w:t>ECL</w:t>
      </w:r>
      <w:r w:rsidR="00802136" w:rsidRPr="007D770B">
        <w:rPr>
          <w:rFonts w:ascii="Times New Roman" w:hAnsi="Times New Roman"/>
          <w:lang w:val="en-US"/>
        </w:rPr>
        <w:t>"</w:t>
      </w:r>
      <w:r w:rsidRPr="007D770B">
        <w:rPr>
          <w:rFonts w:ascii="Times New Roman" w:hAnsi="Times New Roman"/>
          <w:lang w:val="en-US"/>
        </w:rPr>
        <w:t xml:space="preserve">) related to its assets under debt instruments carried at amortized cost and FVTPL and exposure to credit risk under loan commitments and financial guarantee contracts. The Bank recognizes a provision for such losses at each reporting date. </w:t>
      </w:r>
      <w:r w:rsidRPr="00CC5F05">
        <w:rPr>
          <w:rFonts w:ascii="Times New Roman" w:hAnsi="Times New Roman"/>
        </w:rPr>
        <w:t>The valuation of the CMO reflects the following:</w:t>
      </w:r>
    </w:p>
    <w:p w14:paraId="250484F2" w14:textId="77777777" w:rsidR="00331FED" w:rsidRPr="007D770B" w:rsidRDefault="00331FED" w:rsidP="00AE698A">
      <w:pPr>
        <w:pStyle w:val="21"/>
        <w:widowControl w:val="0"/>
        <w:numPr>
          <w:ilvl w:val="0"/>
          <w:numId w:val="264"/>
        </w:numPr>
        <w:spacing w:after="240"/>
        <w:rPr>
          <w:sz w:val="20"/>
          <w:szCs w:val="20"/>
          <w:lang w:val="en-US"/>
        </w:rPr>
      </w:pPr>
      <w:r w:rsidRPr="007D770B">
        <w:rPr>
          <w:sz w:val="20"/>
          <w:szCs w:val="20"/>
          <w:lang w:val="en-US"/>
        </w:rPr>
        <w:t>A neutral and probability-weighted amount that is determined by evaluating a range of possible outcomes;</w:t>
      </w:r>
    </w:p>
    <w:p w14:paraId="396D0757" w14:textId="77777777" w:rsidR="00331FED" w:rsidRPr="00AF153E" w:rsidRDefault="00331FED" w:rsidP="00AE698A">
      <w:pPr>
        <w:pStyle w:val="21"/>
        <w:widowControl w:val="0"/>
        <w:numPr>
          <w:ilvl w:val="0"/>
          <w:numId w:val="264"/>
        </w:numPr>
        <w:spacing w:after="240"/>
        <w:rPr>
          <w:sz w:val="20"/>
          <w:szCs w:val="20"/>
        </w:rPr>
      </w:pPr>
      <w:r w:rsidRPr="00AF153E">
        <w:rPr>
          <w:sz w:val="20"/>
          <w:szCs w:val="20"/>
        </w:rPr>
        <w:t xml:space="preserve">Time value of money; and </w:t>
      </w:r>
    </w:p>
    <w:p w14:paraId="26BF5CC3" w14:textId="77777777" w:rsidR="00331FED" w:rsidRPr="007D770B" w:rsidRDefault="00331FED" w:rsidP="00AE698A">
      <w:pPr>
        <w:pStyle w:val="21"/>
        <w:widowControl w:val="0"/>
        <w:numPr>
          <w:ilvl w:val="0"/>
          <w:numId w:val="264"/>
        </w:numPr>
        <w:spacing w:after="240"/>
        <w:rPr>
          <w:sz w:val="20"/>
          <w:szCs w:val="20"/>
          <w:lang w:val="en-US"/>
        </w:rPr>
      </w:pPr>
      <w:r w:rsidRPr="007D770B">
        <w:rPr>
          <w:sz w:val="20"/>
          <w:szCs w:val="20"/>
          <w:lang w:val="en-US"/>
        </w:rPr>
        <w:t>Reasonable and acceptable information that is available without undue cost or effort at the balance sheet date about past events, current conditions and projections of future economic conditions.</w:t>
      </w:r>
    </w:p>
    <w:p w14:paraId="16567B9C" w14:textId="445FA78B" w:rsidR="00331FED" w:rsidRPr="007D770B" w:rsidRDefault="00331FED" w:rsidP="00331FED">
      <w:pPr>
        <w:ind w:left="0"/>
        <w:rPr>
          <w:rFonts w:ascii="Times New Roman" w:hAnsi="Times New Roman"/>
          <w:lang w:val="en-US"/>
        </w:rPr>
      </w:pPr>
      <w:r w:rsidRPr="007D770B">
        <w:rPr>
          <w:rFonts w:ascii="Times New Roman" w:hAnsi="Times New Roman"/>
          <w:lang w:val="en-US"/>
        </w:rPr>
        <w:t>Section 3.8 provides more detail on how the allowance for expected credit losses is measured.</w:t>
      </w:r>
    </w:p>
    <w:p w14:paraId="3E110C05" w14:textId="179D2668" w:rsidR="007A6113" w:rsidRPr="007D770B" w:rsidRDefault="007A6113" w:rsidP="007A6113">
      <w:pPr>
        <w:autoSpaceDE w:val="0"/>
        <w:autoSpaceDN w:val="0"/>
        <w:adjustRightInd w:val="0"/>
        <w:spacing w:line="240" w:lineRule="auto"/>
        <w:ind w:left="0"/>
        <w:rPr>
          <w:rFonts w:ascii="Times New Roman" w:hAnsi="Times New Roman"/>
          <w:b/>
          <w:bCs/>
          <w:i/>
          <w:color w:val="000000"/>
          <w:lang w:val="en-US"/>
        </w:rPr>
      </w:pPr>
      <w:r w:rsidRPr="007D770B">
        <w:rPr>
          <w:rFonts w:ascii="Times New Roman" w:hAnsi="Times New Roman"/>
          <w:b/>
          <w:bCs/>
          <w:i/>
          <w:color w:val="000000"/>
          <w:lang w:val="en-US"/>
        </w:rPr>
        <w:t>Loans</w:t>
      </w:r>
      <w:r w:rsidR="003F36F8" w:rsidRPr="007D770B">
        <w:rPr>
          <w:rFonts w:ascii="Times New Roman" w:hAnsi="Times New Roman"/>
          <w:b/>
          <w:bCs/>
          <w:i/>
          <w:color w:val="000000"/>
          <w:lang w:val="en-US"/>
        </w:rPr>
        <w:t xml:space="preserve"> received </w:t>
      </w:r>
      <w:r w:rsidRPr="007D770B">
        <w:rPr>
          <w:rFonts w:ascii="Times New Roman" w:hAnsi="Times New Roman"/>
          <w:b/>
          <w:bCs/>
          <w:i/>
          <w:color w:val="000000"/>
          <w:lang w:val="en-US"/>
        </w:rPr>
        <w:t>with non-market terms and conditions</w:t>
      </w:r>
    </w:p>
    <w:p w14:paraId="61880AB4" w14:textId="77777777" w:rsidR="00706989" w:rsidRPr="007D770B" w:rsidRDefault="00706989" w:rsidP="00706989">
      <w:pPr>
        <w:pStyle w:val="affff3"/>
        <w:spacing w:after="240" w:line="240" w:lineRule="atLeast"/>
        <w:ind w:right="-6"/>
        <w:jc w:val="both"/>
        <w:rPr>
          <w:rFonts w:eastAsia="Calibri"/>
          <w:iCs/>
          <w:sz w:val="20"/>
          <w:szCs w:val="20"/>
          <w:lang w:val="en-US" w:eastAsia="en-US"/>
        </w:rPr>
      </w:pPr>
      <w:bookmarkStart w:id="98" w:name="_Toc248698821"/>
      <w:bookmarkStart w:id="99" w:name="_Toc255041506"/>
      <w:r w:rsidRPr="007D770B">
        <w:rPr>
          <w:rFonts w:eastAsia="Calibri"/>
          <w:iCs/>
          <w:sz w:val="20"/>
          <w:szCs w:val="20"/>
          <w:lang w:val="en-US" w:eastAsia="en-US"/>
        </w:rPr>
        <w:t xml:space="preserve">Loans received from the Holding Company, the Government of the Republic of Kazakhstan, financial/non-financial institutions are accounted for by the Bank on the respective balance sheet accounts by currency, residency attribute and by counterparty on the basis of concluded contracts, at amortized cost. </w:t>
      </w:r>
    </w:p>
    <w:p w14:paraId="3B0F8D22" w14:textId="77777777" w:rsidR="00706989" w:rsidRPr="007D770B" w:rsidRDefault="00706989" w:rsidP="00706989">
      <w:pPr>
        <w:widowControl w:val="0"/>
        <w:tabs>
          <w:tab w:val="left" w:pos="0"/>
        </w:tabs>
        <w:spacing w:line="240" w:lineRule="auto"/>
        <w:ind w:left="0"/>
        <w:rPr>
          <w:rFonts w:ascii="Times New Roman" w:hAnsi="Times New Roman"/>
          <w:iCs/>
          <w:lang w:val="en-US"/>
        </w:rPr>
      </w:pPr>
      <w:r w:rsidRPr="007D770B">
        <w:rPr>
          <w:rFonts w:ascii="Times New Roman" w:hAnsi="Times New Roman"/>
          <w:iCs/>
          <w:lang w:val="en-US"/>
        </w:rPr>
        <w:t xml:space="preserve">The rates, procedure of payment of remunerations, repayment of borrowed funds are made in accordance with the terms and conditions of the concluded agreements. </w:t>
      </w:r>
    </w:p>
    <w:p w14:paraId="5EA620D9" w14:textId="77777777" w:rsidR="00706989" w:rsidRPr="007D770B" w:rsidRDefault="00706989" w:rsidP="00706989">
      <w:pPr>
        <w:tabs>
          <w:tab w:val="left" w:pos="540"/>
        </w:tabs>
        <w:ind w:left="0"/>
        <w:rPr>
          <w:rFonts w:ascii="Times New Roman" w:hAnsi="Times New Roman"/>
          <w:iCs/>
          <w:lang w:val="en-US"/>
        </w:rPr>
      </w:pPr>
      <w:r w:rsidRPr="007D770B">
        <w:rPr>
          <w:rFonts w:ascii="Times New Roman" w:hAnsi="Times New Roman"/>
          <w:iCs/>
          <w:lang w:val="en-US"/>
        </w:rPr>
        <w:t xml:space="preserve">Interest on loans received is accounted for on an accrual basis and is recorded daily in the respective balance sheet accounts. </w:t>
      </w:r>
    </w:p>
    <w:p w14:paraId="26471A52" w14:textId="2740A304" w:rsidR="00706989" w:rsidRPr="007D770B" w:rsidRDefault="00161ED3" w:rsidP="00706989">
      <w:pPr>
        <w:autoSpaceDE w:val="0"/>
        <w:autoSpaceDN w:val="0"/>
        <w:adjustRightInd w:val="0"/>
        <w:spacing w:line="240" w:lineRule="auto"/>
        <w:ind w:left="0"/>
        <w:rPr>
          <w:rFonts w:ascii="Times New Roman" w:hAnsi="Times New Roman"/>
          <w:color w:val="000000"/>
          <w:lang w:val="en-US"/>
        </w:rPr>
      </w:pPr>
      <w:r w:rsidRPr="007D770B">
        <w:rPr>
          <w:rFonts w:ascii="Times New Roman" w:hAnsi="Times New Roman"/>
          <w:color w:val="000000"/>
          <w:lang w:val="en-US"/>
        </w:rPr>
        <w:t xml:space="preserve">Loans </w:t>
      </w:r>
      <w:r w:rsidR="00706989" w:rsidRPr="007D770B">
        <w:rPr>
          <w:rFonts w:ascii="Times New Roman" w:hAnsi="Times New Roman"/>
          <w:color w:val="000000"/>
          <w:lang w:val="en-US"/>
        </w:rPr>
        <w:t xml:space="preserve">with non-market terms are loans obtained under terms and conditions that differ from those of </w:t>
      </w:r>
      <w:r w:rsidRPr="007D770B">
        <w:rPr>
          <w:rFonts w:ascii="Times New Roman" w:hAnsi="Times New Roman"/>
          <w:color w:val="000000"/>
          <w:lang w:val="en-US"/>
        </w:rPr>
        <w:t xml:space="preserve">loans </w:t>
      </w:r>
      <w:r w:rsidR="00706989" w:rsidRPr="007D770B">
        <w:rPr>
          <w:rFonts w:ascii="Times New Roman" w:hAnsi="Times New Roman"/>
          <w:color w:val="000000"/>
          <w:lang w:val="en-US"/>
        </w:rPr>
        <w:t xml:space="preserve">with similar maturity, interest rate, collateral, credit risk and other characteristics. </w:t>
      </w:r>
    </w:p>
    <w:p w14:paraId="10C98E70" w14:textId="4A321046" w:rsidR="00706989" w:rsidRPr="007D770B" w:rsidRDefault="00706989" w:rsidP="00706989">
      <w:pPr>
        <w:autoSpaceDE w:val="0"/>
        <w:autoSpaceDN w:val="0"/>
        <w:adjustRightInd w:val="0"/>
        <w:spacing w:line="240" w:lineRule="auto"/>
        <w:ind w:left="0"/>
        <w:rPr>
          <w:rFonts w:ascii="Times New Roman" w:hAnsi="Times New Roman"/>
          <w:color w:val="000000"/>
          <w:lang w:val="en-US"/>
        </w:rPr>
      </w:pPr>
      <w:r w:rsidRPr="007D770B">
        <w:rPr>
          <w:rFonts w:ascii="Times New Roman" w:hAnsi="Times New Roman"/>
          <w:color w:val="000000"/>
          <w:lang w:val="en-US"/>
        </w:rPr>
        <w:t xml:space="preserve">At initial recognition, the Bank recognizes such loans at fair value plus transaction costs, determined as the present discounted value of all cash flows of the loan using the weighted </w:t>
      </w:r>
      <w:r w:rsidR="00206E47" w:rsidRPr="007D770B">
        <w:rPr>
          <w:rFonts w:ascii="Times New Roman" w:hAnsi="Times New Roman"/>
          <w:color w:val="000000"/>
          <w:lang w:val="en-US"/>
        </w:rPr>
        <w:t xml:space="preserve">average </w:t>
      </w:r>
      <w:r w:rsidRPr="007D770B">
        <w:rPr>
          <w:rFonts w:ascii="Times New Roman" w:hAnsi="Times New Roman"/>
          <w:color w:val="000000"/>
          <w:lang w:val="en-US"/>
        </w:rPr>
        <w:t xml:space="preserve">borrowing rate for similar </w:t>
      </w:r>
      <w:r w:rsidR="00161ED3" w:rsidRPr="007D770B">
        <w:rPr>
          <w:rFonts w:ascii="Times New Roman" w:hAnsi="Times New Roman"/>
          <w:color w:val="000000"/>
          <w:lang w:val="en-US"/>
        </w:rPr>
        <w:t>loans</w:t>
      </w:r>
      <w:r w:rsidRPr="007D770B">
        <w:rPr>
          <w:rFonts w:ascii="Times New Roman" w:hAnsi="Times New Roman"/>
          <w:color w:val="000000"/>
          <w:lang w:val="en-US"/>
        </w:rPr>
        <w:t xml:space="preserve">. </w:t>
      </w:r>
    </w:p>
    <w:p w14:paraId="1F6A1F94" w14:textId="38514E25" w:rsidR="00706989" w:rsidRPr="007D770B" w:rsidRDefault="00706989" w:rsidP="00706989">
      <w:pPr>
        <w:tabs>
          <w:tab w:val="left" w:pos="0"/>
        </w:tabs>
        <w:autoSpaceDE w:val="0"/>
        <w:autoSpaceDN w:val="0"/>
        <w:adjustRightInd w:val="0"/>
        <w:spacing w:line="240" w:lineRule="auto"/>
        <w:ind w:left="0"/>
        <w:rPr>
          <w:rFonts w:ascii="Times New Roman" w:hAnsi="Times New Roman"/>
          <w:color w:val="000000"/>
          <w:lang w:val="en-US"/>
        </w:rPr>
      </w:pPr>
      <w:r w:rsidRPr="007D770B">
        <w:rPr>
          <w:rFonts w:ascii="Times New Roman" w:hAnsi="Times New Roman"/>
          <w:color w:val="000000"/>
          <w:lang w:val="en-US"/>
        </w:rPr>
        <w:t xml:space="preserve">Borrowings are subsequently measured at amortized cost using the weighted </w:t>
      </w:r>
      <w:r w:rsidR="00206E47" w:rsidRPr="007D770B">
        <w:rPr>
          <w:rFonts w:ascii="Times New Roman" w:hAnsi="Times New Roman"/>
          <w:color w:val="000000"/>
          <w:lang w:val="en-US"/>
        </w:rPr>
        <w:t xml:space="preserve">average </w:t>
      </w:r>
      <w:r w:rsidRPr="007D770B">
        <w:rPr>
          <w:rFonts w:ascii="Times New Roman" w:hAnsi="Times New Roman"/>
          <w:color w:val="000000"/>
          <w:lang w:val="en-US"/>
        </w:rPr>
        <w:t>interest rate determined at initial recognition as the effective interest rate for the instrument. Interest income or expense calculated using the effective interest rate method is recognized in profit or loss in the respective reporting period.</w:t>
      </w:r>
    </w:p>
    <w:p w14:paraId="454A2FC8" w14:textId="2C6CB895" w:rsidR="00706989" w:rsidRPr="007D770B" w:rsidRDefault="00706989" w:rsidP="00706989">
      <w:pPr>
        <w:autoSpaceDE w:val="0"/>
        <w:autoSpaceDN w:val="0"/>
        <w:adjustRightInd w:val="0"/>
        <w:spacing w:line="240" w:lineRule="auto"/>
        <w:ind w:left="0"/>
        <w:rPr>
          <w:rFonts w:ascii="Times New Roman" w:hAnsi="Times New Roman"/>
          <w:color w:val="000000"/>
          <w:lang w:val="en-US"/>
        </w:rPr>
      </w:pPr>
      <w:r w:rsidRPr="007D770B">
        <w:rPr>
          <w:rFonts w:ascii="Times New Roman" w:hAnsi="Times New Roman"/>
          <w:color w:val="000000"/>
          <w:lang w:val="en-US"/>
        </w:rPr>
        <w:t xml:space="preserve">If the contractual terms of the </w:t>
      </w:r>
      <w:r w:rsidR="00161ED3" w:rsidRPr="007D770B">
        <w:rPr>
          <w:rFonts w:ascii="Times New Roman" w:hAnsi="Times New Roman"/>
          <w:color w:val="000000"/>
          <w:lang w:val="en-US"/>
        </w:rPr>
        <w:t xml:space="preserve">loan </w:t>
      </w:r>
      <w:r w:rsidRPr="007D770B">
        <w:rPr>
          <w:rFonts w:ascii="Times New Roman" w:hAnsi="Times New Roman"/>
          <w:color w:val="000000"/>
          <w:lang w:val="en-US"/>
        </w:rPr>
        <w:t xml:space="preserve">are modified, the Bank revises the fair value and subsequent measurement of the </w:t>
      </w:r>
      <w:r w:rsidR="00161ED3" w:rsidRPr="007D770B">
        <w:rPr>
          <w:rFonts w:ascii="Times New Roman" w:hAnsi="Times New Roman"/>
          <w:color w:val="000000"/>
          <w:lang w:val="en-US"/>
        </w:rPr>
        <w:t>loan</w:t>
      </w:r>
      <w:r w:rsidRPr="007D770B">
        <w:rPr>
          <w:rFonts w:ascii="Times New Roman" w:hAnsi="Times New Roman"/>
          <w:color w:val="000000"/>
          <w:lang w:val="en-US"/>
        </w:rPr>
        <w:t>.</w:t>
      </w:r>
    </w:p>
    <w:p w14:paraId="4A17DC47" w14:textId="77777777" w:rsidR="00706989" w:rsidRPr="007D770B" w:rsidRDefault="00706989" w:rsidP="00706989">
      <w:pPr>
        <w:autoSpaceDE w:val="0"/>
        <w:autoSpaceDN w:val="0"/>
        <w:adjustRightInd w:val="0"/>
        <w:spacing w:line="240" w:lineRule="auto"/>
        <w:ind w:left="0"/>
        <w:rPr>
          <w:rFonts w:ascii="Times New Roman" w:hAnsi="Times New Roman"/>
          <w:color w:val="000000"/>
          <w:lang w:val="en-US"/>
        </w:rPr>
      </w:pPr>
      <w:r w:rsidRPr="007D770B">
        <w:rPr>
          <w:rFonts w:ascii="Times New Roman" w:hAnsi="Times New Roman"/>
          <w:color w:val="000000"/>
          <w:lang w:val="en-US"/>
        </w:rPr>
        <w:t>The most common example is loans obtained for the implementation of state and local executive programs.</w:t>
      </w:r>
    </w:p>
    <w:p w14:paraId="3B074E08" w14:textId="74A8C7B1" w:rsidR="00894C0F" w:rsidRPr="007D770B" w:rsidRDefault="00706989" w:rsidP="00706989">
      <w:pPr>
        <w:autoSpaceDE w:val="0"/>
        <w:autoSpaceDN w:val="0"/>
        <w:adjustRightInd w:val="0"/>
        <w:spacing w:line="240" w:lineRule="auto"/>
        <w:ind w:left="0"/>
        <w:rPr>
          <w:rFonts w:ascii="Times New Roman" w:hAnsi="Times New Roman"/>
          <w:color w:val="000000"/>
          <w:lang w:val="en-US"/>
        </w:rPr>
      </w:pPr>
      <w:r w:rsidRPr="007D770B">
        <w:rPr>
          <w:rFonts w:ascii="Times New Roman" w:hAnsi="Times New Roman"/>
          <w:color w:val="000000"/>
          <w:lang w:val="en-US"/>
        </w:rPr>
        <w:t xml:space="preserve">The difference between the nominal value of the loan received and the determined fair value is recognized in equity on initial recognition, as the Bank is a quasi-governmental entity, </w:t>
      </w:r>
      <w:r w:rsidR="00894C0F" w:rsidRPr="007D770B">
        <w:rPr>
          <w:rFonts w:ascii="Times New Roman" w:hAnsi="Times New Roman"/>
          <w:color w:val="000000"/>
          <w:lang w:val="en-US"/>
        </w:rPr>
        <w:t>attracts depositors' funds for housing construction savings, ensures safety and return of deposits, provides housing, intermediate housing and preliminary housing loans for housing improvement activities in the Republic of Kazakhstan</w:t>
      </w:r>
    </w:p>
    <w:p w14:paraId="0EDACCDA" w14:textId="2EA2E4EE" w:rsidR="00D1763D" w:rsidRPr="007D770B" w:rsidRDefault="006C6DFA" w:rsidP="00D1763D">
      <w:pPr>
        <w:autoSpaceDE w:val="0"/>
        <w:autoSpaceDN w:val="0"/>
        <w:adjustRightInd w:val="0"/>
        <w:spacing w:line="240" w:lineRule="auto"/>
        <w:ind w:left="0"/>
        <w:rPr>
          <w:rFonts w:ascii="Times New Roman" w:hAnsi="Times New Roman"/>
          <w:lang w:val="en-US"/>
        </w:rPr>
      </w:pPr>
      <w:r w:rsidRPr="007D770B">
        <w:rPr>
          <w:rFonts w:ascii="Times New Roman" w:hAnsi="Times New Roman"/>
          <w:lang w:val="en-US"/>
        </w:rPr>
        <w:t>Borrowed funds for granting loans to customers belonging to low-income families are initially recognized at fair value, the difference arising on initial recognition of the loan at above or below market rates is accounted for as Government subsidy and recorded in the deferred income account</w:t>
      </w:r>
    </w:p>
    <w:p w14:paraId="5FF2A009" w14:textId="2F512038" w:rsidR="00706989" w:rsidRPr="007D770B" w:rsidRDefault="00706989" w:rsidP="00706989">
      <w:pPr>
        <w:autoSpaceDE w:val="0"/>
        <w:autoSpaceDN w:val="0"/>
        <w:adjustRightInd w:val="0"/>
        <w:spacing w:line="240" w:lineRule="auto"/>
        <w:ind w:left="0"/>
        <w:rPr>
          <w:rFonts w:ascii="Times New Roman" w:hAnsi="Times New Roman"/>
          <w:color w:val="000000"/>
          <w:lang w:val="en-US"/>
        </w:rPr>
      </w:pPr>
      <w:r w:rsidRPr="007D770B">
        <w:rPr>
          <w:rFonts w:ascii="Times New Roman" w:hAnsi="Times New Roman"/>
          <w:color w:val="000000"/>
          <w:lang w:val="en-US"/>
        </w:rPr>
        <w:t>The Bank may also raise funds from other legal entities</w:t>
      </w:r>
      <w:r w:rsidR="008F741D" w:rsidRPr="007D770B">
        <w:rPr>
          <w:rFonts w:ascii="Times New Roman" w:hAnsi="Times New Roman"/>
          <w:color w:val="000000"/>
          <w:lang w:val="en-US"/>
        </w:rPr>
        <w:t xml:space="preserve">, financial market participants in the form of a person providing financial services </w:t>
      </w:r>
      <w:r w:rsidRPr="007D770B">
        <w:rPr>
          <w:rFonts w:ascii="Times New Roman" w:hAnsi="Times New Roman"/>
          <w:color w:val="000000"/>
          <w:lang w:val="en-US"/>
        </w:rPr>
        <w:t>on non-market terms</w:t>
      </w:r>
      <w:r w:rsidR="00F40A26" w:rsidRPr="007D770B">
        <w:rPr>
          <w:rFonts w:ascii="Times New Roman" w:hAnsi="Times New Roman"/>
          <w:color w:val="000000"/>
          <w:lang w:val="en-US"/>
        </w:rPr>
        <w:t xml:space="preserve">, </w:t>
      </w:r>
      <w:r w:rsidRPr="007D770B">
        <w:rPr>
          <w:rFonts w:ascii="Times New Roman" w:hAnsi="Times New Roman"/>
          <w:color w:val="000000"/>
          <w:lang w:val="en-US"/>
        </w:rPr>
        <w:t>whereby any difference arising on initial recognition of a loan at rates above or below market is recognized as income or expense.</w:t>
      </w:r>
    </w:p>
    <w:p w14:paraId="79F26623" w14:textId="4DEB7D3F" w:rsidR="00706989" w:rsidRPr="007D770B" w:rsidRDefault="00706989" w:rsidP="00706989">
      <w:pPr>
        <w:autoSpaceDE w:val="0"/>
        <w:autoSpaceDN w:val="0"/>
        <w:adjustRightInd w:val="0"/>
        <w:spacing w:line="240" w:lineRule="auto"/>
        <w:ind w:left="0"/>
        <w:rPr>
          <w:rFonts w:ascii="Times New Roman" w:hAnsi="Times New Roman"/>
          <w:color w:val="000000"/>
          <w:lang w:val="en-US"/>
        </w:rPr>
      </w:pPr>
      <w:r w:rsidRPr="007D770B">
        <w:rPr>
          <w:rFonts w:ascii="Times New Roman" w:hAnsi="Times New Roman"/>
          <w:color w:val="000000"/>
          <w:lang w:val="en-US"/>
        </w:rPr>
        <w:lastRenderedPageBreak/>
        <w:t>Interim and provisional loans to customers of the Bank with non-market terms are initially recognized at fair value and any difference arising on initial recognition of a loan at rates above or below market is recognized in profit or loss.</w:t>
      </w:r>
    </w:p>
    <w:p w14:paraId="1830C194" w14:textId="0980DAA8" w:rsidR="007D7E9C" w:rsidRPr="007D770B" w:rsidRDefault="00706989" w:rsidP="007D7E9C">
      <w:pPr>
        <w:widowControl w:val="0"/>
        <w:tabs>
          <w:tab w:val="left" w:pos="0"/>
        </w:tabs>
        <w:spacing w:line="240" w:lineRule="auto"/>
        <w:ind w:left="0"/>
        <w:rPr>
          <w:rFonts w:ascii="Times New Roman" w:eastAsia="Times New Roman" w:hAnsi="Times New Roman"/>
          <w:i/>
          <w:snapToGrid w:val="0"/>
          <w:color w:val="3366FF"/>
          <w:szCs w:val="22"/>
          <w:lang w:val="en-US" w:eastAsia="ru-RU"/>
        </w:rPr>
      </w:pPr>
      <w:r w:rsidRPr="007D770B">
        <w:rPr>
          <w:rFonts w:ascii="Times New Roman" w:hAnsi="Times New Roman"/>
          <w:lang w:val="en-US"/>
        </w:rPr>
        <w:t>Recognition in the current period of a part of the difference between the initial cost and the repayment price is recorded for loans received as an increase in the carrying amount of the loan (loan) in correspondence with financial expense accounts, except when such costs are capitalized as part of the cost of a qualifying asset in accordance with Section 1 "Property, Plant and Equipment" of Chapter 2</w:t>
      </w:r>
      <w:r w:rsidR="00727710" w:rsidRPr="007D770B">
        <w:rPr>
          <w:rFonts w:ascii="Times New Roman" w:hAnsi="Times New Roman"/>
          <w:lang w:val="en-US"/>
        </w:rPr>
        <w:t>.</w:t>
      </w:r>
      <w:r w:rsidR="007D7E9C" w:rsidRPr="007D770B">
        <w:rPr>
          <w:rFonts w:ascii="Times New Roman" w:hAnsi="Times New Roman"/>
          <w:lang w:val="en-US"/>
        </w:rPr>
        <w:t xml:space="preserve">  </w:t>
      </w:r>
      <w:r w:rsidR="007D7E9C" w:rsidRPr="007D770B">
        <w:rPr>
          <w:rFonts w:ascii="Times New Roman" w:eastAsia="Times New Roman" w:hAnsi="Times New Roman"/>
          <w:i/>
          <w:snapToGrid w:val="0"/>
          <w:color w:val="3366FF"/>
          <w:szCs w:val="22"/>
          <w:lang w:val="en-US" w:eastAsia="ru-RU"/>
        </w:rPr>
        <w:t xml:space="preserve">(Subparagraph "Loans received with non-market terms" of item 3.2. was introduced by the decision of the Board of Directors dated </w:t>
      </w:r>
      <w:r w:rsidR="00956D7A" w:rsidRPr="007D770B">
        <w:rPr>
          <w:rFonts w:ascii="Times New Roman" w:eastAsia="Times New Roman" w:hAnsi="Times New Roman"/>
          <w:i/>
          <w:snapToGrid w:val="0"/>
          <w:color w:val="3366FF"/>
          <w:szCs w:val="22"/>
          <w:lang w:val="en-US" w:eastAsia="ru-RU"/>
        </w:rPr>
        <w:t>31</w:t>
      </w:r>
      <w:r w:rsidR="007D7E9C" w:rsidRPr="007D770B">
        <w:rPr>
          <w:rFonts w:ascii="Times New Roman" w:eastAsia="Times New Roman" w:hAnsi="Times New Roman"/>
          <w:i/>
          <w:snapToGrid w:val="0"/>
          <w:color w:val="3366FF"/>
          <w:szCs w:val="22"/>
          <w:lang w:val="en-US" w:eastAsia="ru-RU"/>
        </w:rPr>
        <w:t>.</w:t>
      </w:r>
      <w:r w:rsidR="00956D7A" w:rsidRPr="007D770B">
        <w:rPr>
          <w:rFonts w:ascii="Times New Roman" w:eastAsia="Times New Roman" w:hAnsi="Times New Roman"/>
          <w:i/>
          <w:snapToGrid w:val="0"/>
          <w:color w:val="3366FF"/>
          <w:szCs w:val="22"/>
          <w:lang w:val="en-US" w:eastAsia="ru-RU"/>
        </w:rPr>
        <w:t>10</w:t>
      </w:r>
      <w:r w:rsidR="007D7E9C" w:rsidRPr="007D770B">
        <w:rPr>
          <w:rFonts w:ascii="Times New Roman" w:eastAsia="Times New Roman" w:hAnsi="Times New Roman"/>
          <w:i/>
          <w:snapToGrid w:val="0"/>
          <w:color w:val="3366FF"/>
          <w:szCs w:val="22"/>
          <w:lang w:val="en-US" w:eastAsia="ru-RU"/>
        </w:rPr>
        <w:t xml:space="preserve">.2019 (Minutes No. </w:t>
      </w:r>
      <w:r w:rsidR="00956D7A" w:rsidRPr="007D770B">
        <w:rPr>
          <w:rFonts w:ascii="Times New Roman" w:eastAsia="Times New Roman" w:hAnsi="Times New Roman"/>
          <w:i/>
          <w:snapToGrid w:val="0"/>
          <w:color w:val="3366FF"/>
          <w:szCs w:val="22"/>
          <w:lang w:val="en-US" w:eastAsia="ru-RU"/>
        </w:rPr>
        <w:t>13</w:t>
      </w:r>
      <w:r w:rsidR="007D7E9C" w:rsidRPr="007D770B">
        <w:rPr>
          <w:rFonts w:ascii="Times New Roman" w:eastAsia="Times New Roman" w:hAnsi="Times New Roman"/>
          <w:i/>
          <w:snapToGrid w:val="0"/>
          <w:color w:val="3366FF"/>
          <w:szCs w:val="22"/>
          <w:lang w:val="en-US" w:eastAsia="ru-RU"/>
        </w:rPr>
        <w:t>)</w:t>
      </w:r>
      <w:r w:rsidR="00723147" w:rsidRPr="007D770B">
        <w:rPr>
          <w:rFonts w:ascii="Times New Roman" w:eastAsia="Times New Roman" w:hAnsi="Times New Roman"/>
          <w:i/>
          <w:snapToGrid w:val="0"/>
          <w:color w:val="3366FF"/>
          <w:szCs w:val="22"/>
          <w:lang w:val="en-US" w:eastAsia="ru-RU"/>
        </w:rPr>
        <w:t>, amended by the decision of the Board of Directors dated 03.12.2020 (Minutes No. 13</w:t>
      </w:r>
      <w:r w:rsidR="007D7E9C" w:rsidRPr="007D770B">
        <w:rPr>
          <w:rFonts w:ascii="Times New Roman" w:eastAsia="Times New Roman" w:hAnsi="Times New Roman"/>
          <w:i/>
          <w:snapToGrid w:val="0"/>
          <w:color w:val="3366FF"/>
          <w:szCs w:val="22"/>
          <w:lang w:val="en-US" w:eastAsia="ru-RU"/>
        </w:rPr>
        <w:t>)</w:t>
      </w:r>
      <w:r w:rsidR="00723147" w:rsidRPr="007D770B">
        <w:rPr>
          <w:rFonts w:ascii="Times New Roman" w:eastAsia="Times New Roman" w:hAnsi="Times New Roman"/>
          <w:i/>
          <w:snapToGrid w:val="0"/>
          <w:color w:val="3366FF"/>
          <w:szCs w:val="22"/>
          <w:lang w:val="en-US" w:eastAsia="ru-RU"/>
        </w:rPr>
        <w:t>)</w:t>
      </w:r>
    </w:p>
    <w:p w14:paraId="0ED0D030" w14:textId="6FD3A388" w:rsidR="00331FED" w:rsidRPr="007D770B" w:rsidRDefault="00331FED" w:rsidP="00E61D21">
      <w:pPr>
        <w:pStyle w:val="3"/>
        <w:rPr>
          <w:lang w:val="en-US"/>
        </w:rPr>
      </w:pPr>
      <w:bookmarkStart w:id="100" w:name="_Toc168502031"/>
      <w:r w:rsidRPr="007D770B">
        <w:rPr>
          <w:lang w:val="en-US"/>
        </w:rPr>
        <w:t xml:space="preserve">3.3 Main categories of financial </w:t>
      </w:r>
      <w:r w:rsidR="00943206" w:rsidRPr="007D770B">
        <w:rPr>
          <w:lang w:val="en-US"/>
        </w:rPr>
        <w:t xml:space="preserve">instruments </w:t>
      </w:r>
      <w:bookmarkEnd w:id="100"/>
    </w:p>
    <w:bookmarkEnd w:id="98"/>
    <w:bookmarkEnd w:id="99"/>
    <w:p w14:paraId="7BCF83F8" w14:textId="5A1D7B90" w:rsidR="00331FED" w:rsidRPr="007D770B" w:rsidRDefault="00331FED" w:rsidP="00331FED">
      <w:pPr>
        <w:pStyle w:val="1"/>
        <w:numPr>
          <w:ilvl w:val="0"/>
          <w:numId w:val="0"/>
        </w:numPr>
        <w:spacing w:after="240"/>
        <w:rPr>
          <w:sz w:val="20"/>
          <w:szCs w:val="20"/>
          <w:lang w:val="en-US"/>
        </w:rPr>
      </w:pPr>
      <w:r w:rsidRPr="007D770B">
        <w:rPr>
          <w:sz w:val="20"/>
          <w:szCs w:val="20"/>
          <w:lang w:val="en-US"/>
        </w:rPr>
        <w:t xml:space="preserve"> The </w:t>
      </w:r>
      <w:r w:rsidR="0045470A" w:rsidRPr="007D770B">
        <w:rPr>
          <w:sz w:val="20"/>
          <w:szCs w:val="20"/>
          <w:lang w:val="en-US"/>
        </w:rPr>
        <w:t xml:space="preserve">Bank has adopted the </w:t>
      </w:r>
      <w:r w:rsidRPr="007D770B">
        <w:rPr>
          <w:sz w:val="20"/>
          <w:szCs w:val="20"/>
          <w:lang w:val="en-US"/>
        </w:rPr>
        <w:t>following classification of financial assets and liabilities</w:t>
      </w:r>
    </w:p>
    <w:tbl>
      <w:tblPr>
        <w:tblStyle w:val="-321"/>
        <w:tblW w:w="0" w:type="auto"/>
        <w:tblLook w:val="04A0" w:firstRow="1" w:lastRow="0" w:firstColumn="1" w:lastColumn="0" w:noHBand="0" w:noVBand="1"/>
      </w:tblPr>
      <w:tblGrid>
        <w:gridCol w:w="1908"/>
        <w:gridCol w:w="4680"/>
        <w:gridCol w:w="3024"/>
      </w:tblGrid>
      <w:tr w:rsidR="00331FED" w:rsidRPr="0005146F" w14:paraId="518C6ACC" w14:textId="77777777" w:rsidTr="00FB3567">
        <w:trPr>
          <w:cnfStyle w:val="100000000000" w:firstRow="1" w:lastRow="0" w:firstColumn="0" w:lastColumn="0" w:oddVBand="0" w:evenVBand="0" w:oddHBand="0" w:evenHBand="0" w:firstRowFirstColumn="0" w:firstRowLastColumn="0" w:lastRowFirstColumn="0" w:lastRowLastColumn="0"/>
          <w:trHeight w:val="692"/>
          <w:tblHeader/>
        </w:trPr>
        <w:tc>
          <w:tcPr>
            <w:cnfStyle w:val="001000000100" w:firstRow="0" w:lastRow="0" w:firstColumn="1" w:lastColumn="0" w:oddVBand="0" w:evenVBand="0" w:oddHBand="0" w:evenHBand="0" w:firstRowFirstColumn="1" w:firstRowLastColumn="0" w:lastRowFirstColumn="0" w:lastRowLastColumn="0"/>
            <w:tcW w:w="1908" w:type="dxa"/>
            <w:vAlign w:val="center"/>
          </w:tcPr>
          <w:p w14:paraId="6306CCAF" w14:textId="77777777" w:rsidR="00331FED" w:rsidRPr="00FB3567" w:rsidRDefault="00331FED" w:rsidP="008D54EC">
            <w:pPr>
              <w:pStyle w:val="aa"/>
              <w:spacing w:before="120" w:after="120" w:line="259" w:lineRule="auto"/>
              <w:ind w:left="0"/>
              <w:contextualSpacing w:val="0"/>
              <w:jc w:val="center"/>
              <w:rPr>
                <w:rFonts w:ascii="Times New Roman" w:hAnsi="Times New Roman"/>
                <w:sz w:val="20"/>
                <w:szCs w:val="20"/>
              </w:rPr>
            </w:pPr>
            <w:bookmarkStart w:id="101" w:name="_Toc485278343"/>
            <w:bookmarkStart w:id="102" w:name="_Toc486888384"/>
            <w:r w:rsidRPr="00FB3567">
              <w:rPr>
                <w:rFonts w:ascii="Times New Roman" w:hAnsi="Times New Roman"/>
                <w:sz w:val="20"/>
                <w:szCs w:val="20"/>
              </w:rPr>
              <w:t>Classification</w:t>
            </w:r>
          </w:p>
        </w:tc>
        <w:tc>
          <w:tcPr>
            <w:tcW w:w="4680" w:type="dxa"/>
            <w:vAlign w:val="center"/>
          </w:tcPr>
          <w:p w14:paraId="16E73EB4" w14:textId="77777777" w:rsidR="00331FED" w:rsidRPr="00FB3567" w:rsidRDefault="00331FED" w:rsidP="008D54EC">
            <w:pPr>
              <w:pStyle w:val="aa"/>
              <w:spacing w:before="120" w:after="120" w:line="259" w:lineRule="auto"/>
              <w:ind w:left="0"/>
              <w:contextualSpacing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FB3567">
              <w:rPr>
                <w:rFonts w:ascii="Times New Roman" w:hAnsi="Times New Roman"/>
                <w:sz w:val="20"/>
                <w:szCs w:val="20"/>
              </w:rPr>
              <w:t>Financial assets</w:t>
            </w:r>
          </w:p>
        </w:tc>
        <w:tc>
          <w:tcPr>
            <w:tcW w:w="3024" w:type="dxa"/>
            <w:vAlign w:val="center"/>
          </w:tcPr>
          <w:p w14:paraId="405D2CCC" w14:textId="77777777" w:rsidR="00331FED" w:rsidRPr="00FB3567" w:rsidRDefault="00331FED" w:rsidP="008D54EC">
            <w:pPr>
              <w:pStyle w:val="aa"/>
              <w:spacing w:before="120" w:after="120" w:line="259" w:lineRule="auto"/>
              <w:ind w:left="0"/>
              <w:contextualSpacing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FB3567">
              <w:rPr>
                <w:rFonts w:ascii="Times New Roman" w:hAnsi="Times New Roman"/>
                <w:sz w:val="20"/>
                <w:szCs w:val="20"/>
              </w:rPr>
              <w:t>Financial liabilities</w:t>
            </w:r>
          </w:p>
        </w:tc>
      </w:tr>
      <w:tr w:rsidR="00331FED" w:rsidRPr="00E60FFF" w14:paraId="675C5C6A" w14:textId="77777777" w:rsidTr="00FB35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14:paraId="12E9E20A" w14:textId="77777777" w:rsidR="00331FED" w:rsidRPr="00FB3567" w:rsidRDefault="00331FED" w:rsidP="008D54EC">
            <w:pPr>
              <w:pStyle w:val="aa"/>
              <w:spacing w:before="120" w:after="120" w:line="259" w:lineRule="auto"/>
              <w:ind w:left="0"/>
              <w:contextualSpacing w:val="0"/>
              <w:rPr>
                <w:rFonts w:ascii="Times New Roman" w:hAnsi="Times New Roman"/>
                <w:sz w:val="20"/>
                <w:szCs w:val="20"/>
              </w:rPr>
            </w:pPr>
            <w:r w:rsidRPr="00FB3567">
              <w:rPr>
                <w:rFonts w:ascii="Times New Roman" w:hAnsi="Times New Roman"/>
                <w:sz w:val="20"/>
                <w:szCs w:val="20"/>
              </w:rPr>
              <w:t>categorized</w:t>
            </w:r>
          </w:p>
        </w:tc>
        <w:tc>
          <w:tcPr>
            <w:tcW w:w="4680" w:type="dxa"/>
          </w:tcPr>
          <w:p w14:paraId="31914983" w14:textId="77777777" w:rsidR="00331FED" w:rsidRPr="007D770B" w:rsidRDefault="00331FED" w:rsidP="008D54EC">
            <w:pPr>
              <w:spacing w:before="120" w:after="120" w:line="259"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7D770B">
              <w:rPr>
                <w:rFonts w:ascii="Times New Roman" w:hAnsi="Times New Roman"/>
                <w:sz w:val="20"/>
                <w:szCs w:val="20"/>
              </w:rPr>
              <w:t xml:space="preserve">at amortized cost; </w:t>
            </w:r>
          </w:p>
          <w:p w14:paraId="2DBE030E" w14:textId="77777777" w:rsidR="00331FED" w:rsidRPr="007D770B" w:rsidRDefault="00331FED" w:rsidP="008D54EC">
            <w:pPr>
              <w:spacing w:before="120" w:after="120" w:line="259"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7D770B">
              <w:rPr>
                <w:rFonts w:ascii="Times New Roman" w:hAnsi="Times New Roman"/>
                <w:sz w:val="20"/>
                <w:szCs w:val="20"/>
              </w:rPr>
              <w:t xml:space="preserve">at fair value through other comprehensive income; </w:t>
            </w:r>
          </w:p>
          <w:p w14:paraId="6D87E91B" w14:textId="77777777" w:rsidR="00331FED" w:rsidRPr="007D770B" w:rsidRDefault="00331FED" w:rsidP="008D54EC">
            <w:pPr>
              <w:pStyle w:val="aa"/>
              <w:spacing w:before="120" w:after="120" w:line="259" w:lineRule="auto"/>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7D770B">
              <w:rPr>
                <w:rFonts w:ascii="Times New Roman" w:hAnsi="Times New Roman"/>
                <w:sz w:val="20"/>
                <w:szCs w:val="20"/>
              </w:rPr>
              <w:t>at fair value through the income statement;</w:t>
            </w:r>
          </w:p>
        </w:tc>
        <w:tc>
          <w:tcPr>
            <w:tcW w:w="3024" w:type="dxa"/>
          </w:tcPr>
          <w:p w14:paraId="1206936B" w14:textId="77777777" w:rsidR="00331FED" w:rsidRPr="007D770B" w:rsidRDefault="00331FED" w:rsidP="008D54EC">
            <w:pPr>
              <w:spacing w:before="120" w:after="120" w:line="259"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7D770B">
              <w:rPr>
                <w:rFonts w:ascii="Times New Roman" w:hAnsi="Times New Roman"/>
                <w:sz w:val="20"/>
                <w:szCs w:val="20"/>
              </w:rPr>
              <w:t xml:space="preserve">at amortized cost; </w:t>
            </w:r>
          </w:p>
          <w:p w14:paraId="215224D9" w14:textId="77777777" w:rsidR="00331FED" w:rsidRPr="007D770B" w:rsidRDefault="00331FED" w:rsidP="008D54EC">
            <w:pPr>
              <w:pStyle w:val="aa"/>
              <w:spacing w:before="120" w:after="120" w:line="259" w:lineRule="auto"/>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7D770B">
              <w:rPr>
                <w:rFonts w:ascii="Times New Roman" w:hAnsi="Times New Roman"/>
                <w:sz w:val="20"/>
                <w:szCs w:val="20"/>
              </w:rPr>
              <w:t>at fair value through the income statement;</w:t>
            </w:r>
          </w:p>
        </w:tc>
      </w:tr>
      <w:tr w:rsidR="00331FED" w:rsidRPr="00E60FFF" w14:paraId="64201A16" w14:textId="77777777" w:rsidTr="00FB3567">
        <w:tc>
          <w:tcPr>
            <w:cnfStyle w:val="001000000000" w:firstRow="0" w:lastRow="0" w:firstColumn="1" w:lastColumn="0" w:oddVBand="0" w:evenVBand="0" w:oddHBand="0" w:evenHBand="0" w:firstRowFirstColumn="0" w:firstRowLastColumn="0" w:lastRowFirstColumn="0" w:lastRowLastColumn="0"/>
            <w:tcW w:w="1908" w:type="dxa"/>
          </w:tcPr>
          <w:p w14:paraId="5D524891" w14:textId="77777777" w:rsidR="00331FED" w:rsidRPr="00FB3567" w:rsidRDefault="00331FED" w:rsidP="008D54EC">
            <w:pPr>
              <w:pStyle w:val="aa"/>
              <w:spacing w:before="120" w:after="120" w:line="259" w:lineRule="auto"/>
              <w:ind w:left="0"/>
              <w:contextualSpacing w:val="0"/>
              <w:rPr>
                <w:rFonts w:ascii="Times New Roman" w:hAnsi="Times New Roman"/>
                <w:sz w:val="20"/>
                <w:szCs w:val="20"/>
              </w:rPr>
            </w:pPr>
            <w:r w:rsidRPr="00FB3567">
              <w:rPr>
                <w:rFonts w:ascii="Times New Roman" w:hAnsi="Times New Roman"/>
                <w:sz w:val="20"/>
                <w:szCs w:val="20"/>
              </w:rPr>
              <w:t>by type</w:t>
            </w:r>
          </w:p>
        </w:tc>
        <w:tc>
          <w:tcPr>
            <w:tcW w:w="4680" w:type="dxa"/>
          </w:tcPr>
          <w:p w14:paraId="38B6B865" w14:textId="77777777" w:rsidR="00331FED" w:rsidRPr="007D770B" w:rsidRDefault="00331FED" w:rsidP="008D54EC">
            <w:pPr>
              <w:pStyle w:val="aa"/>
              <w:spacing w:before="120"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7D770B">
              <w:rPr>
                <w:rFonts w:ascii="Times New Roman" w:hAnsi="Times New Roman"/>
                <w:sz w:val="20"/>
                <w:szCs w:val="20"/>
              </w:rPr>
              <w:t xml:space="preserve">cash and cash equivalents; </w:t>
            </w:r>
          </w:p>
          <w:p w14:paraId="54CCCCBD" w14:textId="77777777" w:rsidR="00331FED" w:rsidRPr="007D770B" w:rsidRDefault="00331FED" w:rsidP="008D54EC">
            <w:pPr>
              <w:pStyle w:val="aa"/>
              <w:spacing w:before="120"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7D770B">
              <w:rPr>
                <w:rFonts w:ascii="Times New Roman" w:hAnsi="Times New Roman"/>
                <w:sz w:val="20"/>
                <w:szCs w:val="20"/>
              </w:rPr>
              <w:t>loans issued;</w:t>
            </w:r>
          </w:p>
          <w:p w14:paraId="4FD74487" w14:textId="77777777" w:rsidR="00331FED" w:rsidRPr="007D770B" w:rsidRDefault="00331FED" w:rsidP="008D54EC">
            <w:pPr>
              <w:pStyle w:val="aa"/>
              <w:spacing w:before="120"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7D770B">
              <w:rPr>
                <w:rFonts w:ascii="Times New Roman" w:hAnsi="Times New Roman"/>
                <w:sz w:val="20"/>
                <w:szCs w:val="20"/>
              </w:rPr>
              <w:t xml:space="preserve">amounts due from financial institutions (including long-term bank deposits); </w:t>
            </w:r>
          </w:p>
          <w:p w14:paraId="106CCF08" w14:textId="77777777" w:rsidR="00331FED" w:rsidRPr="007D770B" w:rsidRDefault="00331FED" w:rsidP="008D54EC">
            <w:pPr>
              <w:pStyle w:val="aa"/>
              <w:spacing w:before="120"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7D770B">
              <w:rPr>
                <w:rFonts w:ascii="Times New Roman" w:hAnsi="Times New Roman"/>
                <w:sz w:val="20"/>
                <w:szCs w:val="20"/>
              </w:rPr>
              <w:t>investments carried at fair value through the income statement;</w:t>
            </w:r>
          </w:p>
          <w:p w14:paraId="394F0D2B" w14:textId="502E3751" w:rsidR="00331FED" w:rsidRPr="007D770B" w:rsidRDefault="001F1FE6" w:rsidP="008D54EC">
            <w:pPr>
              <w:pStyle w:val="aa"/>
              <w:spacing w:before="120"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7D770B">
              <w:rPr>
                <w:rFonts w:ascii="Times New Roman" w:hAnsi="Times New Roman"/>
                <w:sz w:val="20"/>
                <w:szCs w:val="20"/>
              </w:rPr>
              <w:t xml:space="preserve">securities </w:t>
            </w:r>
            <w:r w:rsidR="00331FED" w:rsidRPr="007D770B">
              <w:rPr>
                <w:rFonts w:ascii="Times New Roman" w:hAnsi="Times New Roman"/>
                <w:sz w:val="20"/>
                <w:szCs w:val="20"/>
              </w:rPr>
              <w:t>carried at fair value through other comprehensive income;</w:t>
            </w:r>
          </w:p>
          <w:p w14:paraId="180D0408" w14:textId="46606612" w:rsidR="001F1FE6" w:rsidRPr="007D770B" w:rsidRDefault="001F1FE6" w:rsidP="008D54EC">
            <w:pPr>
              <w:pStyle w:val="aa"/>
              <w:spacing w:before="120"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7D770B">
              <w:rPr>
                <w:rFonts w:ascii="Times New Roman" w:hAnsi="Times New Roman"/>
                <w:sz w:val="20"/>
                <w:szCs w:val="20"/>
              </w:rPr>
              <w:t>securities carried at amortized cost;</w:t>
            </w:r>
          </w:p>
          <w:p w14:paraId="28B90B5B" w14:textId="77777777" w:rsidR="00331FED" w:rsidRPr="007D770B" w:rsidRDefault="00331FED" w:rsidP="008D54EC">
            <w:pPr>
              <w:pStyle w:val="aa"/>
              <w:spacing w:before="120"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7D770B">
              <w:rPr>
                <w:rFonts w:ascii="Times New Roman" w:hAnsi="Times New Roman"/>
                <w:sz w:val="20"/>
                <w:szCs w:val="20"/>
              </w:rPr>
              <w:t xml:space="preserve">financial receivables; </w:t>
            </w:r>
          </w:p>
          <w:p w14:paraId="5DF568A4" w14:textId="77777777" w:rsidR="00331FED" w:rsidRPr="007D770B" w:rsidRDefault="00331FED" w:rsidP="008D54EC">
            <w:pPr>
              <w:pStyle w:val="aa"/>
              <w:spacing w:before="120"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7D770B">
              <w:rPr>
                <w:rFonts w:ascii="Times New Roman" w:hAnsi="Times New Roman"/>
                <w:sz w:val="20"/>
                <w:szCs w:val="20"/>
              </w:rPr>
              <w:t>other financial assets;</w:t>
            </w:r>
          </w:p>
        </w:tc>
        <w:tc>
          <w:tcPr>
            <w:tcW w:w="3024" w:type="dxa"/>
          </w:tcPr>
          <w:p w14:paraId="2ABC3977" w14:textId="1EB5605E" w:rsidR="00331FED" w:rsidRPr="007D770B" w:rsidRDefault="00331FED" w:rsidP="008D54EC">
            <w:pPr>
              <w:pStyle w:val="aa"/>
              <w:spacing w:before="120"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7D770B">
              <w:rPr>
                <w:rFonts w:ascii="Times New Roman" w:hAnsi="Times New Roman"/>
                <w:sz w:val="20"/>
                <w:szCs w:val="20"/>
              </w:rPr>
              <w:t>loans received from N</w:t>
            </w:r>
            <w:r w:rsidR="007D770B">
              <w:rPr>
                <w:rFonts w:ascii="Times New Roman" w:hAnsi="Times New Roman"/>
                <w:sz w:val="20"/>
                <w:szCs w:val="20"/>
              </w:rPr>
              <w:t>M</w:t>
            </w:r>
            <w:r w:rsidRPr="007D770B">
              <w:rPr>
                <w:rFonts w:ascii="Times New Roman" w:hAnsi="Times New Roman"/>
                <w:sz w:val="20"/>
                <w:szCs w:val="20"/>
              </w:rPr>
              <w:t xml:space="preserve">H Baiterek JSC; </w:t>
            </w:r>
          </w:p>
          <w:p w14:paraId="340C646A" w14:textId="49A16A12" w:rsidR="008E6D35" w:rsidRPr="007D770B" w:rsidRDefault="008E6D35" w:rsidP="008D54EC">
            <w:pPr>
              <w:pStyle w:val="aa"/>
              <w:spacing w:before="120"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7D770B">
              <w:rPr>
                <w:rFonts w:ascii="Times New Roman" w:hAnsi="Times New Roman"/>
                <w:sz w:val="20"/>
                <w:szCs w:val="20"/>
              </w:rPr>
              <w:t>loans received from Samruk Kazyna;</w:t>
            </w:r>
          </w:p>
          <w:p w14:paraId="11F55490" w14:textId="77777777" w:rsidR="00331FED" w:rsidRPr="007D770B" w:rsidRDefault="00331FED" w:rsidP="008D54EC">
            <w:pPr>
              <w:pStyle w:val="aa"/>
              <w:spacing w:before="120"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7D770B">
              <w:rPr>
                <w:rFonts w:ascii="Times New Roman" w:hAnsi="Times New Roman"/>
                <w:sz w:val="20"/>
                <w:szCs w:val="20"/>
              </w:rPr>
              <w:t>loans from the government;</w:t>
            </w:r>
          </w:p>
          <w:p w14:paraId="0BB9D2FC" w14:textId="77777777" w:rsidR="00331FED" w:rsidRPr="007D770B" w:rsidRDefault="00331FED" w:rsidP="008D54EC">
            <w:pPr>
              <w:pStyle w:val="aa"/>
              <w:spacing w:before="120"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7D770B">
              <w:rPr>
                <w:rFonts w:ascii="Times New Roman" w:hAnsi="Times New Roman"/>
                <w:sz w:val="20"/>
                <w:szCs w:val="20"/>
              </w:rPr>
              <w:t>customer funds;</w:t>
            </w:r>
          </w:p>
          <w:p w14:paraId="72DFC9A3" w14:textId="77777777" w:rsidR="00331FED" w:rsidRPr="007D770B" w:rsidRDefault="00331FED" w:rsidP="008D54EC">
            <w:pPr>
              <w:pStyle w:val="aa"/>
              <w:spacing w:before="120"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7D770B">
              <w:rPr>
                <w:rFonts w:ascii="Times New Roman" w:hAnsi="Times New Roman"/>
                <w:sz w:val="20"/>
                <w:szCs w:val="20"/>
              </w:rPr>
              <w:t xml:space="preserve">accounts payable; </w:t>
            </w:r>
          </w:p>
          <w:p w14:paraId="0E4765FB" w14:textId="77777777" w:rsidR="00331FED" w:rsidRPr="007D770B" w:rsidRDefault="00331FED" w:rsidP="008D54EC">
            <w:pPr>
              <w:pStyle w:val="aa"/>
              <w:spacing w:before="120"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7D770B">
              <w:rPr>
                <w:rFonts w:ascii="Times New Roman" w:hAnsi="Times New Roman"/>
                <w:sz w:val="20"/>
                <w:szCs w:val="20"/>
              </w:rPr>
              <w:t>other financial liabilities;</w:t>
            </w:r>
          </w:p>
        </w:tc>
      </w:tr>
      <w:tr w:rsidR="00331FED" w:rsidRPr="00E60FFF" w14:paraId="3986341A" w14:textId="77777777" w:rsidTr="00FB35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14:paraId="3E9597E8" w14:textId="77777777" w:rsidR="00331FED" w:rsidRPr="00FB3567" w:rsidRDefault="00331FED" w:rsidP="008D54EC">
            <w:pPr>
              <w:pStyle w:val="aa"/>
              <w:spacing w:before="120" w:after="120" w:line="259" w:lineRule="auto"/>
              <w:ind w:left="0"/>
              <w:contextualSpacing w:val="0"/>
              <w:rPr>
                <w:rFonts w:ascii="Times New Roman" w:hAnsi="Times New Roman"/>
                <w:sz w:val="20"/>
                <w:szCs w:val="20"/>
              </w:rPr>
            </w:pPr>
            <w:r w:rsidRPr="00FB3567">
              <w:rPr>
                <w:rFonts w:ascii="Times New Roman" w:hAnsi="Times New Roman"/>
                <w:sz w:val="20"/>
                <w:szCs w:val="20"/>
              </w:rPr>
              <w:t>in terms of time</w:t>
            </w:r>
          </w:p>
        </w:tc>
        <w:tc>
          <w:tcPr>
            <w:tcW w:w="4680" w:type="dxa"/>
          </w:tcPr>
          <w:p w14:paraId="0BF177ED" w14:textId="77777777" w:rsidR="00331FED" w:rsidRPr="007D770B" w:rsidRDefault="00331FED" w:rsidP="008D54EC">
            <w:pPr>
              <w:pStyle w:val="aa"/>
              <w:spacing w:before="120" w:after="120" w:line="259" w:lineRule="auto"/>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7D770B">
              <w:rPr>
                <w:rFonts w:ascii="Times New Roman" w:hAnsi="Times New Roman"/>
                <w:sz w:val="20"/>
                <w:szCs w:val="20"/>
              </w:rPr>
              <w:t xml:space="preserve">short-term - less than 12 months; </w:t>
            </w:r>
          </w:p>
          <w:p w14:paraId="49926E01" w14:textId="77777777" w:rsidR="00331FED" w:rsidRPr="007D770B" w:rsidRDefault="00331FED" w:rsidP="008D54EC">
            <w:pPr>
              <w:pStyle w:val="aa"/>
              <w:spacing w:before="120" w:after="120" w:line="259" w:lineRule="auto"/>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7D770B">
              <w:rPr>
                <w:rFonts w:ascii="Times New Roman" w:hAnsi="Times New Roman"/>
                <w:sz w:val="20"/>
                <w:szCs w:val="20"/>
              </w:rPr>
              <w:t>Long-term - more than 12 months;</w:t>
            </w:r>
          </w:p>
        </w:tc>
        <w:tc>
          <w:tcPr>
            <w:tcW w:w="3024" w:type="dxa"/>
          </w:tcPr>
          <w:p w14:paraId="1192EAF7" w14:textId="77777777" w:rsidR="00331FED" w:rsidRPr="007D770B" w:rsidRDefault="00331FED" w:rsidP="008D54EC">
            <w:pPr>
              <w:pStyle w:val="aa"/>
              <w:spacing w:before="120" w:after="120" w:line="259" w:lineRule="auto"/>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7D770B">
              <w:rPr>
                <w:rFonts w:ascii="Times New Roman" w:hAnsi="Times New Roman"/>
                <w:sz w:val="20"/>
                <w:szCs w:val="20"/>
              </w:rPr>
              <w:t xml:space="preserve">short-term - less than 12 months; </w:t>
            </w:r>
          </w:p>
          <w:p w14:paraId="4C4CCDF6" w14:textId="77777777" w:rsidR="00331FED" w:rsidRPr="007D770B" w:rsidRDefault="00331FED" w:rsidP="008D54EC">
            <w:pPr>
              <w:pStyle w:val="aa"/>
              <w:spacing w:before="120" w:after="120" w:line="259" w:lineRule="auto"/>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7D770B">
              <w:rPr>
                <w:rFonts w:ascii="Times New Roman" w:hAnsi="Times New Roman"/>
                <w:sz w:val="20"/>
                <w:szCs w:val="20"/>
              </w:rPr>
              <w:t>Long-term - more than 12 months;</w:t>
            </w:r>
          </w:p>
        </w:tc>
      </w:tr>
      <w:tr w:rsidR="00331FED" w:rsidRPr="00E60FFF" w14:paraId="0A6B8F8D" w14:textId="77777777" w:rsidTr="00FB3567">
        <w:tc>
          <w:tcPr>
            <w:cnfStyle w:val="001000000000" w:firstRow="0" w:lastRow="0" w:firstColumn="1" w:lastColumn="0" w:oddVBand="0" w:evenVBand="0" w:oddHBand="0" w:evenHBand="0" w:firstRowFirstColumn="0" w:firstRowLastColumn="0" w:lastRowFirstColumn="0" w:lastRowLastColumn="0"/>
            <w:tcW w:w="1908" w:type="dxa"/>
          </w:tcPr>
          <w:p w14:paraId="6C89AC33" w14:textId="77777777" w:rsidR="00331FED" w:rsidRPr="00FB3567" w:rsidRDefault="00331FED" w:rsidP="008D54EC">
            <w:pPr>
              <w:pStyle w:val="aa"/>
              <w:spacing w:before="120" w:after="120" w:line="259" w:lineRule="auto"/>
              <w:ind w:left="0"/>
              <w:contextualSpacing w:val="0"/>
              <w:rPr>
                <w:rFonts w:ascii="Times New Roman" w:hAnsi="Times New Roman"/>
                <w:sz w:val="20"/>
                <w:szCs w:val="20"/>
              </w:rPr>
            </w:pPr>
            <w:r w:rsidRPr="00FB3567">
              <w:rPr>
                <w:rFonts w:ascii="Times New Roman" w:hAnsi="Times New Roman"/>
                <w:sz w:val="20"/>
                <w:szCs w:val="20"/>
              </w:rPr>
              <w:t>by currency</w:t>
            </w:r>
          </w:p>
        </w:tc>
        <w:tc>
          <w:tcPr>
            <w:tcW w:w="4680" w:type="dxa"/>
          </w:tcPr>
          <w:p w14:paraId="78A009CC" w14:textId="77777777" w:rsidR="00331FED" w:rsidRPr="007D770B" w:rsidRDefault="00331FED" w:rsidP="008D54EC">
            <w:pPr>
              <w:pStyle w:val="aa"/>
              <w:spacing w:before="120"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7D770B">
              <w:rPr>
                <w:rFonts w:ascii="Times New Roman" w:hAnsi="Times New Roman"/>
                <w:sz w:val="20"/>
                <w:szCs w:val="20"/>
              </w:rPr>
              <w:t>in tenge;</w:t>
            </w:r>
          </w:p>
          <w:p w14:paraId="2EA4DF41" w14:textId="77777777" w:rsidR="00331FED" w:rsidRPr="007D770B" w:rsidRDefault="00331FED" w:rsidP="008D54EC">
            <w:pPr>
              <w:pStyle w:val="aa"/>
              <w:spacing w:before="120"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7D770B">
              <w:rPr>
                <w:rFonts w:ascii="Times New Roman" w:hAnsi="Times New Roman"/>
                <w:sz w:val="20"/>
                <w:szCs w:val="20"/>
              </w:rPr>
              <w:t>in foreign currency.</w:t>
            </w:r>
          </w:p>
        </w:tc>
        <w:tc>
          <w:tcPr>
            <w:tcW w:w="3024" w:type="dxa"/>
          </w:tcPr>
          <w:p w14:paraId="06159C1B" w14:textId="77777777" w:rsidR="00331FED" w:rsidRPr="007D770B" w:rsidRDefault="00331FED" w:rsidP="008D54EC">
            <w:pPr>
              <w:pStyle w:val="aa"/>
              <w:spacing w:before="120"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7D770B">
              <w:rPr>
                <w:rFonts w:ascii="Times New Roman" w:hAnsi="Times New Roman"/>
                <w:sz w:val="20"/>
                <w:szCs w:val="20"/>
              </w:rPr>
              <w:t>in tenge;</w:t>
            </w:r>
          </w:p>
          <w:p w14:paraId="061262F9" w14:textId="77777777" w:rsidR="00331FED" w:rsidRPr="007D770B" w:rsidRDefault="00331FED" w:rsidP="008D54EC">
            <w:pPr>
              <w:pStyle w:val="aa"/>
              <w:spacing w:before="120"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7D770B">
              <w:rPr>
                <w:rFonts w:ascii="Times New Roman" w:hAnsi="Times New Roman"/>
                <w:sz w:val="20"/>
                <w:szCs w:val="20"/>
              </w:rPr>
              <w:t>in foreign currency.</w:t>
            </w:r>
          </w:p>
        </w:tc>
      </w:tr>
    </w:tbl>
    <w:p w14:paraId="5B6EC453" w14:textId="77777777" w:rsidR="00331FED" w:rsidRPr="007D770B" w:rsidRDefault="00331FED" w:rsidP="00E61D21">
      <w:pPr>
        <w:pStyle w:val="3"/>
        <w:rPr>
          <w:lang w:val="en-US"/>
        </w:rPr>
      </w:pPr>
      <w:bookmarkStart w:id="103" w:name="_Toc168502032"/>
      <w:r w:rsidRPr="007D770B">
        <w:rPr>
          <w:lang w:val="en-US"/>
        </w:rPr>
        <w:t>3.4 Classification of financial assets</w:t>
      </w:r>
      <w:bookmarkEnd w:id="101"/>
      <w:bookmarkEnd w:id="102"/>
      <w:bookmarkEnd w:id="103"/>
    </w:p>
    <w:p w14:paraId="436E9585" w14:textId="77777777" w:rsidR="00331FED" w:rsidRPr="007D770B" w:rsidRDefault="00331FED" w:rsidP="00331FED">
      <w:pPr>
        <w:spacing w:line="259" w:lineRule="auto"/>
        <w:ind w:left="0"/>
        <w:rPr>
          <w:rFonts w:ascii="Times New Roman" w:hAnsi="Times New Roman"/>
          <w:lang w:val="en-US"/>
        </w:rPr>
      </w:pPr>
      <w:r w:rsidRPr="007D770B">
        <w:rPr>
          <w:rFonts w:ascii="Times New Roman" w:hAnsi="Times New Roman"/>
          <w:lang w:val="en-US"/>
        </w:rPr>
        <w:t>The Bank classifies its financial assets into the following measurement categories:</w:t>
      </w:r>
    </w:p>
    <w:p w14:paraId="046AE257" w14:textId="77777777" w:rsidR="00331FED" w:rsidRPr="0005146F" w:rsidRDefault="00331FED" w:rsidP="00AE698A">
      <w:pPr>
        <w:pStyle w:val="21"/>
        <w:widowControl w:val="0"/>
        <w:numPr>
          <w:ilvl w:val="0"/>
          <w:numId w:val="264"/>
        </w:numPr>
        <w:spacing w:after="240"/>
        <w:rPr>
          <w:sz w:val="20"/>
          <w:szCs w:val="20"/>
        </w:rPr>
      </w:pPr>
      <w:r w:rsidRPr="0005146F">
        <w:rPr>
          <w:sz w:val="20"/>
          <w:szCs w:val="20"/>
        </w:rPr>
        <w:t xml:space="preserve">at amortized cost, </w:t>
      </w:r>
    </w:p>
    <w:p w14:paraId="1379E0FA" w14:textId="77777777" w:rsidR="00331FED" w:rsidRPr="007D770B" w:rsidRDefault="00331FED" w:rsidP="00AE698A">
      <w:pPr>
        <w:pStyle w:val="21"/>
        <w:widowControl w:val="0"/>
        <w:numPr>
          <w:ilvl w:val="0"/>
          <w:numId w:val="264"/>
        </w:numPr>
        <w:spacing w:after="240"/>
        <w:rPr>
          <w:sz w:val="20"/>
          <w:szCs w:val="20"/>
          <w:lang w:val="en-US"/>
        </w:rPr>
      </w:pPr>
      <w:r w:rsidRPr="007D770B">
        <w:rPr>
          <w:sz w:val="20"/>
          <w:szCs w:val="20"/>
          <w:lang w:val="en-US"/>
        </w:rPr>
        <w:t xml:space="preserve">at fair value through other comprehensive income (FVTPL), and </w:t>
      </w:r>
    </w:p>
    <w:p w14:paraId="45B8813B" w14:textId="77777777" w:rsidR="00331FED" w:rsidRPr="007D770B" w:rsidRDefault="00331FED" w:rsidP="00AE698A">
      <w:pPr>
        <w:pStyle w:val="21"/>
        <w:widowControl w:val="0"/>
        <w:numPr>
          <w:ilvl w:val="0"/>
          <w:numId w:val="264"/>
        </w:numPr>
        <w:spacing w:after="240"/>
        <w:rPr>
          <w:sz w:val="20"/>
          <w:szCs w:val="20"/>
          <w:lang w:val="en-US"/>
        </w:rPr>
      </w:pPr>
      <w:r w:rsidRPr="007D770B">
        <w:rPr>
          <w:sz w:val="20"/>
          <w:szCs w:val="20"/>
          <w:lang w:val="en-US"/>
        </w:rPr>
        <w:t>at fair value through the income statement (FVTPL).</w:t>
      </w:r>
    </w:p>
    <w:p w14:paraId="524286EE" w14:textId="24AB4901" w:rsidR="00331FED" w:rsidRPr="007D770B" w:rsidRDefault="00331FED" w:rsidP="00331FED">
      <w:pPr>
        <w:spacing w:line="259" w:lineRule="auto"/>
        <w:ind w:left="0"/>
        <w:rPr>
          <w:rFonts w:ascii="Times New Roman" w:hAnsi="Times New Roman"/>
          <w:lang w:val="en-US"/>
        </w:rPr>
      </w:pPr>
      <w:r w:rsidRPr="007D770B">
        <w:rPr>
          <w:rFonts w:ascii="Times New Roman" w:hAnsi="Times New Roman"/>
          <w:lang w:val="en-US"/>
        </w:rPr>
        <w:t>On initial recognition, a financial asset is classified into one of the measurement categories; subsequent reclassification is possible, but only rarely (see paragraph 3.7).</w:t>
      </w:r>
    </w:p>
    <w:p w14:paraId="5D3F31C6" w14:textId="77777777" w:rsidR="00331FED" w:rsidRPr="007D770B" w:rsidRDefault="00331FED" w:rsidP="00331FED">
      <w:pPr>
        <w:spacing w:line="259" w:lineRule="auto"/>
        <w:ind w:left="0"/>
        <w:rPr>
          <w:rFonts w:ascii="Times New Roman" w:hAnsi="Times New Roman"/>
          <w:lang w:val="en-US"/>
        </w:rPr>
      </w:pPr>
      <w:r w:rsidRPr="007D770B">
        <w:rPr>
          <w:rFonts w:ascii="Times New Roman" w:hAnsi="Times New Roman"/>
          <w:lang w:val="en-US"/>
        </w:rPr>
        <w:t>The following diagram shows the algorithm for classifying financial assets into the main measurement categories, including presentation and classification options available under IFRS 9, which the Bank may choose at its own discretion:</w:t>
      </w:r>
    </w:p>
    <w:p w14:paraId="5C65668C" w14:textId="77777777" w:rsidR="00331FED" w:rsidRPr="0005146F" w:rsidRDefault="00331FED" w:rsidP="00331FED">
      <w:pPr>
        <w:rPr>
          <w:rFonts w:ascii="Times New Roman" w:hAnsi="Times New Roman"/>
        </w:rPr>
      </w:pPr>
      <w:r w:rsidRPr="0005146F">
        <w:rPr>
          <w:rFonts w:ascii="Times New Roman" w:hAnsi="Times New Roman"/>
          <w:noProof/>
          <w:lang w:eastAsia="ru-RU"/>
        </w:rPr>
        <w:lastRenderedPageBreak/>
        <mc:AlternateContent>
          <mc:Choice Requires="wpg">
            <w:drawing>
              <wp:inline distT="0" distB="0" distL="0" distR="0" wp14:anchorId="2FBEEAC0" wp14:editId="4A408484">
                <wp:extent cx="6169660" cy="4584700"/>
                <wp:effectExtent l="0" t="0" r="21590" b="25400"/>
                <wp:docPr id="898" name="Group 8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9660" cy="4584700"/>
                          <a:chOff x="0" y="0"/>
                          <a:chExt cx="80904" cy="40108"/>
                        </a:xfrm>
                      </wpg:grpSpPr>
                      <wps:wsp>
                        <wps:cNvPr id="899" name="Gerade Verbindung mit Pfeil 21"/>
                        <wps:cNvCnPr>
                          <a:cxnSpLocks noChangeShapeType="1"/>
                          <a:endCxn id="904" idx="0"/>
                        </wps:cNvCnPr>
                        <wps:spPr bwMode="auto">
                          <a:xfrm>
                            <a:off x="9772" y="32489"/>
                            <a:ext cx="0" cy="2502"/>
                          </a:xfrm>
                          <a:prstGeom prst="straightConnector1">
                            <a:avLst/>
                          </a:prstGeom>
                          <a:noFill/>
                          <a:ln w="25400">
                            <a:solidFill>
                              <a:schemeClr val="accent2">
                                <a:lumMod val="50000"/>
                                <a:lumOff val="0"/>
                              </a:schemeClr>
                            </a:solidFill>
                            <a:round/>
                            <a:headEnd/>
                            <a:tailEnd type="triangle" w="med" len="med"/>
                          </a:ln>
                        </wps:spPr>
                        <wps:bodyPr/>
                      </wps:wsp>
                      <wps:wsp>
                        <wps:cNvPr id="900" name="Gerade Verbindung mit Pfeil 24"/>
                        <wps:cNvCnPr>
                          <a:cxnSpLocks noChangeShapeType="1"/>
                          <a:endCxn id="903" idx="0"/>
                        </wps:cNvCnPr>
                        <wps:spPr bwMode="auto">
                          <a:xfrm>
                            <a:off x="30344" y="32490"/>
                            <a:ext cx="0" cy="2501"/>
                          </a:xfrm>
                          <a:prstGeom prst="straightConnector1">
                            <a:avLst/>
                          </a:prstGeom>
                          <a:noFill/>
                          <a:ln w="25400">
                            <a:solidFill>
                              <a:schemeClr val="accent2">
                                <a:lumMod val="50000"/>
                                <a:lumOff val="0"/>
                              </a:schemeClr>
                            </a:solidFill>
                            <a:round/>
                            <a:headEnd/>
                            <a:tailEnd type="triangle" w="med" len="med"/>
                          </a:ln>
                        </wps:spPr>
                        <wps:bodyPr/>
                      </wps:wsp>
                      <wps:wsp>
                        <wps:cNvPr id="901" name="Gerade Verbindung mit Pfeil 28"/>
                        <wps:cNvCnPr>
                          <a:cxnSpLocks noChangeShapeType="1"/>
                          <a:endCxn id="983" idx="0"/>
                        </wps:cNvCnPr>
                        <wps:spPr bwMode="auto">
                          <a:xfrm flipH="1">
                            <a:off x="71309" y="4120"/>
                            <a:ext cx="4" cy="3462"/>
                          </a:xfrm>
                          <a:prstGeom prst="straightConnector1">
                            <a:avLst/>
                          </a:prstGeom>
                          <a:noFill/>
                          <a:ln w="25400">
                            <a:solidFill>
                              <a:schemeClr val="accent2">
                                <a:lumMod val="50000"/>
                                <a:lumOff val="0"/>
                              </a:schemeClr>
                            </a:solidFill>
                            <a:round/>
                            <a:headEnd/>
                            <a:tailEnd type="triangle" w="med" len="med"/>
                          </a:ln>
                        </wps:spPr>
                        <wps:bodyPr/>
                      </wps:wsp>
                      <wps:wsp>
                        <wps:cNvPr id="902" name="Rechteck 9"/>
                        <wps:cNvSpPr>
                          <a:spLocks noChangeArrowheads="1"/>
                        </wps:cNvSpPr>
                        <wps:spPr bwMode="ltGray">
                          <a:xfrm>
                            <a:off x="0" y="0"/>
                            <a:ext cx="39840" cy="5115"/>
                          </a:xfrm>
                          <a:prstGeom prst="rect">
                            <a:avLst/>
                          </a:prstGeom>
                          <a:solidFill>
                            <a:schemeClr val="accent2">
                              <a:lumMod val="100000"/>
                              <a:lumOff val="0"/>
                            </a:schemeClr>
                          </a:solidFill>
                          <a:ln w="25400">
                            <a:solidFill>
                              <a:schemeClr val="accent2">
                                <a:lumMod val="50000"/>
                                <a:lumOff val="0"/>
                              </a:schemeClr>
                            </a:solidFill>
                            <a:miter lim="800000"/>
                            <a:headEnd/>
                            <a:tailEnd/>
                          </a:ln>
                        </wps:spPr>
                        <wps:txbx>
                          <w:txbxContent>
                            <w:p w14:paraId="316D186C" w14:textId="77777777" w:rsidR="003A587C" w:rsidRPr="00CA5A7A" w:rsidRDefault="003A587C" w:rsidP="00331FED">
                              <w:pPr>
                                <w:pStyle w:val="afffc"/>
                                <w:spacing w:before="0" w:beforeAutospacing="0" w:after="0" w:afterAutospacing="0"/>
                                <w:jc w:val="center"/>
                                <w:rPr>
                                  <w:rFonts w:ascii="Georgia" w:hAnsi="Georgia"/>
                                  <w:sz w:val="20"/>
                                  <w:szCs w:val="20"/>
                                </w:rPr>
                              </w:pPr>
                              <w:r w:rsidRPr="00CA5A7A">
                                <w:rPr>
                                  <w:rFonts w:ascii="Georgia" w:hAnsi="Georgia" w:cstheme="minorBidi"/>
                                  <w:kern w:val="24"/>
                                  <w:sz w:val="20"/>
                                  <w:szCs w:val="20"/>
                                  <w:lang w:val="ru-RU"/>
                                </w:rPr>
                                <w:t>Debt instruments</w:t>
                              </w:r>
                            </w:p>
                          </w:txbxContent>
                        </wps:txbx>
                        <wps:bodyPr rot="0" vert="horz" wrap="square" lIns="72000" tIns="72000" rIns="72000" bIns="72000" anchor="ctr" anchorCtr="0" upright="1">
                          <a:noAutofit/>
                        </wps:bodyPr>
                      </wps:wsp>
                      <wps:wsp>
                        <wps:cNvPr id="903" name="Rechteck 12"/>
                        <wps:cNvSpPr>
                          <a:spLocks noChangeArrowheads="1"/>
                        </wps:cNvSpPr>
                        <wps:spPr bwMode="ltGray">
                          <a:xfrm>
                            <a:off x="20741" y="34991"/>
                            <a:ext cx="19207" cy="5117"/>
                          </a:xfrm>
                          <a:prstGeom prst="rect">
                            <a:avLst/>
                          </a:prstGeom>
                          <a:solidFill>
                            <a:schemeClr val="accent2">
                              <a:lumMod val="100000"/>
                              <a:lumOff val="0"/>
                            </a:schemeClr>
                          </a:solidFill>
                          <a:ln w="25400">
                            <a:solidFill>
                              <a:schemeClr val="accent2">
                                <a:lumMod val="50000"/>
                                <a:lumOff val="0"/>
                              </a:schemeClr>
                            </a:solidFill>
                            <a:miter lim="800000"/>
                            <a:headEnd/>
                            <a:tailEnd/>
                          </a:ln>
                        </wps:spPr>
                        <wps:txbx>
                          <w:txbxContent>
                            <w:p w14:paraId="039CDB3C" w14:textId="77777777" w:rsidR="003A587C" w:rsidRPr="004E2243" w:rsidRDefault="003A587C" w:rsidP="00331FED">
                              <w:pPr>
                                <w:pStyle w:val="afffc"/>
                                <w:spacing w:before="0" w:beforeAutospacing="0" w:after="0" w:afterAutospacing="0"/>
                                <w:jc w:val="center"/>
                                <w:rPr>
                                  <w:rFonts w:ascii="Georgia" w:hAnsi="Georgia"/>
                                  <w:sz w:val="20"/>
                                  <w:szCs w:val="20"/>
                                  <w:lang w:val="ru-RU"/>
                                </w:rPr>
                              </w:pPr>
                              <w:r>
                                <w:rPr>
                                  <w:rFonts w:ascii="Georgia" w:hAnsi="Georgia" w:cstheme="minorBidi"/>
                                  <w:b/>
                                  <w:bCs/>
                                  <w:i/>
                                  <w:iCs/>
                                  <w:color w:val="FFFFFF" w:themeColor="background1"/>
                                  <w:kern w:val="24"/>
                                  <w:sz w:val="20"/>
                                  <w:szCs w:val="20"/>
                                  <w:lang w:val="ru-RU"/>
                                </w:rPr>
                                <w:t>MTPAS</w:t>
                              </w:r>
                            </w:p>
                          </w:txbxContent>
                        </wps:txbx>
                        <wps:bodyPr rot="0" vert="horz" wrap="square" lIns="72000" tIns="72000" rIns="72000" bIns="72000" anchor="ctr" anchorCtr="0" upright="1">
                          <a:noAutofit/>
                        </wps:bodyPr>
                      </wps:wsp>
                      <wps:wsp>
                        <wps:cNvPr id="904" name="Rechteck 13"/>
                        <wps:cNvSpPr>
                          <a:spLocks noChangeArrowheads="1"/>
                        </wps:cNvSpPr>
                        <wps:spPr bwMode="ltGray">
                          <a:xfrm>
                            <a:off x="168" y="34991"/>
                            <a:ext cx="19207" cy="5117"/>
                          </a:xfrm>
                          <a:prstGeom prst="rect">
                            <a:avLst/>
                          </a:prstGeom>
                          <a:solidFill>
                            <a:schemeClr val="accent2">
                              <a:lumMod val="100000"/>
                              <a:lumOff val="0"/>
                            </a:schemeClr>
                          </a:solidFill>
                          <a:ln w="25400">
                            <a:solidFill>
                              <a:schemeClr val="accent2">
                                <a:lumMod val="50000"/>
                                <a:lumOff val="0"/>
                              </a:schemeClr>
                            </a:solidFill>
                            <a:miter lim="800000"/>
                            <a:headEnd/>
                            <a:tailEnd/>
                          </a:ln>
                        </wps:spPr>
                        <wps:txbx>
                          <w:txbxContent>
                            <w:p w14:paraId="34E73A27" w14:textId="77777777" w:rsidR="003A587C" w:rsidRPr="004E2243" w:rsidRDefault="003A587C" w:rsidP="00331FED">
                              <w:pPr>
                                <w:pStyle w:val="afffc"/>
                                <w:spacing w:before="0" w:beforeAutospacing="0" w:after="0" w:afterAutospacing="0"/>
                                <w:jc w:val="center"/>
                                <w:rPr>
                                  <w:rFonts w:ascii="Georgia" w:hAnsi="Georgia"/>
                                  <w:sz w:val="20"/>
                                  <w:szCs w:val="20"/>
                                  <w:lang w:val="ru-RU"/>
                                </w:rPr>
                              </w:pPr>
                              <w:r>
                                <w:rPr>
                                  <w:rFonts w:ascii="Georgia" w:hAnsi="Georgia" w:cstheme="minorBidi"/>
                                  <w:b/>
                                  <w:bCs/>
                                  <w:i/>
                                  <w:iCs/>
                                  <w:color w:val="FFFFFF" w:themeColor="background1"/>
                                  <w:kern w:val="24"/>
                                  <w:sz w:val="20"/>
                                  <w:szCs w:val="20"/>
                                  <w:lang w:val="ru-RU"/>
                                </w:rPr>
                                <w:t>Amortized cost</w:t>
                              </w:r>
                            </w:p>
                          </w:txbxContent>
                        </wps:txbx>
                        <wps:bodyPr rot="0" vert="horz" wrap="square" lIns="72000" tIns="72000" rIns="72000" bIns="72000" anchor="ctr" anchorCtr="0" upright="1">
                          <a:noAutofit/>
                        </wps:bodyPr>
                      </wps:wsp>
                      <wps:wsp>
                        <wps:cNvPr id="905" name="Rechteck 17"/>
                        <wps:cNvSpPr>
                          <a:spLocks noChangeArrowheads="1"/>
                        </wps:cNvSpPr>
                        <wps:spPr bwMode="ltGray">
                          <a:xfrm>
                            <a:off x="0" y="17700"/>
                            <a:ext cx="39840" cy="6298"/>
                          </a:xfrm>
                          <a:prstGeom prst="rect">
                            <a:avLst/>
                          </a:prstGeom>
                          <a:solidFill>
                            <a:schemeClr val="bg1">
                              <a:lumMod val="100000"/>
                              <a:lumOff val="0"/>
                            </a:schemeClr>
                          </a:solidFill>
                          <a:ln w="25400">
                            <a:solidFill>
                              <a:schemeClr val="accent2">
                                <a:lumMod val="50000"/>
                                <a:lumOff val="0"/>
                              </a:schemeClr>
                            </a:solidFill>
                            <a:miter lim="800000"/>
                            <a:headEnd/>
                            <a:tailEnd/>
                          </a:ln>
                        </wps:spPr>
                        <wps:txbx>
                          <w:txbxContent>
                            <w:p w14:paraId="3A40EDD1" w14:textId="77777777" w:rsidR="003A587C" w:rsidRPr="00FE19F6" w:rsidRDefault="003A587C" w:rsidP="00331FED">
                              <w:pPr>
                                <w:pStyle w:val="afffc"/>
                                <w:spacing w:before="0" w:beforeAutospacing="0" w:after="0" w:afterAutospacing="0"/>
                                <w:jc w:val="center"/>
                                <w:rPr>
                                  <w:rFonts w:ascii="Georgia" w:hAnsi="Georgia" w:cstheme="minorBidi"/>
                                  <w:kern w:val="24"/>
                                  <w:sz w:val="16"/>
                                  <w:szCs w:val="16"/>
                                  <w:lang w:val="ru-RU"/>
                                </w:rPr>
                              </w:pPr>
                              <w:r w:rsidRPr="007D770B">
                                <w:rPr>
                                  <w:rFonts w:ascii="Georgia" w:hAnsi="Georgia" w:cstheme="minorBidi"/>
                                  <w:kern w:val="24"/>
                                  <w:sz w:val="16"/>
                                  <w:szCs w:val="16"/>
                                </w:rPr>
                                <w:t xml:space="preserve">Cash flows are only repayment of principal and interest? </w:t>
                              </w:r>
                              <w:r>
                                <w:rPr>
                                  <w:rFonts w:ascii="Georgia" w:hAnsi="Georgia" w:cstheme="minorBidi"/>
                                  <w:kern w:val="24"/>
                                  <w:sz w:val="16"/>
                                  <w:szCs w:val="16"/>
                                  <w:lang w:val="ru-RU"/>
                                </w:rPr>
                                <w:t xml:space="preserve">(take the </w:t>
                              </w:r>
                              <w:r>
                                <w:rPr>
                                  <w:rFonts w:ascii="Georgia" w:hAnsi="Georgia" w:cstheme="minorBidi"/>
                                  <w:kern w:val="24"/>
                                  <w:sz w:val="16"/>
                                  <w:szCs w:val="16"/>
                                </w:rPr>
                                <w:t xml:space="preserve">SPPI </w:t>
                              </w:r>
                              <w:r>
                                <w:rPr>
                                  <w:rFonts w:ascii="Georgia" w:hAnsi="Georgia" w:cstheme="minorBidi"/>
                                  <w:kern w:val="24"/>
                                  <w:sz w:val="16"/>
                                  <w:szCs w:val="16"/>
                                  <w:lang w:val="ru-RU"/>
                                </w:rPr>
                                <w:t>test</w:t>
                              </w:r>
                            </w:p>
                            <w:p w14:paraId="67F03B9F" w14:textId="77777777" w:rsidR="003A587C" w:rsidRPr="00872816" w:rsidRDefault="003A587C" w:rsidP="00331FED">
                              <w:pPr>
                                <w:pStyle w:val="afffc"/>
                                <w:spacing w:before="0" w:beforeAutospacing="0" w:after="0" w:afterAutospacing="0"/>
                                <w:jc w:val="center"/>
                                <w:rPr>
                                  <w:rFonts w:ascii="Georgia" w:hAnsi="Georgia"/>
                                  <w:sz w:val="16"/>
                                  <w:szCs w:val="16"/>
                                  <w:lang w:val="ru-RU"/>
                                </w:rPr>
                              </w:pPr>
                            </w:p>
                          </w:txbxContent>
                        </wps:txbx>
                        <wps:bodyPr rot="0" vert="horz" wrap="square" lIns="36000" tIns="0" rIns="36000" bIns="0" anchor="ctr" anchorCtr="0" upright="1">
                          <a:noAutofit/>
                        </wps:bodyPr>
                      </wps:wsp>
                      <wps:wsp>
                        <wps:cNvPr id="906" name="Rechteck 18"/>
                        <wps:cNvSpPr>
                          <a:spLocks noChangeArrowheads="1"/>
                        </wps:cNvSpPr>
                        <wps:spPr bwMode="ltGray">
                          <a:xfrm>
                            <a:off x="0" y="26409"/>
                            <a:ext cx="39840" cy="6297"/>
                          </a:xfrm>
                          <a:prstGeom prst="rect">
                            <a:avLst/>
                          </a:prstGeom>
                          <a:solidFill>
                            <a:schemeClr val="bg1">
                              <a:lumMod val="100000"/>
                              <a:lumOff val="0"/>
                            </a:schemeClr>
                          </a:solidFill>
                          <a:ln w="25400">
                            <a:solidFill>
                              <a:schemeClr val="accent2">
                                <a:lumMod val="50000"/>
                                <a:lumOff val="0"/>
                              </a:schemeClr>
                            </a:solidFill>
                            <a:miter lim="800000"/>
                            <a:headEnd/>
                            <a:tailEnd/>
                          </a:ln>
                        </wps:spPr>
                        <wps:txbx>
                          <w:txbxContent>
                            <w:p w14:paraId="68ECC81A" w14:textId="7B385B86" w:rsidR="003A587C" w:rsidRPr="00F865FB" w:rsidRDefault="003A587C" w:rsidP="00331FED">
                              <w:pPr>
                                <w:pStyle w:val="afffc"/>
                                <w:spacing w:before="0" w:beforeAutospacing="0" w:after="0" w:afterAutospacing="0"/>
                                <w:jc w:val="center"/>
                                <w:rPr>
                                  <w:rFonts w:ascii="Georgia" w:hAnsi="Georgia"/>
                                  <w:sz w:val="16"/>
                                  <w:szCs w:val="16"/>
                                  <w:lang w:val="ru-RU"/>
                                </w:rPr>
                              </w:pPr>
                              <w:r w:rsidRPr="007D770B">
                                <w:rPr>
                                  <w:rFonts w:ascii="Georgia" w:hAnsi="Georgia" w:cstheme="minorBidi"/>
                                  <w:kern w:val="24"/>
                                  <w:sz w:val="16"/>
                                  <w:szCs w:val="16"/>
                                </w:rPr>
                                <w:t xml:space="preserve">Is the option to record the instrument at fair value used to correct an accounting mismatch? </w:t>
                              </w:r>
                              <w:r>
                                <w:rPr>
                                  <w:rFonts w:ascii="Georgia" w:hAnsi="Georgia" w:cstheme="minorBidi"/>
                                  <w:kern w:val="24"/>
                                  <w:sz w:val="16"/>
                                  <w:szCs w:val="16"/>
                                  <w:lang w:val="ru-RU"/>
                                </w:rPr>
                                <w:t>*</w:t>
                              </w:r>
                            </w:p>
                          </w:txbxContent>
                        </wps:txbx>
                        <wps:bodyPr rot="0" vert="horz" wrap="square" lIns="36000" tIns="0" rIns="36000" bIns="0" anchor="ctr" anchorCtr="0" upright="1">
                          <a:noAutofit/>
                        </wps:bodyPr>
                      </wps:wsp>
                      <wps:wsp>
                        <wps:cNvPr id="907" name="Textfeld 35"/>
                        <wps:cNvSpPr txBox="1">
                          <a:spLocks noChangeArrowheads="1"/>
                        </wps:cNvSpPr>
                        <wps:spPr bwMode="auto">
                          <a:xfrm>
                            <a:off x="6253" y="33011"/>
                            <a:ext cx="4240" cy="1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5900ABB2" w14:textId="77777777" w:rsidR="003A587C" w:rsidRPr="003E030B" w:rsidRDefault="003A587C" w:rsidP="00331FED">
                              <w:pPr>
                                <w:pStyle w:val="afffc"/>
                                <w:spacing w:before="0" w:beforeAutospacing="0" w:after="0" w:afterAutospacing="0"/>
                                <w:rPr>
                                  <w:rFonts w:ascii="Georgia" w:hAnsi="Georgia"/>
                                  <w:sz w:val="17"/>
                                  <w:szCs w:val="17"/>
                                  <w:lang w:val="ru-RU"/>
                                </w:rPr>
                              </w:pPr>
                              <w:r w:rsidRPr="003E030B">
                                <w:rPr>
                                  <w:rFonts w:ascii="Georgia" w:hAnsi="Georgia" w:cstheme="minorBidi"/>
                                  <w:color w:val="000000" w:themeColor="text1"/>
                                  <w:kern w:val="24"/>
                                  <w:sz w:val="17"/>
                                  <w:szCs w:val="17"/>
                                  <w:lang w:val="ru-RU"/>
                                </w:rPr>
                                <w:t>No</w:t>
                              </w:r>
                            </w:p>
                          </w:txbxContent>
                        </wps:txbx>
                        <wps:bodyPr rot="0" vert="horz" wrap="square" lIns="0" tIns="0" rIns="0" bIns="0" anchor="t" anchorCtr="0" upright="1">
                          <a:noAutofit/>
                        </wps:bodyPr>
                      </wps:wsp>
                      <wps:wsp>
                        <wps:cNvPr id="908" name="Textfeld 36"/>
                        <wps:cNvSpPr txBox="1">
                          <a:spLocks noChangeArrowheads="1"/>
                        </wps:cNvSpPr>
                        <wps:spPr bwMode="auto">
                          <a:xfrm>
                            <a:off x="6084" y="15761"/>
                            <a:ext cx="4241" cy="18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4C196C8B" w14:textId="77777777" w:rsidR="003A587C" w:rsidRPr="003E030B" w:rsidRDefault="003A587C" w:rsidP="00331FED">
                              <w:pPr>
                                <w:pStyle w:val="afffc"/>
                                <w:spacing w:before="0" w:beforeAutospacing="0" w:after="0" w:afterAutospacing="0"/>
                                <w:rPr>
                                  <w:rFonts w:ascii="Georgia" w:hAnsi="Georgia"/>
                                  <w:sz w:val="17"/>
                                  <w:szCs w:val="17"/>
                                  <w:lang w:val="ru-RU"/>
                                </w:rPr>
                              </w:pPr>
                              <w:r w:rsidRPr="003E030B">
                                <w:rPr>
                                  <w:rFonts w:ascii="Georgia" w:hAnsi="Georgia" w:cstheme="minorBidi"/>
                                  <w:color w:val="000000" w:themeColor="text1"/>
                                  <w:kern w:val="24"/>
                                  <w:sz w:val="17"/>
                                  <w:szCs w:val="17"/>
                                  <w:lang w:val="ru-RU"/>
                                </w:rPr>
                                <w:t>Yes</w:t>
                              </w:r>
                            </w:p>
                          </w:txbxContent>
                        </wps:txbx>
                        <wps:bodyPr rot="0" vert="horz" wrap="square" lIns="0" tIns="0" rIns="0" bIns="0" anchor="t" anchorCtr="0" upright="1">
                          <a:noAutofit/>
                        </wps:bodyPr>
                      </wps:wsp>
                      <wps:wsp>
                        <wps:cNvPr id="909" name="Textfeld 37"/>
                        <wps:cNvSpPr txBox="1">
                          <a:spLocks noChangeArrowheads="1"/>
                        </wps:cNvSpPr>
                        <wps:spPr bwMode="auto">
                          <a:xfrm>
                            <a:off x="6084" y="24466"/>
                            <a:ext cx="4241" cy="1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0E09E05C" w14:textId="77777777" w:rsidR="003A587C" w:rsidRPr="003E030B" w:rsidRDefault="003A587C" w:rsidP="00331FED">
                              <w:pPr>
                                <w:pStyle w:val="afffc"/>
                                <w:spacing w:before="0" w:beforeAutospacing="0" w:after="0" w:afterAutospacing="0"/>
                                <w:rPr>
                                  <w:rFonts w:ascii="Georgia" w:hAnsi="Georgia"/>
                                  <w:sz w:val="17"/>
                                  <w:szCs w:val="17"/>
                                  <w:lang w:val="ru-RU"/>
                                </w:rPr>
                              </w:pPr>
                              <w:r w:rsidRPr="003E030B">
                                <w:rPr>
                                  <w:rFonts w:ascii="Georgia" w:hAnsi="Georgia" w:cstheme="minorBidi"/>
                                  <w:color w:val="000000" w:themeColor="text1"/>
                                  <w:kern w:val="24"/>
                                  <w:sz w:val="17"/>
                                  <w:szCs w:val="17"/>
                                  <w:lang w:val="ru-RU"/>
                                </w:rPr>
                                <w:t>Yes</w:t>
                              </w:r>
                            </w:p>
                          </w:txbxContent>
                        </wps:txbx>
                        <wps:bodyPr rot="0" vert="horz" wrap="square" lIns="0" tIns="0" rIns="0" bIns="0" anchor="t" anchorCtr="0" upright="1">
                          <a:noAutofit/>
                        </wps:bodyPr>
                      </wps:wsp>
                      <wps:wsp>
                        <wps:cNvPr id="910" name="Textfeld 38"/>
                        <wps:cNvSpPr txBox="1">
                          <a:spLocks noChangeArrowheads="1"/>
                        </wps:cNvSpPr>
                        <wps:spPr bwMode="auto">
                          <a:xfrm>
                            <a:off x="26603" y="33158"/>
                            <a:ext cx="4240" cy="1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515D207A" w14:textId="77777777" w:rsidR="003A587C" w:rsidRPr="003E030B" w:rsidRDefault="003A587C" w:rsidP="00331FED">
                              <w:pPr>
                                <w:pStyle w:val="afffc"/>
                                <w:spacing w:before="0" w:beforeAutospacing="0" w:after="0" w:afterAutospacing="0"/>
                                <w:rPr>
                                  <w:rFonts w:ascii="Georgia" w:hAnsi="Georgia"/>
                                  <w:sz w:val="17"/>
                                  <w:szCs w:val="17"/>
                                  <w:lang w:val="ru-RU"/>
                                </w:rPr>
                              </w:pPr>
                              <w:r w:rsidRPr="003E030B">
                                <w:rPr>
                                  <w:rFonts w:ascii="Georgia" w:hAnsi="Georgia" w:cstheme="minorBidi"/>
                                  <w:color w:val="000000" w:themeColor="text1"/>
                                  <w:kern w:val="24"/>
                                  <w:sz w:val="17"/>
                                  <w:szCs w:val="17"/>
                                  <w:lang w:val="ru-RU"/>
                                </w:rPr>
                                <w:t>No</w:t>
                              </w:r>
                            </w:p>
                          </w:txbxContent>
                        </wps:txbx>
                        <wps:bodyPr rot="0" vert="horz" wrap="square" lIns="0" tIns="0" rIns="0" bIns="0" anchor="t" anchorCtr="0" upright="1">
                          <a:noAutofit/>
                        </wps:bodyPr>
                      </wps:wsp>
                      <wps:wsp>
                        <wps:cNvPr id="911" name="Textfeld 39"/>
                        <wps:cNvSpPr txBox="1">
                          <a:spLocks noChangeArrowheads="1"/>
                        </wps:cNvSpPr>
                        <wps:spPr bwMode="auto">
                          <a:xfrm>
                            <a:off x="26603" y="15761"/>
                            <a:ext cx="4240" cy="18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1917FA74" w14:textId="77777777" w:rsidR="003A587C" w:rsidRPr="003E030B" w:rsidRDefault="003A587C" w:rsidP="00331FED">
                              <w:pPr>
                                <w:pStyle w:val="afffc"/>
                                <w:spacing w:before="0" w:beforeAutospacing="0" w:after="0" w:afterAutospacing="0"/>
                                <w:rPr>
                                  <w:rFonts w:ascii="Georgia" w:hAnsi="Georgia"/>
                                  <w:sz w:val="17"/>
                                  <w:szCs w:val="17"/>
                                  <w:lang w:val="ru-RU"/>
                                </w:rPr>
                              </w:pPr>
                              <w:r w:rsidRPr="003E030B">
                                <w:rPr>
                                  <w:rFonts w:ascii="Georgia" w:hAnsi="Georgia" w:cstheme="minorBidi"/>
                                  <w:color w:val="000000" w:themeColor="text1"/>
                                  <w:kern w:val="24"/>
                                  <w:sz w:val="17"/>
                                  <w:szCs w:val="17"/>
                                  <w:lang w:val="ru-RU"/>
                                </w:rPr>
                                <w:t>Yes</w:t>
                              </w:r>
                            </w:p>
                          </w:txbxContent>
                        </wps:txbx>
                        <wps:bodyPr rot="0" vert="horz" wrap="square" lIns="0" tIns="0" rIns="0" bIns="0" anchor="t" anchorCtr="0" upright="1">
                          <a:noAutofit/>
                        </wps:bodyPr>
                      </wps:wsp>
                      <wps:wsp>
                        <wps:cNvPr id="912" name="Textfeld 40"/>
                        <wps:cNvSpPr txBox="1">
                          <a:spLocks noChangeArrowheads="1"/>
                        </wps:cNvSpPr>
                        <wps:spPr bwMode="auto">
                          <a:xfrm>
                            <a:off x="26603" y="24466"/>
                            <a:ext cx="4240" cy="1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5D2780F1" w14:textId="77777777" w:rsidR="003A587C" w:rsidRPr="003E030B" w:rsidRDefault="003A587C" w:rsidP="00331FED">
                              <w:pPr>
                                <w:pStyle w:val="afffc"/>
                                <w:spacing w:before="0" w:beforeAutospacing="0" w:after="0" w:afterAutospacing="0"/>
                                <w:rPr>
                                  <w:rFonts w:ascii="Georgia" w:hAnsi="Georgia"/>
                                  <w:sz w:val="17"/>
                                  <w:szCs w:val="17"/>
                                  <w:lang w:val="ru-RU"/>
                                </w:rPr>
                              </w:pPr>
                              <w:r w:rsidRPr="003E030B">
                                <w:rPr>
                                  <w:rFonts w:ascii="Georgia" w:hAnsi="Georgia" w:cstheme="minorBidi"/>
                                  <w:color w:val="000000" w:themeColor="text1"/>
                                  <w:kern w:val="24"/>
                                  <w:sz w:val="17"/>
                                  <w:szCs w:val="17"/>
                                  <w:lang w:val="ru-RU"/>
                                </w:rPr>
                                <w:t>Yes</w:t>
                              </w:r>
                            </w:p>
                          </w:txbxContent>
                        </wps:txbx>
                        <wps:bodyPr rot="0" vert="horz" wrap="square" lIns="0" tIns="0" rIns="0" bIns="0" anchor="t" anchorCtr="0" upright="1">
                          <a:noAutofit/>
                        </wps:bodyPr>
                      </wps:wsp>
                      <wps:wsp>
                        <wps:cNvPr id="913" name="Rechteck 7"/>
                        <wps:cNvSpPr>
                          <a:spLocks noChangeArrowheads="1"/>
                        </wps:cNvSpPr>
                        <wps:spPr bwMode="ltGray">
                          <a:xfrm>
                            <a:off x="41110" y="1"/>
                            <a:ext cx="19184" cy="5115"/>
                          </a:xfrm>
                          <a:prstGeom prst="rect">
                            <a:avLst/>
                          </a:prstGeom>
                          <a:solidFill>
                            <a:schemeClr val="accent2">
                              <a:lumMod val="100000"/>
                              <a:lumOff val="0"/>
                            </a:schemeClr>
                          </a:solidFill>
                          <a:ln w="25400">
                            <a:solidFill>
                              <a:schemeClr val="accent2">
                                <a:lumMod val="50000"/>
                                <a:lumOff val="0"/>
                              </a:schemeClr>
                            </a:solidFill>
                            <a:miter lim="800000"/>
                            <a:headEnd/>
                            <a:tailEnd/>
                          </a:ln>
                        </wps:spPr>
                        <wps:txbx>
                          <w:txbxContent>
                            <w:p w14:paraId="12D5D22B" w14:textId="77777777" w:rsidR="003A587C" w:rsidRPr="00CA5A7A" w:rsidRDefault="003A587C" w:rsidP="00331FED">
                              <w:pPr>
                                <w:pStyle w:val="afffc"/>
                                <w:spacing w:before="0" w:beforeAutospacing="0" w:after="0" w:afterAutospacing="0"/>
                                <w:jc w:val="center"/>
                                <w:rPr>
                                  <w:rFonts w:ascii="Georgia" w:hAnsi="Georgia"/>
                                  <w:sz w:val="20"/>
                                  <w:szCs w:val="20"/>
                                  <w:lang w:val="ru-RU"/>
                                </w:rPr>
                              </w:pPr>
                              <w:r w:rsidRPr="00CA5A7A">
                                <w:rPr>
                                  <w:rFonts w:ascii="Georgia" w:hAnsi="Georgia" w:cstheme="minorBidi"/>
                                  <w:kern w:val="24"/>
                                  <w:sz w:val="20"/>
                                  <w:szCs w:val="20"/>
                                  <w:lang w:val="ru-RU"/>
                                </w:rPr>
                                <w:t>Derivative financial instruments</w:t>
                              </w:r>
                            </w:p>
                          </w:txbxContent>
                        </wps:txbx>
                        <wps:bodyPr rot="0" vert="horz" wrap="square" lIns="72000" tIns="72000" rIns="72000" bIns="72000" anchor="ctr" anchorCtr="0" upright="1">
                          <a:noAutofit/>
                        </wps:bodyPr>
                      </wps:wsp>
                      <wps:wsp>
                        <wps:cNvPr id="914" name="Rechteck 8"/>
                        <wps:cNvSpPr>
                          <a:spLocks noChangeArrowheads="1"/>
                        </wps:cNvSpPr>
                        <wps:spPr bwMode="ltGray">
                          <a:xfrm>
                            <a:off x="61719" y="1"/>
                            <a:ext cx="19185" cy="5115"/>
                          </a:xfrm>
                          <a:prstGeom prst="rect">
                            <a:avLst/>
                          </a:prstGeom>
                          <a:solidFill>
                            <a:schemeClr val="accent2">
                              <a:lumMod val="100000"/>
                              <a:lumOff val="0"/>
                            </a:schemeClr>
                          </a:solidFill>
                          <a:ln w="25400">
                            <a:solidFill>
                              <a:schemeClr val="accent2">
                                <a:lumMod val="50000"/>
                                <a:lumOff val="0"/>
                              </a:schemeClr>
                            </a:solidFill>
                            <a:miter lim="800000"/>
                            <a:headEnd/>
                            <a:tailEnd/>
                          </a:ln>
                        </wps:spPr>
                        <wps:txbx>
                          <w:txbxContent>
                            <w:p w14:paraId="1EF88687" w14:textId="77777777" w:rsidR="003A587C" w:rsidRPr="00CA5A7A" w:rsidRDefault="003A587C" w:rsidP="00331FED">
                              <w:pPr>
                                <w:pStyle w:val="afffc"/>
                                <w:spacing w:before="0" w:beforeAutospacing="0" w:after="0" w:afterAutospacing="0"/>
                                <w:jc w:val="center"/>
                                <w:rPr>
                                  <w:rFonts w:ascii="Georgia" w:hAnsi="Georgia"/>
                                  <w:sz w:val="20"/>
                                  <w:szCs w:val="20"/>
                                  <w:lang w:val="ru-RU"/>
                                </w:rPr>
                              </w:pPr>
                              <w:r w:rsidRPr="00CA5A7A">
                                <w:rPr>
                                  <w:rFonts w:ascii="Georgia" w:hAnsi="Georgia" w:cstheme="minorBidi"/>
                                  <w:kern w:val="24"/>
                                  <w:sz w:val="20"/>
                                  <w:szCs w:val="20"/>
                                  <w:lang w:val="ru-RU"/>
                                </w:rPr>
                                <w:t>Equity instruments</w:t>
                              </w:r>
                            </w:p>
                          </w:txbxContent>
                        </wps:txbx>
                        <wps:bodyPr rot="0" vert="horz" wrap="square" lIns="72000" tIns="72000" rIns="72000" bIns="72000" anchor="ctr" anchorCtr="0" upright="1">
                          <a:noAutofit/>
                        </wps:bodyPr>
                      </wps:wsp>
                      <wps:wsp>
                        <wps:cNvPr id="915" name="Rechteck 10"/>
                        <wps:cNvSpPr>
                          <a:spLocks noChangeArrowheads="1"/>
                        </wps:cNvSpPr>
                        <wps:spPr bwMode="ltGray">
                          <a:xfrm>
                            <a:off x="41314" y="34991"/>
                            <a:ext cx="19209" cy="5117"/>
                          </a:xfrm>
                          <a:prstGeom prst="rect">
                            <a:avLst/>
                          </a:prstGeom>
                          <a:solidFill>
                            <a:schemeClr val="accent2">
                              <a:lumMod val="100000"/>
                              <a:lumOff val="0"/>
                            </a:schemeClr>
                          </a:solidFill>
                          <a:ln w="25400">
                            <a:solidFill>
                              <a:schemeClr val="accent2">
                                <a:lumMod val="50000"/>
                                <a:lumOff val="0"/>
                              </a:schemeClr>
                            </a:solidFill>
                            <a:miter lim="800000"/>
                            <a:headEnd/>
                            <a:tailEnd/>
                          </a:ln>
                        </wps:spPr>
                        <wps:txbx>
                          <w:txbxContent>
                            <w:p w14:paraId="2390BCEA" w14:textId="77777777" w:rsidR="003A587C" w:rsidRPr="004E2243" w:rsidRDefault="003A587C" w:rsidP="00331FED">
                              <w:pPr>
                                <w:pStyle w:val="afffc"/>
                                <w:spacing w:before="0" w:beforeAutospacing="0" w:after="0" w:afterAutospacing="0"/>
                                <w:jc w:val="center"/>
                                <w:rPr>
                                  <w:rFonts w:ascii="Georgia" w:hAnsi="Georgia"/>
                                  <w:sz w:val="20"/>
                                  <w:szCs w:val="20"/>
                                  <w:lang w:val="ru-RU"/>
                                </w:rPr>
                              </w:pPr>
                              <w:r>
                                <w:rPr>
                                  <w:rFonts w:ascii="Georgia" w:hAnsi="Georgia" w:cstheme="minorBidi"/>
                                  <w:b/>
                                  <w:bCs/>
                                  <w:i/>
                                  <w:iCs/>
                                  <w:color w:val="FFFFFF" w:themeColor="background1"/>
                                  <w:kern w:val="24"/>
                                  <w:sz w:val="20"/>
                                  <w:szCs w:val="20"/>
                                  <w:lang w:val="ru-RU"/>
                                </w:rPr>
                                <w:t>SSOPU</w:t>
                              </w:r>
                            </w:p>
                          </w:txbxContent>
                        </wps:txbx>
                        <wps:bodyPr rot="0" vert="horz" wrap="square" lIns="72000" tIns="72000" rIns="72000" bIns="72000" anchor="ctr" anchorCtr="0" upright="1">
                          <a:noAutofit/>
                        </wps:bodyPr>
                      </wps:wsp>
                      <wps:wsp>
                        <wps:cNvPr id="916" name="Rechteck 11"/>
                        <wps:cNvSpPr>
                          <a:spLocks noChangeArrowheads="1"/>
                        </wps:cNvSpPr>
                        <wps:spPr bwMode="ltGray">
                          <a:xfrm>
                            <a:off x="61718" y="34990"/>
                            <a:ext cx="19180" cy="5117"/>
                          </a:xfrm>
                          <a:prstGeom prst="rect">
                            <a:avLst/>
                          </a:prstGeom>
                          <a:solidFill>
                            <a:schemeClr val="accent2">
                              <a:lumMod val="100000"/>
                              <a:lumOff val="0"/>
                            </a:schemeClr>
                          </a:solidFill>
                          <a:ln w="25400">
                            <a:solidFill>
                              <a:schemeClr val="accent2">
                                <a:lumMod val="50000"/>
                                <a:lumOff val="0"/>
                              </a:schemeClr>
                            </a:solidFill>
                            <a:miter lim="800000"/>
                            <a:headEnd/>
                            <a:tailEnd/>
                          </a:ln>
                        </wps:spPr>
                        <wps:txbx>
                          <w:txbxContent>
                            <w:p w14:paraId="231A3C02" w14:textId="77777777" w:rsidR="003A587C" w:rsidRPr="004E2243" w:rsidRDefault="003A587C" w:rsidP="00331FED">
                              <w:pPr>
                                <w:pStyle w:val="afffc"/>
                                <w:spacing w:before="0" w:beforeAutospacing="0" w:after="0" w:afterAutospacing="0"/>
                                <w:jc w:val="center"/>
                                <w:rPr>
                                  <w:rFonts w:ascii="Georgia" w:hAnsi="Georgia"/>
                                  <w:sz w:val="20"/>
                                  <w:szCs w:val="20"/>
                                  <w:lang w:val="ru-RU"/>
                                </w:rPr>
                              </w:pPr>
                              <w:r>
                                <w:rPr>
                                  <w:rFonts w:ascii="Georgia" w:hAnsi="Georgia" w:cstheme="minorBidi"/>
                                  <w:b/>
                                  <w:bCs/>
                                  <w:i/>
                                  <w:iCs/>
                                  <w:color w:val="FFFFFF" w:themeColor="background1"/>
                                  <w:kern w:val="24"/>
                                  <w:sz w:val="20"/>
                                  <w:szCs w:val="20"/>
                                  <w:lang w:val="ru-RU"/>
                                </w:rPr>
                                <w:t>MTPAS</w:t>
                              </w:r>
                            </w:p>
                          </w:txbxContent>
                        </wps:txbx>
                        <wps:bodyPr rot="0" vert="horz" wrap="square" lIns="72000" tIns="72000" rIns="72000" bIns="72000" anchor="ctr" anchorCtr="0" upright="1">
                          <a:noAutofit/>
                        </wps:bodyPr>
                      </wps:wsp>
                      <wps:wsp>
                        <wps:cNvPr id="917" name="Rechteck 15"/>
                        <wps:cNvSpPr>
                          <a:spLocks noChangeArrowheads="1"/>
                        </wps:cNvSpPr>
                        <wps:spPr bwMode="ltGray">
                          <a:xfrm>
                            <a:off x="61712" y="26408"/>
                            <a:ext cx="19188" cy="6297"/>
                          </a:xfrm>
                          <a:prstGeom prst="rect">
                            <a:avLst/>
                          </a:prstGeom>
                          <a:solidFill>
                            <a:schemeClr val="bg1">
                              <a:lumMod val="100000"/>
                              <a:lumOff val="0"/>
                            </a:schemeClr>
                          </a:solidFill>
                          <a:ln w="25400">
                            <a:solidFill>
                              <a:schemeClr val="accent2">
                                <a:lumMod val="50000"/>
                                <a:lumOff val="0"/>
                              </a:schemeClr>
                            </a:solidFill>
                            <a:miter lim="800000"/>
                            <a:headEnd/>
                            <a:tailEnd/>
                          </a:ln>
                        </wps:spPr>
                        <wps:txbx>
                          <w:txbxContent>
                            <w:p w14:paraId="0FF4C116" w14:textId="4E534EEB" w:rsidR="003A587C" w:rsidRPr="00F865FB" w:rsidRDefault="003A587C" w:rsidP="00331FED">
                              <w:pPr>
                                <w:pStyle w:val="afffc"/>
                                <w:spacing w:before="0" w:beforeAutospacing="0" w:after="0" w:afterAutospacing="0"/>
                                <w:jc w:val="center"/>
                                <w:rPr>
                                  <w:rFonts w:ascii="Georgia" w:hAnsi="Georgia"/>
                                  <w:sz w:val="16"/>
                                  <w:szCs w:val="16"/>
                                  <w:lang w:val="ru-RU"/>
                                </w:rPr>
                              </w:pPr>
                              <w:r w:rsidRPr="007D770B">
                                <w:rPr>
                                  <w:rFonts w:ascii="Georgia" w:hAnsi="Georgia" w:cstheme="minorBidi"/>
                                  <w:kern w:val="24"/>
                                  <w:sz w:val="16"/>
                                  <w:szCs w:val="16"/>
                                </w:rPr>
                                <w:t xml:space="preserve">Is the option to account for the instrument at fair value through other comprehensive income utilized? </w:t>
                              </w:r>
                              <w:r>
                                <w:rPr>
                                  <w:rFonts w:ascii="Georgia" w:hAnsi="Georgia" w:cstheme="minorBidi"/>
                                  <w:kern w:val="24"/>
                                  <w:sz w:val="16"/>
                                  <w:szCs w:val="16"/>
                                  <w:lang w:val="ru-RU"/>
                                </w:rPr>
                                <w:t>**</w:t>
                              </w:r>
                            </w:p>
                          </w:txbxContent>
                        </wps:txbx>
                        <wps:bodyPr rot="0" vert="horz" wrap="square" lIns="36000" tIns="0" rIns="36000" bIns="0" anchor="ctr" anchorCtr="0" upright="1">
                          <a:noAutofit/>
                        </wps:bodyPr>
                      </wps:wsp>
                      <wps:wsp>
                        <wps:cNvPr id="918" name="Gerade Verbindung mit Pfeil 19"/>
                        <wps:cNvCnPr>
                          <a:cxnSpLocks noChangeShapeType="1"/>
                        </wps:cNvCnPr>
                        <wps:spPr bwMode="auto">
                          <a:xfrm>
                            <a:off x="9603" y="5116"/>
                            <a:ext cx="0" cy="2468"/>
                          </a:xfrm>
                          <a:prstGeom prst="straightConnector1">
                            <a:avLst/>
                          </a:prstGeom>
                          <a:noFill/>
                          <a:ln w="25400">
                            <a:solidFill>
                              <a:schemeClr val="accent2">
                                <a:lumMod val="50000"/>
                                <a:lumOff val="0"/>
                              </a:schemeClr>
                            </a:solidFill>
                            <a:round/>
                            <a:headEnd/>
                            <a:tailEnd type="triangle" w="med" len="med"/>
                          </a:ln>
                        </wps:spPr>
                        <wps:bodyPr/>
                      </wps:wsp>
                      <wps:wsp>
                        <wps:cNvPr id="964" name="Gerade Verbindung mit Pfeil 20"/>
                        <wps:cNvCnPr>
                          <a:cxnSpLocks noChangeShapeType="1"/>
                        </wps:cNvCnPr>
                        <wps:spPr bwMode="auto">
                          <a:xfrm>
                            <a:off x="9603" y="23970"/>
                            <a:ext cx="0" cy="2442"/>
                          </a:xfrm>
                          <a:prstGeom prst="straightConnector1">
                            <a:avLst/>
                          </a:prstGeom>
                          <a:noFill/>
                          <a:ln w="25400">
                            <a:solidFill>
                              <a:schemeClr val="accent2">
                                <a:lumMod val="50000"/>
                                <a:lumOff val="0"/>
                              </a:schemeClr>
                            </a:solidFill>
                            <a:round/>
                            <a:headEnd/>
                            <a:tailEnd type="triangle" w="med" len="med"/>
                          </a:ln>
                        </wps:spPr>
                        <wps:bodyPr/>
                      </wps:wsp>
                      <wps:wsp>
                        <wps:cNvPr id="965" name="Gerade Verbindung mit Pfeil 22"/>
                        <wps:cNvCnPr>
                          <a:cxnSpLocks noChangeShapeType="1"/>
                        </wps:cNvCnPr>
                        <wps:spPr bwMode="auto">
                          <a:xfrm>
                            <a:off x="30173" y="15326"/>
                            <a:ext cx="2" cy="2374"/>
                          </a:xfrm>
                          <a:prstGeom prst="straightConnector1">
                            <a:avLst/>
                          </a:prstGeom>
                          <a:noFill/>
                          <a:ln w="25400">
                            <a:solidFill>
                              <a:schemeClr val="accent2">
                                <a:lumMod val="50000"/>
                                <a:lumOff val="0"/>
                              </a:schemeClr>
                            </a:solidFill>
                            <a:round/>
                            <a:headEnd/>
                            <a:tailEnd type="triangle" w="med" len="med"/>
                          </a:ln>
                        </wps:spPr>
                        <wps:bodyPr/>
                      </wps:wsp>
                      <wps:wsp>
                        <wps:cNvPr id="966" name="Gerade Verbindung mit Pfeil 23"/>
                        <wps:cNvCnPr>
                          <a:cxnSpLocks noChangeShapeType="1"/>
                        </wps:cNvCnPr>
                        <wps:spPr bwMode="auto">
                          <a:xfrm>
                            <a:off x="30175" y="23970"/>
                            <a:ext cx="0" cy="2442"/>
                          </a:xfrm>
                          <a:prstGeom prst="straightConnector1">
                            <a:avLst/>
                          </a:prstGeom>
                          <a:noFill/>
                          <a:ln w="25400">
                            <a:solidFill>
                              <a:schemeClr val="accent2">
                                <a:lumMod val="50000"/>
                                <a:lumOff val="0"/>
                              </a:schemeClr>
                            </a:solidFill>
                            <a:round/>
                            <a:headEnd/>
                            <a:tailEnd type="triangle" w="med" len="med"/>
                          </a:ln>
                        </wps:spPr>
                        <wps:bodyPr/>
                      </wps:wsp>
                      <wps:wsp>
                        <wps:cNvPr id="967" name="Gerade Verbindung mit Pfeil 25"/>
                        <wps:cNvCnPr>
                          <a:cxnSpLocks noChangeShapeType="1"/>
                          <a:stCxn id="983" idx="2"/>
                          <a:endCxn id="917" idx="0"/>
                        </wps:cNvCnPr>
                        <wps:spPr bwMode="auto">
                          <a:xfrm flipH="1">
                            <a:off x="71306" y="15326"/>
                            <a:ext cx="3" cy="11082"/>
                          </a:xfrm>
                          <a:prstGeom prst="straightConnector1">
                            <a:avLst/>
                          </a:prstGeom>
                          <a:noFill/>
                          <a:ln w="25400">
                            <a:solidFill>
                              <a:schemeClr val="accent2">
                                <a:lumMod val="50000"/>
                                <a:lumOff val="0"/>
                              </a:schemeClr>
                            </a:solidFill>
                            <a:round/>
                            <a:headEnd/>
                            <a:tailEnd type="triangle" w="med" len="med"/>
                          </a:ln>
                        </wps:spPr>
                        <wps:bodyPr/>
                      </wps:wsp>
                      <wps:wsp>
                        <wps:cNvPr id="968" name="Gerade Verbindung mit Pfeil 26"/>
                        <wps:cNvCnPr>
                          <a:cxnSpLocks noChangeShapeType="1"/>
                          <a:stCxn id="917" idx="2"/>
                          <a:endCxn id="916" idx="0"/>
                        </wps:cNvCnPr>
                        <wps:spPr bwMode="auto">
                          <a:xfrm>
                            <a:off x="71306" y="32705"/>
                            <a:ext cx="2" cy="2285"/>
                          </a:xfrm>
                          <a:prstGeom prst="straightConnector1">
                            <a:avLst/>
                          </a:prstGeom>
                          <a:noFill/>
                          <a:ln w="25400">
                            <a:solidFill>
                              <a:schemeClr val="accent2">
                                <a:lumMod val="50000"/>
                                <a:lumOff val="0"/>
                              </a:schemeClr>
                            </a:solidFill>
                            <a:round/>
                            <a:headEnd/>
                            <a:tailEnd type="triangle" w="med" len="med"/>
                          </a:ln>
                        </wps:spPr>
                        <wps:bodyPr/>
                      </wps:wsp>
                      <wps:wsp>
                        <wps:cNvPr id="969" name="Gerade Verbindung mit Pfeil 27"/>
                        <wps:cNvCnPr>
                          <a:cxnSpLocks noChangeShapeType="1"/>
                          <a:stCxn id="913" idx="2"/>
                          <a:endCxn id="915" idx="0"/>
                        </wps:cNvCnPr>
                        <wps:spPr bwMode="auto">
                          <a:xfrm>
                            <a:off x="50702" y="5116"/>
                            <a:ext cx="217" cy="29875"/>
                          </a:xfrm>
                          <a:prstGeom prst="straightConnector1">
                            <a:avLst/>
                          </a:prstGeom>
                          <a:noFill/>
                          <a:ln w="25400">
                            <a:solidFill>
                              <a:schemeClr val="accent2">
                                <a:lumMod val="50000"/>
                                <a:lumOff val="0"/>
                              </a:schemeClr>
                            </a:solidFill>
                            <a:round/>
                            <a:headEnd/>
                            <a:tailEnd type="triangle" w="med" len="med"/>
                          </a:ln>
                        </wps:spPr>
                        <wps:bodyPr/>
                      </wps:wsp>
                      <wps:wsp>
                        <wps:cNvPr id="970" name="Gewinkelte Verbindung 29"/>
                        <wps:cNvCnPr>
                          <a:cxnSpLocks noChangeShapeType="1"/>
                          <a:stCxn id="982" idx="3"/>
                        </wps:cNvCnPr>
                        <wps:spPr bwMode="auto">
                          <a:xfrm>
                            <a:off x="18248" y="11454"/>
                            <a:ext cx="30846" cy="23550"/>
                          </a:xfrm>
                          <a:prstGeom prst="bentConnector2">
                            <a:avLst/>
                          </a:prstGeom>
                          <a:noFill/>
                          <a:ln w="25400">
                            <a:solidFill>
                              <a:schemeClr val="accent2">
                                <a:lumMod val="50000"/>
                                <a:lumOff val="0"/>
                              </a:schemeClr>
                            </a:solidFill>
                            <a:miter lim="800000"/>
                            <a:headEnd/>
                            <a:tailEnd type="triangle" w="med" len="med"/>
                          </a:ln>
                        </wps:spPr>
                        <wps:bodyPr/>
                      </wps:wsp>
                      <wps:wsp>
                        <wps:cNvPr id="971" name="Gewinkelte Verbindung 30"/>
                        <wps:cNvCnPr>
                          <a:cxnSpLocks noChangeShapeType="1"/>
                          <a:stCxn id="905" idx="3"/>
                        </wps:cNvCnPr>
                        <wps:spPr bwMode="auto">
                          <a:xfrm>
                            <a:off x="39839" y="20849"/>
                            <a:ext cx="7456" cy="14155"/>
                          </a:xfrm>
                          <a:prstGeom prst="bentConnector2">
                            <a:avLst/>
                          </a:prstGeom>
                          <a:noFill/>
                          <a:ln w="25400">
                            <a:solidFill>
                              <a:schemeClr val="accent2">
                                <a:lumMod val="50000"/>
                                <a:lumOff val="0"/>
                              </a:schemeClr>
                            </a:solidFill>
                            <a:miter lim="800000"/>
                            <a:headEnd/>
                            <a:tailEnd type="triangle" w="med" len="med"/>
                          </a:ln>
                        </wps:spPr>
                        <wps:bodyPr/>
                      </wps:wsp>
                      <wps:wsp>
                        <wps:cNvPr id="972" name="Gewinkelte Verbindung 31"/>
                        <wps:cNvCnPr>
                          <a:cxnSpLocks noChangeShapeType="1"/>
                          <a:stCxn id="906" idx="3"/>
                        </wps:cNvCnPr>
                        <wps:spPr bwMode="auto">
                          <a:xfrm>
                            <a:off x="39839" y="29557"/>
                            <a:ext cx="5932" cy="5447"/>
                          </a:xfrm>
                          <a:prstGeom prst="bentConnector2">
                            <a:avLst/>
                          </a:prstGeom>
                          <a:noFill/>
                          <a:ln w="25400">
                            <a:solidFill>
                              <a:schemeClr val="accent2">
                                <a:lumMod val="50000"/>
                                <a:lumOff val="0"/>
                              </a:schemeClr>
                            </a:solidFill>
                            <a:miter lim="800000"/>
                            <a:headEnd/>
                            <a:tailEnd type="triangle" w="med" len="med"/>
                          </a:ln>
                        </wps:spPr>
                        <wps:bodyPr/>
                      </wps:wsp>
                      <wps:wsp>
                        <wps:cNvPr id="973" name="Gewinkelte Verbindung 32"/>
                        <wps:cNvCnPr>
                          <a:cxnSpLocks noChangeShapeType="1"/>
                          <a:stCxn id="983" idx="1"/>
                        </wps:cNvCnPr>
                        <wps:spPr bwMode="auto">
                          <a:xfrm rot="10800000" flipV="1">
                            <a:off x="52452" y="11454"/>
                            <a:ext cx="9262" cy="23550"/>
                          </a:xfrm>
                          <a:prstGeom prst="bentConnector2">
                            <a:avLst/>
                          </a:prstGeom>
                          <a:noFill/>
                          <a:ln w="25400">
                            <a:solidFill>
                              <a:schemeClr val="accent2">
                                <a:lumMod val="50000"/>
                                <a:lumOff val="0"/>
                              </a:schemeClr>
                            </a:solidFill>
                            <a:miter lim="800000"/>
                            <a:headEnd/>
                            <a:tailEnd type="triangle" w="med" len="med"/>
                          </a:ln>
                        </wps:spPr>
                        <wps:bodyPr/>
                      </wps:wsp>
                      <wps:wsp>
                        <wps:cNvPr id="974" name="Gewinkelte Verbindung 33"/>
                        <wps:cNvCnPr>
                          <a:cxnSpLocks noChangeShapeType="1"/>
                          <a:stCxn id="917" idx="1"/>
                        </wps:cNvCnPr>
                        <wps:spPr bwMode="auto">
                          <a:xfrm rot="10800000" flipV="1">
                            <a:off x="53972" y="29557"/>
                            <a:ext cx="7740" cy="5446"/>
                          </a:xfrm>
                          <a:prstGeom prst="bentConnector2">
                            <a:avLst/>
                          </a:prstGeom>
                          <a:noFill/>
                          <a:ln w="25400">
                            <a:solidFill>
                              <a:schemeClr val="accent2">
                                <a:lumMod val="50000"/>
                                <a:lumOff val="0"/>
                              </a:schemeClr>
                            </a:solidFill>
                            <a:miter lim="800000"/>
                            <a:headEnd/>
                            <a:tailEnd type="triangle" w="med" len="med"/>
                          </a:ln>
                        </wps:spPr>
                        <wps:bodyPr/>
                      </wps:wsp>
                      <wps:wsp>
                        <wps:cNvPr id="975" name="Gerade Verbindung mit Pfeil 42"/>
                        <wps:cNvCnPr>
                          <a:cxnSpLocks noChangeShapeType="1"/>
                        </wps:cNvCnPr>
                        <wps:spPr bwMode="auto">
                          <a:xfrm>
                            <a:off x="9603" y="14394"/>
                            <a:ext cx="0" cy="3464"/>
                          </a:xfrm>
                          <a:prstGeom prst="straightConnector1">
                            <a:avLst/>
                          </a:prstGeom>
                          <a:noFill/>
                          <a:ln w="25400">
                            <a:solidFill>
                              <a:schemeClr val="accent2">
                                <a:lumMod val="50000"/>
                                <a:lumOff val="0"/>
                              </a:schemeClr>
                            </a:solidFill>
                            <a:round/>
                            <a:headEnd/>
                            <a:tailEnd type="triangle" w="med" len="med"/>
                          </a:ln>
                        </wps:spPr>
                        <wps:bodyPr/>
                      </wps:wsp>
                      <wps:wsp>
                        <wps:cNvPr id="976" name="Textfeld 43"/>
                        <wps:cNvSpPr txBox="1">
                          <a:spLocks noChangeArrowheads="1"/>
                        </wps:cNvSpPr>
                        <wps:spPr bwMode="auto">
                          <a:xfrm>
                            <a:off x="40725" y="9850"/>
                            <a:ext cx="4004" cy="1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06D5EBC3" w14:textId="77777777" w:rsidR="003A587C" w:rsidRPr="003E030B" w:rsidRDefault="003A587C" w:rsidP="00331FED">
                              <w:pPr>
                                <w:pStyle w:val="afffc"/>
                                <w:spacing w:before="0" w:beforeAutospacing="0" w:after="0" w:afterAutospacing="0"/>
                                <w:rPr>
                                  <w:rFonts w:ascii="Georgia" w:hAnsi="Georgia"/>
                                  <w:sz w:val="17"/>
                                  <w:szCs w:val="17"/>
                                  <w:lang w:val="ru-RU"/>
                                </w:rPr>
                              </w:pPr>
                              <w:r w:rsidRPr="003E030B">
                                <w:rPr>
                                  <w:rFonts w:ascii="Georgia" w:hAnsi="Georgia" w:cstheme="minorBidi"/>
                                  <w:color w:val="000000" w:themeColor="text1"/>
                                  <w:kern w:val="24"/>
                                  <w:sz w:val="17"/>
                                  <w:szCs w:val="17"/>
                                  <w:lang w:val="ru-RU"/>
                                </w:rPr>
                                <w:t>No</w:t>
                              </w:r>
                            </w:p>
                          </w:txbxContent>
                        </wps:txbx>
                        <wps:bodyPr rot="0" vert="horz" wrap="square" lIns="0" tIns="0" rIns="0" bIns="0" anchor="t" anchorCtr="0" upright="1">
                          <a:noAutofit/>
                        </wps:bodyPr>
                      </wps:wsp>
                      <wps:wsp>
                        <wps:cNvPr id="977" name="Textfeld 44"/>
                        <wps:cNvSpPr txBox="1">
                          <a:spLocks noChangeArrowheads="1"/>
                        </wps:cNvSpPr>
                        <wps:spPr bwMode="auto">
                          <a:xfrm>
                            <a:off x="40725" y="19328"/>
                            <a:ext cx="4004" cy="1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55D2BCF3" w14:textId="77777777" w:rsidR="003A587C" w:rsidRPr="003E030B" w:rsidRDefault="003A587C" w:rsidP="00331FED">
                              <w:pPr>
                                <w:pStyle w:val="afffc"/>
                                <w:spacing w:before="0" w:beforeAutospacing="0" w:after="0" w:afterAutospacing="0"/>
                                <w:rPr>
                                  <w:rFonts w:ascii="Georgia" w:hAnsi="Georgia"/>
                                  <w:sz w:val="17"/>
                                  <w:szCs w:val="17"/>
                                  <w:lang w:val="ru-RU"/>
                                </w:rPr>
                              </w:pPr>
                              <w:r w:rsidRPr="003E030B">
                                <w:rPr>
                                  <w:rFonts w:ascii="Georgia" w:hAnsi="Georgia" w:cstheme="minorBidi"/>
                                  <w:color w:val="000000" w:themeColor="text1"/>
                                  <w:kern w:val="24"/>
                                  <w:sz w:val="17"/>
                                  <w:szCs w:val="17"/>
                                  <w:lang w:val="ru-RU"/>
                                </w:rPr>
                                <w:t>No</w:t>
                              </w:r>
                            </w:p>
                          </w:txbxContent>
                        </wps:txbx>
                        <wps:bodyPr rot="0" vert="horz" wrap="square" lIns="0" tIns="0" rIns="0" bIns="0" anchor="t" anchorCtr="0" upright="1">
                          <a:noAutofit/>
                        </wps:bodyPr>
                      </wps:wsp>
                      <wps:wsp>
                        <wps:cNvPr id="978" name="Textfeld 45"/>
                        <wps:cNvSpPr txBox="1">
                          <a:spLocks noChangeArrowheads="1"/>
                        </wps:cNvSpPr>
                        <wps:spPr bwMode="auto">
                          <a:xfrm>
                            <a:off x="40725" y="27780"/>
                            <a:ext cx="4004" cy="1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05EF107B" w14:textId="77777777" w:rsidR="003A587C" w:rsidRPr="002F0AEC" w:rsidRDefault="003A587C" w:rsidP="00331FED">
                              <w:pPr>
                                <w:pStyle w:val="afffc"/>
                                <w:spacing w:before="0" w:beforeAutospacing="0" w:after="0" w:afterAutospacing="0"/>
                                <w:rPr>
                                  <w:rFonts w:ascii="Georgia" w:hAnsi="Georgia"/>
                                  <w:sz w:val="17"/>
                                  <w:szCs w:val="17"/>
                                </w:rPr>
                              </w:pPr>
                              <w:r w:rsidRPr="003E030B">
                                <w:rPr>
                                  <w:rFonts w:ascii="Georgia" w:hAnsi="Georgia" w:cstheme="minorBidi"/>
                                  <w:color w:val="000000" w:themeColor="text1"/>
                                  <w:kern w:val="24"/>
                                  <w:sz w:val="17"/>
                                  <w:szCs w:val="17"/>
                                  <w:lang w:val="ru-RU"/>
                                </w:rPr>
                                <w:t>Yes</w:t>
                              </w:r>
                            </w:p>
                          </w:txbxContent>
                        </wps:txbx>
                        <wps:bodyPr rot="0" vert="horz" wrap="square" lIns="0" tIns="0" rIns="0" bIns="0" anchor="t" anchorCtr="0" upright="1">
                          <a:noAutofit/>
                        </wps:bodyPr>
                      </wps:wsp>
                      <wps:wsp>
                        <wps:cNvPr id="979" name="Textfeld 46"/>
                        <wps:cNvSpPr txBox="1">
                          <a:spLocks noChangeArrowheads="1"/>
                        </wps:cNvSpPr>
                        <wps:spPr bwMode="auto">
                          <a:xfrm>
                            <a:off x="56719" y="27780"/>
                            <a:ext cx="4003" cy="1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2D19F33F" w14:textId="77777777" w:rsidR="003A587C" w:rsidRPr="003E030B" w:rsidRDefault="003A587C" w:rsidP="00331FED">
                              <w:pPr>
                                <w:pStyle w:val="afffc"/>
                                <w:spacing w:before="0" w:beforeAutospacing="0" w:after="0" w:afterAutospacing="0"/>
                                <w:rPr>
                                  <w:rFonts w:ascii="Georgia" w:hAnsi="Georgia"/>
                                  <w:sz w:val="17"/>
                                  <w:szCs w:val="17"/>
                                  <w:lang w:val="ru-RU"/>
                                </w:rPr>
                              </w:pPr>
                              <w:r w:rsidRPr="003E030B">
                                <w:rPr>
                                  <w:rFonts w:ascii="Georgia" w:hAnsi="Georgia" w:cstheme="minorBidi"/>
                                  <w:color w:val="000000" w:themeColor="text1"/>
                                  <w:kern w:val="24"/>
                                  <w:sz w:val="17"/>
                                  <w:szCs w:val="17"/>
                                  <w:lang w:val="ru-RU"/>
                                </w:rPr>
                                <w:t>No</w:t>
                              </w:r>
                            </w:p>
                          </w:txbxContent>
                        </wps:txbx>
                        <wps:bodyPr rot="0" vert="horz" wrap="square" lIns="0" tIns="0" rIns="0" bIns="0" anchor="t" anchorCtr="0" upright="1">
                          <a:noAutofit/>
                        </wps:bodyPr>
                      </wps:wsp>
                      <wps:wsp>
                        <wps:cNvPr id="980" name="Textfeld 47"/>
                        <wps:cNvSpPr txBox="1">
                          <a:spLocks noChangeArrowheads="1"/>
                        </wps:cNvSpPr>
                        <wps:spPr bwMode="auto">
                          <a:xfrm>
                            <a:off x="56940" y="9850"/>
                            <a:ext cx="4003" cy="1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1F94434A" w14:textId="77777777" w:rsidR="003A587C" w:rsidRPr="003E030B" w:rsidRDefault="003A587C" w:rsidP="00331FED">
                              <w:pPr>
                                <w:pStyle w:val="afffc"/>
                                <w:spacing w:before="0" w:beforeAutospacing="0" w:after="0" w:afterAutospacing="0"/>
                                <w:rPr>
                                  <w:rFonts w:ascii="Georgia" w:hAnsi="Georgia"/>
                                  <w:sz w:val="17"/>
                                  <w:szCs w:val="17"/>
                                  <w:lang w:val="ru-RU"/>
                                </w:rPr>
                              </w:pPr>
                              <w:r w:rsidRPr="003E030B">
                                <w:rPr>
                                  <w:rFonts w:ascii="Georgia" w:hAnsi="Georgia" w:cstheme="minorBidi"/>
                                  <w:color w:val="000000" w:themeColor="text1"/>
                                  <w:kern w:val="24"/>
                                  <w:sz w:val="17"/>
                                  <w:szCs w:val="17"/>
                                  <w:lang w:val="ru-RU"/>
                                </w:rPr>
                                <w:t>Yes</w:t>
                              </w:r>
                            </w:p>
                          </w:txbxContent>
                        </wps:txbx>
                        <wps:bodyPr rot="0" vert="horz" wrap="square" lIns="0" tIns="0" rIns="0" bIns="0" anchor="t" anchorCtr="0" upright="1">
                          <a:noAutofit/>
                        </wps:bodyPr>
                      </wps:wsp>
                      <wps:wsp>
                        <wps:cNvPr id="981" name="Textfeld 49"/>
                        <wps:cNvSpPr txBox="1">
                          <a:spLocks noChangeArrowheads="1"/>
                        </wps:cNvSpPr>
                        <wps:spPr bwMode="auto">
                          <a:xfrm>
                            <a:off x="67226" y="21175"/>
                            <a:ext cx="3337" cy="1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39A02C53" w14:textId="77777777" w:rsidR="003A587C" w:rsidRPr="003E030B" w:rsidRDefault="003A587C" w:rsidP="00331FED">
                              <w:pPr>
                                <w:pStyle w:val="afffc"/>
                                <w:spacing w:before="0" w:beforeAutospacing="0" w:after="0" w:afterAutospacing="0"/>
                                <w:rPr>
                                  <w:rFonts w:ascii="Georgia" w:hAnsi="Georgia"/>
                                  <w:sz w:val="17"/>
                                  <w:szCs w:val="17"/>
                                  <w:lang w:val="ru-RU"/>
                                </w:rPr>
                              </w:pPr>
                              <w:r w:rsidRPr="003E030B">
                                <w:rPr>
                                  <w:rFonts w:ascii="Georgia" w:hAnsi="Georgia" w:cstheme="minorBidi"/>
                                  <w:color w:val="000000" w:themeColor="text1"/>
                                  <w:kern w:val="24"/>
                                  <w:sz w:val="17"/>
                                  <w:szCs w:val="17"/>
                                  <w:lang w:val="ru-RU"/>
                                </w:rPr>
                                <w:t>No</w:t>
                              </w:r>
                            </w:p>
                          </w:txbxContent>
                        </wps:txbx>
                        <wps:bodyPr rot="0" vert="horz" wrap="square" lIns="0" tIns="0" rIns="0" bIns="0" anchor="t" anchorCtr="0" upright="1">
                          <a:noAutofit/>
                        </wps:bodyPr>
                      </wps:wsp>
                      <wps:wsp>
                        <wps:cNvPr id="982" name="Rechteck 16"/>
                        <wps:cNvSpPr>
                          <a:spLocks noChangeArrowheads="1"/>
                        </wps:cNvSpPr>
                        <wps:spPr bwMode="ltGray">
                          <a:xfrm>
                            <a:off x="0" y="7582"/>
                            <a:ext cx="18249" cy="7745"/>
                          </a:xfrm>
                          <a:prstGeom prst="rect">
                            <a:avLst/>
                          </a:prstGeom>
                          <a:solidFill>
                            <a:schemeClr val="bg1">
                              <a:lumMod val="100000"/>
                              <a:lumOff val="0"/>
                            </a:schemeClr>
                          </a:solidFill>
                          <a:ln w="25400">
                            <a:solidFill>
                              <a:schemeClr val="accent2">
                                <a:lumMod val="50000"/>
                                <a:lumOff val="0"/>
                              </a:schemeClr>
                            </a:solidFill>
                            <a:miter lim="800000"/>
                            <a:headEnd/>
                            <a:tailEnd/>
                          </a:ln>
                        </wps:spPr>
                        <wps:txbx>
                          <w:txbxContent>
                            <w:p w14:paraId="08B044DA" w14:textId="77777777" w:rsidR="003A587C" w:rsidRPr="007D770B" w:rsidRDefault="003A587C" w:rsidP="00331FED">
                              <w:pPr>
                                <w:pStyle w:val="afffc"/>
                                <w:spacing w:before="0" w:beforeAutospacing="0" w:after="0" w:afterAutospacing="0"/>
                                <w:jc w:val="center"/>
                                <w:rPr>
                                  <w:rFonts w:ascii="Georgia" w:hAnsi="Georgia"/>
                                  <w:sz w:val="16"/>
                                  <w:szCs w:val="16"/>
                                </w:rPr>
                              </w:pPr>
                              <w:r w:rsidRPr="007D770B">
                                <w:rPr>
                                  <w:rFonts w:ascii="Georgia" w:hAnsi="Georgia" w:cstheme="minorBidi"/>
                                  <w:kern w:val="24"/>
                                  <w:sz w:val="16"/>
                                  <w:szCs w:val="16"/>
                                </w:rPr>
                                <w:t xml:space="preserve">Is the primary objective of the Bank's business model to hold the financial asset to generate cash flows? </w:t>
                              </w:r>
                            </w:p>
                          </w:txbxContent>
                        </wps:txbx>
                        <wps:bodyPr rot="0" vert="horz" wrap="square" lIns="36000" tIns="0" rIns="36000" bIns="0" anchor="ctr" anchorCtr="0" upright="1">
                          <a:noAutofit/>
                        </wps:bodyPr>
                      </wps:wsp>
                      <wps:wsp>
                        <wps:cNvPr id="983" name="Rechteck 14"/>
                        <wps:cNvSpPr>
                          <a:spLocks noChangeArrowheads="1"/>
                        </wps:cNvSpPr>
                        <wps:spPr bwMode="ltGray">
                          <a:xfrm>
                            <a:off x="61717" y="7582"/>
                            <a:ext cx="19184" cy="7744"/>
                          </a:xfrm>
                          <a:prstGeom prst="rect">
                            <a:avLst/>
                          </a:prstGeom>
                          <a:solidFill>
                            <a:schemeClr val="bg1">
                              <a:lumMod val="100000"/>
                              <a:lumOff val="0"/>
                            </a:schemeClr>
                          </a:solidFill>
                          <a:ln w="25400">
                            <a:solidFill>
                              <a:schemeClr val="accent2">
                                <a:lumMod val="50000"/>
                                <a:lumOff val="0"/>
                              </a:schemeClr>
                            </a:solidFill>
                            <a:miter lim="800000"/>
                            <a:headEnd/>
                            <a:tailEnd/>
                          </a:ln>
                        </wps:spPr>
                        <wps:txbx>
                          <w:txbxContent>
                            <w:p w14:paraId="68CA2FA9" w14:textId="77777777" w:rsidR="003A587C" w:rsidRPr="00F865FB" w:rsidRDefault="003A587C" w:rsidP="00331FED">
                              <w:pPr>
                                <w:pStyle w:val="afffc"/>
                                <w:spacing w:before="0" w:beforeAutospacing="0" w:after="0" w:afterAutospacing="0"/>
                                <w:jc w:val="center"/>
                                <w:rPr>
                                  <w:rFonts w:ascii="Georgia" w:hAnsi="Georgia"/>
                                  <w:sz w:val="16"/>
                                  <w:szCs w:val="16"/>
                                  <w:lang w:val="ru-RU"/>
                                </w:rPr>
                              </w:pPr>
                              <w:r w:rsidRPr="00F865FB">
                                <w:rPr>
                                  <w:rFonts w:ascii="Georgia" w:hAnsi="Georgia" w:cstheme="minorBidi"/>
                                  <w:kern w:val="24"/>
                                  <w:sz w:val="16"/>
                                  <w:szCs w:val="16"/>
                                  <w:lang w:val="ru-RU"/>
                                </w:rPr>
                                <w:t>For trading</w:t>
                              </w:r>
                              <w:r>
                                <w:rPr>
                                  <w:rFonts w:ascii="Georgia" w:hAnsi="Georgia" w:cstheme="minorBidi"/>
                                  <w:kern w:val="24"/>
                                  <w:sz w:val="16"/>
                                  <w:szCs w:val="16"/>
                                  <w:lang w:val="ru-RU"/>
                                </w:rPr>
                                <w:t>?</w:t>
                              </w:r>
                            </w:p>
                          </w:txbxContent>
                        </wps:txbx>
                        <wps:bodyPr rot="0" vert="horz" wrap="square" lIns="36000" tIns="0" rIns="36000" bIns="0" anchor="ctr" anchorCtr="0" upright="1">
                          <a:noAutofit/>
                        </wps:bodyPr>
                      </wps:wsp>
                      <wps:wsp>
                        <wps:cNvPr id="984" name="Textfeld 38"/>
                        <wps:cNvSpPr txBox="1">
                          <a:spLocks noChangeArrowheads="1"/>
                        </wps:cNvSpPr>
                        <wps:spPr bwMode="auto">
                          <a:xfrm>
                            <a:off x="67225" y="33158"/>
                            <a:ext cx="3336" cy="1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42B1A5D3" w14:textId="77777777" w:rsidR="003A587C" w:rsidRPr="003E030B" w:rsidRDefault="003A587C" w:rsidP="00331FED">
                              <w:pPr>
                                <w:pStyle w:val="afffc"/>
                                <w:spacing w:before="0" w:beforeAutospacing="0" w:after="0" w:afterAutospacing="0"/>
                                <w:rPr>
                                  <w:rFonts w:ascii="Georgia" w:hAnsi="Georgia"/>
                                  <w:sz w:val="17"/>
                                  <w:szCs w:val="17"/>
                                  <w:lang w:val="ru-RU"/>
                                </w:rPr>
                              </w:pPr>
                              <w:r>
                                <w:rPr>
                                  <w:rFonts w:ascii="Georgia" w:hAnsi="Georgia" w:cstheme="minorBidi"/>
                                  <w:color w:val="000000" w:themeColor="text1"/>
                                  <w:kern w:val="24"/>
                                  <w:sz w:val="17"/>
                                  <w:szCs w:val="17"/>
                                  <w:lang w:val="ru-RU"/>
                                </w:rPr>
                                <w:t>Yes</w:t>
                              </w:r>
                            </w:p>
                          </w:txbxContent>
                        </wps:txbx>
                        <wps:bodyPr rot="0" vert="horz" wrap="square" lIns="0" tIns="0" rIns="0" bIns="0" anchor="t" anchorCtr="0" upright="1">
                          <a:noAutofit/>
                        </wps:bodyPr>
                      </wps:wsp>
                      <wps:wsp>
                        <wps:cNvPr id="985" name="Rechteck 34"/>
                        <wps:cNvSpPr>
                          <a:spLocks noChangeArrowheads="1"/>
                        </wps:cNvSpPr>
                        <wps:spPr bwMode="ltGray">
                          <a:xfrm>
                            <a:off x="21917" y="7582"/>
                            <a:ext cx="17922" cy="7745"/>
                          </a:xfrm>
                          <a:prstGeom prst="rect">
                            <a:avLst/>
                          </a:prstGeom>
                          <a:solidFill>
                            <a:schemeClr val="bg1">
                              <a:lumMod val="100000"/>
                              <a:lumOff val="0"/>
                            </a:schemeClr>
                          </a:solidFill>
                          <a:ln w="25400">
                            <a:solidFill>
                              <a:schemeClr val="accent2">
                                <a:lumMod val="50000"/>
                                <a:lumOff val="0"/>
                              </a:schemeClr>
                            </a:solidFill>
                            <a:miter lim="800000"/>
                            <a:headEnd/>
                            <a:tailEnd/>
                          </a:ln>
                        </wps:spPr>
                        <wps:txbx>
                          <w:txbxContent>
                            <w:p w14:paraId="35AD3E10" w14:textId="77777777" w:rsidR="003A587C" w:rsidRPr="007D770B" w:rsidRDefault="003A587C" w:rsidP="00331FED">
                              <w:pPr>
                                <w:pStyle w:val="afffc"/>
                                <w:spacing w:before="0" w:beforeAutospacing="0" w:after="0" w:afterAutospacing="0"/>
                                <w:jc w:val="center"/>
                                <w:rPr>
                                  <w:rFonts w:ascii="Georgia" w:hAnsi="Georgia"/>
                                  <w:sz w:val="16"/>
                                  <w:szCs w:val="16"/>
                                </w:rPr>
                              </w:pPr>
                              <w:r w:rsidRPr="007D770B">
                                <w:rPr>
                                  <w:rFonts w:ascii="Georgia" w:hAnsi="Georgia" w:cstheme="minorBidi"/>
                                  <w:kern w:val="24"/>
                                  <w:sz w:val="16"/>
                                  <w:szCs w:val="16"/>
                                </w:rPr>
                                <w:t xml:space="preserve">Is the primary objective of the Bank's business model to hold to generate cash flow from the asset and sell the financial asset? </w:t>
                              </w:r>
                            </w:p>
                          </w:txbxContent>
                        </wps:txbx>
                        <wps:bodyPr rot="0" vert="horz" wrap="square" lIns="36000" tIns="0" rIns="36000" bIns="0" anchor="ctr" anchorCtr="0" upright="1">
                          <a:noAutofit/>
                        </wps:bodyPr>
                      </wps:wsp>
                      <wps:wsp>
                        <wps:cNvPr id="986" name="Textfeld 43"/>
                        <wps:cNvSpPr txBox="1">
                          <a:spLocks noChangeArrowheads="1"/>
                        </wps:cNvSpPr>
                        <wps:spPr bwMode="auto">
                          <a:xfrm>
                            <a:off x="17914" y="9723"/>
                            <a:ext cx="4003" cy="1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0142A46E" w14:textId="77777777" w:rsidR="003A587C" w:rsidRPr="003E030B" w:rsidRDefault="003A587C" w:rsidP="00331FED">
                              <w:pPr>
                                <w:pStyle w:val="afffc"/>
                                <w:spacing w:before="0" w:beforeAutospacing="0" w:after="0" w:afterAutospacing="0"/>
                                <w:jc w:val="center"/>
                                <w:rPr>
                                  <w:rFonts w:ascii="Georgia" w:hAnsi="Georgia"/>
                                  <w:sz w:val="17"/>
                                  <w:szCs w:val="17"/>
                                  <w:lang w:val="ru-RU"/>
                                </w:rPr>
                              </w:pPr>
                              <w:r w:rsidRPr="003E030B">
                                <w:rPr>
                                  <w:rFonts w:ascii="Georgia" w:hAnsi="Georgia" w:cstheme="minorBidi"/>
                                  <w:color w:val="000000" w:themeColor="text1"/>
                                  <w:kern w:val="24"/>
                                  <w:sz w:val="17"/>
                                  <w:szCs w:val="17"/>
                                  <w:lang w:val="ru-RU"/>
                                </w:rPr>
                                <w:t>No</w:t>
                              </w:r>
                            </w:p>
                          </w:txbxContent>
                        </wps:txbx>
                        <wps:bodyPr rot="0" vert="horz" wrap="square" lIns="0" tIns="0" rIns="0" bIns="0" anchor="t" anchorCtr="0" upright="1">
                          <a:noAutofit/>
                        </wps:bodyPr>
                      </wps:wsp>
                      <wps:wsp>
                        <wps:cNvPr id="987" name="Gerade Verbindung mit Pfeil 19"/>
                        <wps:cNvCnPr>
                          <a:cxnSpLocks noChangeShapeType="1"/>
                        </wps:cNvCnPr>
                        <wps:spPr bwMode="auto">
                          <a:xfrm>
                            <a:off x="30175" y="5116"/>
                            <a:ext cx="0" cy="2468"/>
                          </a:xfrm>
                          <a:prstGeom prst="straightConnector1">
                            <a:avLst/>
                          </a:prstGeom>
                          <a:noFill/>
                          <a:ln w="25400">
                            <a:solidFill>
                              <a:schemeClr val="accent2">
                                <a:lumMod val="50000"/>
                                <a:lumOff val="0"/>
                              </a:schemeClr>
                            </a:solidFill>
                            <a:round/>
                            <a:headEnd/>
                            <a:tailEnd type="triangle" w="med" len="med"/>
                          </a:ln>
                        </wps:spPr>
                        <wps:bodyPr/>
                      </wps:wsp>
                    </wpg:wgp>
                  </a:graphicData>
                </a:graphic>
              </wp:inline>
            </w:drawing>
          </mc:Choice>
          <mc:Fallback>
            <w:pict>
              <v:group w14:anchorId="2FBEEAC0" id="Group 898" o:spid="_x0000_s1040" style="width:485.8pt;height:361pt;mso-position-horizontal-relative:char;mso-position-vertical-relative:line" coordsize="80904,40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sdorAoAAPp1AAAOAAAAZHJzL2Uyb0RvYy54bWzsXVlzo1YWfp+q/AeK92mJXahanUqcxDNV&#10;mUlX0pN3DEiiGoEGcFvOr893Fw6LFmuxkWThBxeLQHDvd875znb18fvVIla+hVkepclE1T4MVSVM&#10;/DSIktlE/d+XX/45UpW88JLAi9MknKjPYa5+/+m7f3x8Wo5DPZ2ncRBmCm6S5OOn5USdF8VyPBjk&#10;/jxcePmHdBkmODlNs4VXYDebDYLMe8LdF/FAHw7twVOaBcss9cM8x9GfxEn1E7//dBr6xW/TaR4W&#10;SjxR8WwF/5/x/w/s/+DTR288y7zlPPLlY3hHPMXCixJ8Kd3qJ6/wlMcsWrvVIvKzNE+nxQc/XQzS&#10;6TTyQ/4OeBtt2Hqb+yx9XPJ3mY2fZksaJgxta5yOvq3/32+fMyUKJurIxVQl3gKTxL9XYQcwPE/L&#10;2Rifus+Wfyw/Z+Idsflr6n/NcXrQPs/2Z+LDysPTf9IAN/Qei5QPz2qaLdgt8OLKis/CM81CuCoU&#10;HwdtzXZtG5Pl45xpjUxnKOfJn2My167z5z/LK0dDd2jK6zCa/PEH3lh8KX9Q+WDsrYC3vBrS/LQh&#10;/WPuLUM+UzkbLBpSl4Y0zLwgVP4Ms4coCR6TmbKICuXzNIxiRdfEOPNL7xIxyP4qkYOsJOnd3Etm&#10;If+SL89LDCi/whuHSXC3Svj08TePAj6oYlpqt2Nvm2P2XpwQ13F0VcG4G7o5coV0lPMiZ0S3hjo7&#10;QQPrjZdZXtyH6UJhGxM1LzIvms2LuzRJIIBppvG59779mhfiwvICBoUk/SWKYxz3xnGiPE1U3TIx&#10;4Ww/T+MoYGf5DlMJ4V2cKd88CLPn+2FS6Pxz8eMCOBPHrSH+xIPjMMML/zg/hEfmioXdhb9A4wsg&#10;bEnAn2MeesHPcrvwohjbSsHHvcgizEQcquxBF2GgKnEIvce2xJvFCRcJMdwCZg9p8Pw5Y6cl6DpC&#10;n4txKAV6F/pM9ujs0QDc49FnqIDhiegzhoYJ+RXwc+UsrsOPg7+H38XDT9sLftLInAa/0dHwU6Zx&#10;tPwX06hMyUi75GjGEKqb2R9Nb+FQGhjDtHs1eB1qEBZN8JrfQ39ehP5XhVs2qfJKVpMLSkPW9ocs&#10;S5+YJQA1EBqncQHbaZjUuLjPvGeOon1YjuGOTGlRLU2zpPkorywNpLSoGcwov/MWG9qwY2TidhtK&#10;jRnK4yzlee00iBNchjhagLPW3mGD0d5qkovVw4qzJqe0fcJIK1kqPAR4NNiYp9lfgDi8A5Ca/z96&#10;Gex+/O8EgHDge2D2ivpOVt95qO94iY9bTVS/yFRF7NwVwgl5XGaMKpX6J0l/AFWeRpwnMYiJ5zoD&#10;d4BCbQmNxvVdQwjAp95MavShY8KCMDJgum5JeCXT11ycFkwf0sNncTsh6KWnRqNfU3rIdPfSI+iz&#10;9Pu4L9aWHqNUNaDZb29zNBvefC87r+shvqbsEAXpZaclO9a65SEz3YnswLBDcjSH4k6lC1rjbLYu&#10;omNvY3UeZsIdqQc2er4WYFI4Ya2I0d6EzbBrhA0TLMiaPCrIGo5eI1Gz18WF7HKH4qLbJlxmMG5E&#10;JSVJa4rLG5K0XlxKb1QE8si90Tht7sWFIvIu8xoEM/sCmE7DOFAM7nzX/BqlWP2YIpQpdPCpHs62&#10;3IetW/CxGEUzhmKeKskx9TI2oCH9cVpsoBFfZ+JJB2C7NoSrK/CQv3cgRSHHmPQsNtZ0bFGq24t3&#10;hSkvVkHGbpH5jiAzHInwuGY5dssjBmTgLbOUGSDDH+94akIIEQA5ADLk5Nw4ZCjvV0GmzWE7hoxu&#10;mjaHRUPLVJA5m5ah9NNtQwbMds0wtXlcN5DRkXwvLZNm8WdoYAYPKtXM2TBDFvvGMUMZtkrNUFxB&#10;cv+uMbPZNFWYOZtpIpN945ihbBhhBlyzqgBgocmuMbPZNlWYOZueIZt945hZTwbRyHQSYjA1jdlH&#10;Rm6bIQbNBdulPFCfRd2/2uk1Y9kaEZUD5eTdp1E1gLOVCKKx6kRybM3RRCXLBslBpJ0xub7+4KA6&#10;wVeVHKJrveQ000AoiWlLThX870R0TM1g4ssidJsLECBXUnxOJCh9+Y43Pqp8R9TmHRHffv+GZ0Na&#10;iJIBnYgPszxVDUKriJLxNsnv+/qds1kfnRDRW5+W9aE0EdWMihrNWpqINyW8WfkbEx/RisEyq60o&#10;HBMfyBazPihEeEPr02dW2YSzOt9WZlU/Njn2bgsRmLIXrs79jm4TOCNVrOmAbhPeOwO7JS4pJ+Xl&#10;fqYylA0r08p+SPOjm6iUE4XCW4qv+3amhggIU8FGjM0Ceui6ameyyZfeBbCKEhJavPEezXSnAkw3&#10;XKdFcghhZt8pchWdIjb5nDsRRqq/E4ShOsQR6TjNMvSWEgNDYCRANxyeRt2e8u+V2IUoMfLLdkKM&#10;6ig6gxigz4HUazGYNm98xW2/NvkuOyFGOfTDIIaWn4J6zqntkqtEVAnU+tHRlXNkR/DWlkzIDjC6&#10;QQ1CPzI1iCTRqDe112Fq9/IWhLmTPvcB3kIDpATETSAFpE5uW2fdwgKahu4MuVxVBTOlhdZHL2Qn&#10;ewt9IRaaavd2qs96AvxoZEJvcfRtQiYM8snItIYOFutgSnPd/9WZXHDy6I6cHptXoTXhYVKMBYsg&#10;fQ3jorGmjH5kdKWhL2FCBfI4CT3SL9ZGWEBGmGvNtLhzUulEA3XMUJjCc7Es7jZvd10esM4LLSUj&#10;FnzZ0gbfqFs+51Iy+6eIr3FdGYfKDu/DTSg06vVkx+pG2NHTUYgOJENUP+iAHBeOCoWOaUkQaqZm&#10;vaABexBu7hY5WzSQrVNVhps3gpByWyf4N4zWcSN8iiqsgdC1LM4bKhBariEZomW+1OnTY/DSMEh1&#10;kVsUIed1J7ov5GNzQB9ijkVzLHxisUoKd6v/ZCWULMAhVzqydNMSDFFbt9OujjWOejN9pcu/ISS8&#10;W0MeGWRskEVyrt8GnUiqCHTq66rTccomSajOF9oKetV5aapzr1SLSJwdrkAP0ZI1ZeiW2WLNNNyW&#10;zyKTeVj2rc+0XIevDO7W6vQ26xqvu0YXc+joIr3ijoSzW/E/LHUKNc2D1+fr9NZpXA6sA4NQiCXQ&#10;sCFW1MDG9XZ6O5Q5qXqjuLRLDXQOyGhwEFrVX5eBGRqYG8cMJTIqzPBYwhkxozsOqmt5HrNci+Uy&#10;MEMDc+OYoRRDhRlqT0W4ojs9Y9lle9BmzJSJ1TPaJhqY28YMK5dv05l6DqpLzLjM8UJSaSOduQDI&#10;0LjcOGQoTl+pmXqCqDvI2I6OVD4vMMJqrdwKVBTYMAyZiTzjYkeCYzGbfeOYQbhFqJmq8YE0sDRN&#10;b9v4IFSLY4lKngomLKMoO+4Q+XkhXXPKkr99zwMTg3xDzwMpjwNl5N32PLDYfFtayC/qRFpYmxC0&#10;J4zxBompFkeAxLwQtuolRv7OzP65e9E1smsJvSoT3ksMEqmMMVJSgjiJ0V4RoZvlZxgnEVE5w1hb&#10;5gqcpKwNOJ/rY1AK+0D0wIS+p7AcKifbWtboVsvqaLjcqmUdF82APITb85K9f2zrVbUspdkPlJP3&#10;y0suJvehOa5cRAOZXJ5mqBg9YpLnDxYYfe5DGGbKfewqe+64fZf1vgkbvV6/DCPHC0j7/t2Tf44Q&#10;6XL+A6Po6W38gml9n/f7Vj/Z+ulvAAAA//8DAFBLAwQUAAYACAAAACEAcruJ1N4AAAAFAQAADwAA&#10;AGRycy9kb3ducmV2LnhtbEyPzWrDMBCE74W8g9hCb41slyatazmEkPYUCvmB0tvG2tgm1spYiu28&#10;fdVemsvCMMPMt9liNI3oqXO1ZQXxNAJBXFhdc6ngsH9/fAHhPLLGxjIpuJKDRT65yzDVduAt9Ttf&#10;ilDCLkUFlfdtKqUrKjLoprYlDt7JdgZ9kF0pdYdDKDeNTKJoJg3WHBYqbGlVUXHeXYyCjwGH5VO8&#10;7jfn0+r6vX/+/NrEpNTD/bh8A+Fp9P9h+MUP6JAHpqO9sHaiURAe8X83eK/zeAbiqGCeJBHIPJO3&#10;9PkPAAAA//8DAFBLAQItABQABgAIAAAAIQC2gziS/gAAAOEBAAATAAAAAAAAAAAAAAAAAAAAAABb&#10;Q29udGVudF9UeXBlc10ueG1sUEsBAi0AFAAGAAgAAAAhADj9If/WAAAAlAEAAAsAAAAAAAAAAAAA&#10;AAAALwEAAF9yZWxzLy5yZWxzUEsBAi0AFAAGAAgAAAAhADWSx2isCgAA+nUAAA4AAAAAAAAAAAAA&#10;AAAALgIAAGRycy9lMm9Eb2MueG1sUEsBAi0AFAAGAAgAAAAhAHK7idTeAAAABQEAAA8AAAAAAAAA&#10;AAAAAAAABg0AAGRycy9kb3ducmV2LnhtbFBLBQYAAAAABAAEAPMAAAARDgAAAAA=&#10;">
                <v:shape id="Gerade Verbindung mit Pfeil 21" o:spid="_x0000_s1041" type="#_x0000_t32" style="position:absolute;left:9772;top:32489;width:0;height:25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pc8wwAAANwAAAAPAAAAZHJzL2Rvd25yZXYueG1sRI9Ba8JA&#10;FITvBf/D8oReim6qUDS6ihWEUHppFL0+ss8kmH0bss+Y/vtuodDjMDPfMOvt4BrVUxdqzwZepwko&#10;4sLbmksDp+NhsgAVBNli45kMfFOA7Wb0tMbU+gd/UZ9LqSKEQ4oGKpE21ToUFTkMU98SR+/qO4cS&#10;ZVdq2+Ejwl2jZ0nyph3WHBcqbGlfUXHL785APs/ys+jPj/5lzjqTC727QMY8j4fdCpTQIP/hv3Zm&#10;DSyWS/g9E4+A3vwAAAD//wMAUEsBAi0AFAAGAAgAAAAhANvh9svuAAAAhQEAABMAAAAAAAAAAAAA&#10;AAAAAAAAAFtDb250ZW50X1R5cGVzXS54bWxQSwECLQAUAAYACAAAACEAWvQsW78AAAAVAQAACwAA&#10;AAAAAAAAAAAAAAAfAQAAX3JlbHMvLnJlbHNQSwECLQAUAAYACAAAACEAlMaXPMMAAADcAAAADwAA&#10;AAAAAAAAAAAAAAAHAgAAZHJzL2Rvd25yZXYueG1sUEsFBgAAAAADAAMAtwAAAPcCAAAAAA==&#10;" strokecolor="#622423 [1605]" strokeweight="2pt">
                  <v:stroke endarrow="block"/>
                </v:shape>
                <v:shape id="Gerade Verbindung mit Pfeil 24" o:spid="_x0000_s1042" type="#_x0000_t32" style="position:absolute;left:30344;top:32490;width:0;height:25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6S7wQAAANwAAAAPAAAAZHJzL2Rvd25yZXYueG1sRE9Na8JA&#10;EL0X+h+WKXgpuqmCaHQT2kIhlF6MpV6H7JgEs7MhO43x37uHQo+P973PJ9epkYbQejbwskhAEVfe&#10;tlwb+D5+zDeggiBb7DyTgRsFyLPHhz2m1l/5QGMptYohHFI00Ij0qdahashhWPieOHJnPziUCIda&#10;2wGvMdx1epkka+2w5djQYE/vDVWX8tcZKFdF+SP663N8XrEu5ERvLpAxs6fpdQdKaJJ/8Z+7sAa2&#10;SZwfz8QjoLM7AAAA//8DAFBLAQItABQABgAIAAAAIQDb4fbL7gAAAIUBAAATAAAAAAAAAAAAAAAA&#10;AAAAAABbQ29udGVudF9UeXBlc10ueG1sUEsBAi0AFAAGAAgAAAAhAFr0LFu/AAAAFQEAAAsAAAAA&#10;AAAAAAAAAAAAHwEAAF9yZWxzLy5yZWxzUEsBAi0AFAAGAAgAAAAhAJsXpLvBAAAA3AAAAA8AAAAA&#10;AAAAAAAAAAAABwIAAGRycy9kb3ducmV2LnhtbFBLBQYAAAAAAwADALcAAAD1AgAAAAA=&#10;" strokecolor="#622423 [1605]" strokeweight="2pt">
                  <v:stroke endarrow="block"/>
                </v:shape>
                <v:shape id="Gerade Verbindung mit Pfeil 28" o:spid="_x0000_s1043" type="#_x0000_t32" style="position:absolute;left:71309;top:4120;width:4;height:346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JA1wwAAANwAAAAPAAAAZHJzL2Rvd25yZXYueG1sRI/BbsIw&#10;EETvSP0HaytxAwcOJaQYVFWlggMHoL2v4iVOG6+t2JDw9xgJieNoZt5oFqveNuJCbagdK5iMMxDE&#10;pdM1Vwp+jutRDiJEZI2NY1JwpQCr5ctggYV2He/pcoiVSBAOBSowMfpCylAashjGzhMn7+RaizHJ&#10;tpK6xS7BbSOnWfYmLdacFgx6+jRU/h/OVkHn0Zen5s//5rPddz792taGt0oNX/uPdxCR+vgMP9ob&#10;rWCeTeB+Jh0BubwBAAD//wMAUEsBAi0AFAAGAAgAAAAhANvh9svuAAAAhQEAABMAAAAAAAAAAAAA&#10;AAAAAAAAAFtDb250ZW50X1R5cGVzXS54bWxQSwECLQAUAAYACAAAACEAWvQsW78AAAAVAQAACwAA&#10;AAAAAAAAAAAAAAAfAQAAX3JlbHMvLnJlbHNQSwECLQAUAAYACAAAACEAqJSQNcMAAADcAAAADwAA&#10;AAAAAAAAAAAAAAAHAgAAZHJzL2Rvd25yZXYueG1sUEsFBgAAAAADAAMAtwAAAPcCAAAAAA==&#10;" strokecolor="#622423 [1605]" strokeweight="2pt">
                  <v:stroke endarrow="block"/>
                </v:shape>
                <v:rect id="Rechteck 9" o:spid="_x0000_s1044" style="position:absolute;width:39840;height:5115;visibility:visible;mso-wrap-style:squar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PgxAAAANwAAAAPAAAAZHJzL2Rvd25yZXYueG1sRI/RisIw&#10;FETfF/Yfwl3wbU1UEK1GEdkF90HF6gdcmmtbbW5KE7Xr1xtB8HGYmTPMdN7aSlyp8aVjDb2uAkGc&#10;OVNyruGw//0egfAB2WDlmDT8k4f57PNjiolxN97RNQ25iBD2CWooQqgTKX1WkEXfdTVx9I6usRii&#10;bHJpGrxFuK1kX6mhtFhyXCiwpmVB2Tm9WA0/w9Huz58297E6pKpaltv1wG217ny1iwmIQG14h1/t&#10;ldEwVn14nolHQM4eAAAA//8DAFBLAQItABQABgAIAAAAIQDb4fbL7gAAAIUBAAATAAAAAAAAAAAA&#10;AAAAAAAAAABbQ29udGVudF9UeXBlc10ueG1sUEsBAi0AFAAGAAgAAAAhAFr0LFu/AAAAFQEAAAsA&#10;AAAAAAAAAAAAAAAAHwEAAF9yZWxzLy5yZWxzUEsBAi0AFAAGAAgAAAAhAG834+DEAAAA3AAAAA8A&#10;AAAAAAAAAAAAAAAABwIAAGRycy9kb3ducmV2LnhtbFBLBQYAAAAAAwADALcAAAD4AgAAAAA=&#10;" fillcolor="#c0504d [3205]" strokecolor="#622423 [1605]" strokeweight="2pt">
                  <v:textbox inset="2mm,2mm,2mm,2mm">
                    <w:txbxContent>
                      <w:p w14:paraId="316D186C" w14:textId="77777777" w:rsidR="003A587C" w:rsidRPr="00CA5A7A" w:rsidRDefault="003A587C" w:rsidP="00331FED">
                        <w:pPr>
                          <w:pStyle w:val="afffc"/>
                          <w:spacing w:before="0" w:beforeAutospacing="0" w:after="0" w:afterAutospacing="0"/>
                          <w:jc w:val="center"/>
                          <w:rPr>
                            <w:rFonts w:ascii="Georgia" w:hAnsi="Georgia"/>
                            <w:sz w:val="20"/>
                            <w:szCs w:val="20"/>
                          </w:rPr>
                        </w:pPr>
                        <w:r w:rsidRPr="00CA5A7A">
                          <w:rPr>
                            <w:rFonts w:ascii="Georgia" w:hAnsi="Georgia" w:cstheme="minorBidi"/>
                            <w:kern w:val="24"/>
                            <w:sz w:val="20"/>
                            <w:szCs w:val="20"/>
                            <w:lang w:val="ru-RU"/>
                          </w:rPr>
                          <w:t>Debt instruments</w:t>
                        </w:r>
                      </w:p>
                    </w:txbxContent>
                  </v:textbox>
                </v:rect>
                <v:rect id="Rechteck 12" o:spid="_x0000_s1045" style="position:absolute;left:20741;top:34991;width:19207;height:5117;visibility:visible;mso-wrap-style:squar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0Z7xAAAANwAAAAPAAAAZHJzL2Rvd25yZXYueG1sRI/RisIw&#10;FETfBf8hXME3TVQQrUYRcUEfVrHrB1yaa1ttbkqT1bpfbxYW9nGYmTPMct3aSjyo8aVjDaOhAkGc&#10;OVNyruHy9TGYgfAB2WDlmDS8yMN61e0sMTHuyWd6pCEXEcI+QQ1FCHUipc8KsuiHriaO3tU1FkOU&#10;TS5Ng88It5UcKzWVFkuOCwXWtC0ou6ffVsNuOjsf/O34M1eXVFXb8vQ5cSet+712swARqA3/4b/2&#10;3miYqwn8nolHQK7eAAAA//8DAFBLAQItABQABgAIAAAAIQDb4fbL7gAAAIUBAAATAAAAAAAAAAAA&#10;AAAAAAAAAABbQ29udGVudF9UeXBlc10ueG1sUEsBAi0AFAAGAAgAAAAhAFr0LFu/AAAAFQEAAAsA&#10;AAAAAAAAAAAAAAAAHwEAAF9yZWxzLy5yZWxzUEsBAi0AFAAGAAgAAAAhAAB7RnvEAAAA3AAAAA8A&#10;AAAAAAAAAAAAAAAABwIAAGRycy9kb3ducmV2LnhtbFBLBQYAAAAAAwADALcAAAD4AgAAAAA=&#10;" fillcolor="#c0504d [3205]" strokecolor="#622423 [1605]" strokeweight="2pt">
                  <v:textbox inset="2mm,2mm,2mm,2mm">
                    <w:txbxContent>
                      <w:p w14:paraId="039CDB3C" w14:textId="77777777" w:rsidR="003A587C" w:rsidRPr="004E2243" w:rsidRDefault="003A587C" w:rsidP="00331FED">
                        <w:pPr>
                          <w:pStyle w:val="afffc"/>
                          <w:spacing w:before="0" w:beforeAutospacing="0" w:after="0" w:afterAutospacing="0"/>
                          <w:jc w:val="center"/>
                          <w:rPr>
                            <w:rFonts w:ascii="Georgia" w:hAnsi="Georgia"/>
                            <w:sz w:val="20"/>
                            <w:szCs w:val="20"/>
                            <w:lang w:val="ru-RU"/>
                          </w:rPr>
                        </w:pPr>
                        <w:r>
                          <w:rPr>
                            <w:rFonts w:ascii="Georgia" w:hAnsi="Georgia" w:cstheme="minorBidi"/>
                            <w:b/>
                            <w:bCs/>
                            <w:i/>
                            <w:iCs/>
                            <w:color w:val="FFFFFF" w:themeColor="background1"/>
                            <w:kern w:val="24"/>
                            <w:sz w:val="20"/>
                            <w:szCs w:val="20"/>
                            <w:lang w:val="ru-RU"/>
                          </w:rPr>
                          <w:t>MTPAS</w:t>
                        </w:r>
                      </w:p>
                    </w:txbxContent>
                  </v:textbox>
                </v:rect>
                <v:rect id="Rechteck 13" o:spid="_x0000_s1046" style="position:absolute;left:168;top:34991;width:19207;height:5117;visibility:visible;mso-wrap-style:squar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t4PxQAAANwAAAAPAAAAZHJzL2Rvd25yZXYueG1sRI/RagIx&#10;FETfhf5DuAXfNGkroqtRiljQBxVXP+Cyue6u3dwsm6irX2+EQh+HmTnDTOetrcSVGl861vDRVyCI&#10;M2dKzjUcDz+9EQgfkA1WjknDnTzMZ2+dKSbG3XhP1zTkIkLYJ6ihCKFOpPRZQRZ939XE0Tu5xmKI&#10;ssmlafAW4baSn0oNpcWS40KBNS0Kyn7Ti9WwHI72a3/ePsbqmKpqUe42X26ndfe9/Z6ACNSG//Bf&#10;e2U0jNUAXmfiEZCzJwAAAP//AwBQSwECLQAUAAYACAAAACEA2+H2y+4AAACFAQAAEwAAAAAAAAAA&#10;AAAAAAAAAAAAW0NvbnRlbnRfVHlwZXNdLnhtbFBLAQItABQABgAIAAAAIQBa9CxbvwAAABUBAAAL&#10;AAAAAAAAAAAAAAAAAB8BAABfcmVscy8ucmVsc1BLAQItABQABgAIAAAAIQCPkt4PxQAAANwAAAAP&#10;AAAAAAAAAAAAAAAAAAcCAABkcnMvZG93bnJldi54bWxQSwUGAAAAAAMAAwC3AAAA+QIAAAAA&#10;" fillcolor="#c0504d [3205]" strokecolor="#622423 [1605]" strokeweight="2pt">
                  <v:textbox inset="2mm,2mm,2mm,2mm">
                    <w:txbxContent>
                      <w:p w14:paraId="34E73A27" w14:textId="77777777" w:rsidR="003A587C" w:rsidRPr="004E2243" w:rsidRDefault="003A587C" w:rsidP="00331FED">
                        <w:pPr>
                          <w:pStyle w:val="afffc"/>
                          <w:spacing w:before="0" w:beforeAutospacing="0" w:after="0" w:afterAutospacing="0"/>
                          <w:jc w:val="center"/>
                          <w:rPr>
                            <w:rFonts w:ascii="Georgia" w:hAnsi="Georgia"/>
                            <w:sz w:val="20"/>
                            <w:szCs w:val="20"/>
                            <w:lang w:val="ru-RU"/>
                          </w:rPr>
                        </w:pPr>
                        <w:r>
                          <w:rPr>
                            <w:rFonts w:ascii="Georgia" w:hAnsi="Georgia" w:cstheme="minorBidi"/>
                            <w:b/>
                            <w:bCs/>
                            <w:i/>
                            <w:iCs/>
                            <w:color w:val="FFFFFF" w:themeColor="background1"/>
                            <w:kern w:val="24"/>
                            <w:sz w:val="20"/>
                            <w:szCs w:val="20"/>
                            <w:lang w:val="ru-RU"/>
                          </w:rPr>
                          <w:t>Amortized cost</w:t>
                        </w:r>
                      </w:p>
                    </w:txbxContent>
                  </v:textbox>
                </v:rect>
                <v:rect id="Rechteck 17" o:spid="_x0000_s1047" style="position:absolute;top:17700;width:39840;height:6298;visibility:visible;mso-wrap-style:squar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1AywAAAANwAAAAPAAAAZHJzL2Rvd25yZXYueG1sRI9BawIx&#10;FITvBf9DeIK3mihYdDWKCFKvbvX+SJ67q5uXJYm6/fdGKPQ4zMw3zGrTu1Y8KMTGs4bJWIEgNt42&#10;XGk4/ew/5yBiQrbYeiYNvxRhsx58rLCw/slHepSpEhnCsUANdUpdIWU0NTmMY98RZ+/ig8OUZaik&#10;DfjMcNfKqVJf0mHDeaHGjnY1mVt5dxqCO593cVoZZbCcb/f996m9stajYb9dgkjUp//wX/tgNSzU&#10;DN5n8hGQ6xcAAAD//wMAUEsBAi0AFAAGAAgAAAAhANvh9svuAAAAhQEAABMAAAAAAAAAAAAAAAAA&#10;AAAAAFtDb250ZW50X1R5cGVzXS54bWxQSwECLQAUAAYACAAAACEAWvQsW78AAAAVAQAACwAAAAAA&#10;AAAAAAAAAAAfAQAAX3JlbHMvLnJlbHNQSwECLQAUAAYACAAAACEAMXNQMsAAAADcAAAADwAAAAAA&#10;AAAAAAAAAAAHAgAAZHJzL2Rvd25yZXYueG1sUEsFBgAAAAADAAMAtwAAAPQCAAAAAA==&#10;" fillcolor="white [3212]" strokecolor="#622423 [1605]" strokeweight="2pt">
                  <v:textbox inset="1mm,0,1mm,0">
                    <w:txbxContent>
                      <w:p w14:paraId="3A40EDD1" w14:textId="77777777" w:rsidR="003A587C" w:rsidRPr="00FE19F6" w:rsidRDefault="003A587C" w:rsidP="00331FED">
                        <w:pPr>
                          <w:pStyle w:val="afffc"/>
                          <w:spacing w:before="0" w:beforeAutospacing="0" w:after="0" w:afterAutospacing="0"/>
                          <w:jc w:val="center"/>
                          <w:rPr>
                            <w:rFonts w:ascii="Georgia" w:hAnsi="Georgia" w:cstheme="minorBidi"/>
                            <w:kern w:val="24"/>
                            <w:sz w:val="16"/>
                            <w:szCs w:val="16"/>
                            <w:lang w:val="ru-RU"/>
                          </w:rPr>
                        </w:pPr>
                        <w:r w:rsidRPr="007D770B">
                          <w:rPr>
                            <w:rFonts w:ascii="Georgia" w:hAnsi="Georgia" w:cstheme="minorBidi"/>
                            <w:kern w:val="24"/>
                            <w:sz w:val="16"/>
                            <w:szCs w:val="16"/>
                          </w:rPr>
                          <w:t xml:space="preserve">Cash flows are only repayment of principal and interest? </w:t>
                        </w:r>
                        <w:r>
                          <w:rPr>
                            <w:rFonts w:ascii="Georgia" w:hAnsi="Georgia" w:cstheme="minorBidi"/>
                            <w:kern w:val="24"/>
                            <w:sz w:val="16"/>
                            <w:szCs w:val="16"/>
                            <w:lang w:val="ru-RU"/>
                          </w:rPr>
                          <w:t xml:space="preserve">(take the </w:t>
                        </w:r>
                        <w:r>
                          <w:rPr>
                            <w:rFonts w:ascii="Georgia" w:hAnsi="Georgia" w:cstheme="minorBidi"/>
                            <w:kern w:val="24"/>
                            <w:sz w:val="16"/>
                            <w:szCs w:val="16"/>
                          </w:rPr>
                          <w:t xml:space="preserve">SPPI </w:t>
                        </w:r>
                        <w:r>
                          <w:rPr>
                            <w:rFonts w:ascii="Georgia" w:hAnsi="Georgia" w:cstheme="minorBidi"/>
                            <w:kern w:val="24"/>
                            <w:sz w:val="16"/>
                            <w:szCs w:val="16"/>
                            <w:lang w:val="ru-RU"/>
                          </w:rPr>
                          <w:t>test</w:t>
                        </w:r>
                      </w:p>
                      <w:p w14:paraId="67F03B9F" w14:textId="77777777" w:rsidR="003A587C" w:rsidRPr="00872816" w:rsidRDefault="003A587C" w:rsidP="00331FED">
                        <w:pPr>
                          <w:pStyle w:val="afffc"/>
                          <w:spacing w:before="0" w:beforeAutospacing="0" w:after="0" w:afterAutospacing="0"/>
                          <w:jc w:val="center"/>
                          <w:rPr>
                            <w:rFonts w:ascii="Georgia" w:hAnsi="Georgia"/>
                            <w:sz w:val="16"/>
                            <w:szCs w:val="16"/>
                            <w:lang w:val="ru-RU"/>
                          </w:rPr>
                        </w:pPr>
                      </w:p>
                    </w:txbxContent>
                  </v:textbox>
                </v:rect>
                <v:rect id="Rechteck 18" o:spid="_x0000_s1048" style="position:absolute;top:26409;width:39840;height:6297;visibility:visible;mso-wrap-style:squar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c5FvwAAANwAAAAPAAAAZHJzL2Rvd25yZXYueG1sRI9Bi8Iw&#10;FITvC/6H8ARva6IHcatRRBC92tX7I3m21ealJFHrvzfCwh6HmfmGWa5714oHhdh41jAZKxDExtuG&#10;Kw2n3933HERMyBZbz6ThRRHWq8HXEgvrn3ykR5kqkSEcC9RQp9QVUkZTk8M49h1x9i4+OExZhkra&#10;gM8Md62cKjWTDhvOCzV2tK3J3Mq70xDc+byN08oog+V8s+v3p/bKWo+G/WYBIlGf/sN/7YPV8KNm&#10;8DmTj4BcvQEAAP//AwBQSwECLQAUAAYACAAAACEA2+H2y+4AAACFAQAAEwAAAAAAAAAAAAAAAAAA&#10;AAAAW0NvbnRlbnRfVHlwZXNdLnhtbFBLAQItABQABgAIAAAAIQBa9CxbvwAAABUBAAALAAAAAAAA&#10;AAAAAAAAAB8BAABfcmVscy8ucmVsc1BLAQItABQABgAIAAAAIQDBoc5FvwAAANwAAAAPAAAAAAAA&#10;AAAAAAAAAAcCAABkcnMvZG93bnJldi54bWxQSwUGAAAAAAMAAwC3AAAA8wIAAAAA&#10;" fillcolor="white [3212]" strokecolor="#622423 [1605]" strokeweight="2pt">
                  <v:textbox inset="1mm,0,1mm,0">
                    <w:txbxContent>
                      <w:p w14:paraId="68ECC81A" w14:textId="7B385B86" w:rsidR="003A587C" w:rsidRPr="00F865FB" w:rsidRDefault="003A587C" w:rsidP="00331FED">
                        <w:pPr>
                          <w:pStyle w:val="afffc"/>
                          <w:spacing w:before="0" w:beforeAutospacing="0" w:after="0" w:afterAutospacing="0"/>
                          <w:jc w:val="center"/>
                          <w:rPr>
                            <w:rFonts w:ascii="Georgia" w:hAnsi="Georgia"/>
                            <w:sz w:val="16"/>
                            <w:szCs w:val="16"/>
                            <w:lang w:val="ru-RU"/>
                          </w:rPr>
                        </w:pPr>
                        <w:r w:rsidRPr="007D770B">
                          <w:rPr>
                            <w:rFonts w:ascii="Georgia" w:hAnsi="Georgia" w:cstheme="minorBidi"/>
                            <w:kern w:val="24"/>
                            <w:sz w:val="16"/>
                            <w:szCs w:val="16"/>
                          </w:rPr>
                          <w:t xml:space="preserve">Is the option to record the instrument at fair value used to correct an accounting mismatch? </w:t>
                        </w:r>
                        <w:r>
                          <w:rPr>
                            <w:rFonts w:ascii="Georgia" w:hAnsi="Georgia" w:cstheme="minorBidi"/>
                            <w:kern w:val="24"/>
                            <w:sz w:val="16"/>
                            <w:szCs w:val="16"/>
                            <w:lang w:val="ru-RU"/>
                          </w:rPr>
                          <w:t>*</w:t>
                        </w:r>
                      </w:p>
                    </w:txbxContent>
                  </v:textbox>
                </v:rect>
                <v:shapetype id="_x0000_t202" coordsize="21600,21600" o:spt="202" path="m,l,21600r21600,l21600,xe">
                  <v:stroke joinstyle="miter"/>
                  <v:path gradientshapeok="t" o:connecttype="rect"/>
                </v:shapetype>
                <v:shape id="Textfeld 35" o:spid="_x0000_s1049" type="#_x0000_t202" style="position:absolute;left:6253;top:33011;width:4240;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LeKxgAAANwAAAAPAAAAZHJzL2Rvd25yZXYueG1sRI9Ba8JA&#10;FITvQv/D8gq96aZStKZuQitY9NCD0YPentnXbGj2bcxuNf57Vyj0OMzMN8w8720jztT52rGC51EC&#10;grh0uuZKwW67HL6C8AFZY+OYFFzJQ549DOaYanfhDZ2LUIkIYZ+iAhNCm0rpS0MW/ci1xNH7dp3F&#10;EGVXSd3hJcJtI8dJMpEWa44LBltaGCp/il+rYF3gy3WKH/tV0Zuj/DLj0+LwqdTTY//+BiJQH/7D&#10;f+2VVjBLpnA/E4+AzG4AAAD//wMAUEsBAi0AFAAGAAgAAAAhANvh9svuAAAAhQEAABMAAAAAAAAA&#10;AAAAAAAAAAAAAFtDb250ZW50X1R5cGVzXS54bWxQSwECLQAUAAYACAAAACEAWvQsW78AAAAVAQAA&#10;CwAAAAAAAAAAAAAAAAAfAQAAX3JlbHMvLnJlbHNQSwECLQAUAAYACAAAACEAdbi3isYAAADcAAAA&#10;DwAAAAAAAAAAAAAAAAAHAgAAZHJzL2Rvd25yZXYueG1sUEsFBgAAAAADAAMAtwAAAPoCAAAAAA==&#10;" filled="f" stroked="f" strokeweight="2pt">
                  <v:textbox inset="0,0,0,0">
                    <w:txbxContent>
                      <w:p w14:paraId="5900ABB2" w14:textId="77777777" w:rsidR="003A587C" w:rsidRPr="003E030B" w:rsidRDefault="003A587C" w:rsidP="00331FED">
                        <w:pPr>
                          <w:pStyle w:val="afffc"/>
                          <w:spacing w:before="0" w:beforeAutospacing="0" w:after="0" w:afterAutospacing="0"/>
                          <w:rPr>
                            <w:rFonts w:ascii="Georgia" w:hAnsi="Georgia"/>
                            <w:sz w:val="17"/>
                            <w:szCs w:val="17"/>
                            <w:lang w:val="ru-RU"/>
                          </w:rPr>
                        </w:pPr>
                        <w:r w:rsidRPr="003E030B">
                          <w:rPr>
                            <w:rFonts w:ascii="Georgia" w:hAnsi="Georgia" w:cstheme="minorBidi"/>
                            <w:color w:val="000000" w:themeColor="text1"/>
                            <w:kern w:val="24"/>
                            <w:sz w:val="17"/>
                            <w:szCs w:val="17"/>
                            <w:lang w:val="ru-RU"/>
                          </w:rPr>
                          <w:t>No</w:t>
                        </w:r>
                      </w:p>
                    </w:txbxContent>
                  </v:textbox>
                </v:shape>
                <v:shape id="Textfeld 36" o:spid="_x0000_s1050" type="#_x0000_t202" style="position:absolute;left:6084;top:15761;width:4241;height:1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yP4wgAAANwAAAAPAAAAZHJzL2Rvd25yZXYueG1sRE89b8Iw&#10;EN2R+A/WIXUjDqhqIcUgQGoFQwcCQ7td4yOOiM8hdiH8ezwgMT6979mis7W4UOsrxwpGSQqCuHC6&#10;4lLBYf85nIDwAVlj7ZgU3MjDYt7vzTDT7so7uuShFDGEfYYKTAhNJqUvDFn0iWuII3d0rcUQYVtK&#10;3eI1httajtP0TVqsODYYbGhtqDjl/1bBNsfX2zuufjZ5Z/7ktxmf179fSr0MuuUHiEBdeIof7o1W&#10;ME3j2ngmHgE5vwMAAP//AwBQSwECLQAUAAYACAAAACEA2+H2y+4AAACFAQAAEwAAAAAAAAAAAAAA&#10;AAAAAAAAW0NvbnRlbnRfVHlwZXNdLnhtbFBLAQItABQABgAIAAAAIQBa9CxbvwAAABUBAAALAAAA&#10;AAAAAAAAAAAAAB8BAABfcmVscy8ucmVsc1BLAQItABQABgAIAAAAIQAEJyP4wgAAANwAAAAPAAAA&#10;AAAAAAAAAAAAAAcCAABkcnMvZG93bnJldi54bWxQSwUGAAAAAAMAAwC3AAAA9gIAAAAA&#10;" filled="f" stroked="f" strokeweight="2pt">
                  <v:textbox inset="0,0,0,0">
                    <w:txbxContent>
                      <w:p w14:paraId="4C196C8B" w14:textId="77777777" w:rsidR="003A587C" w:rsidRPr="003E030B" w:rsidRDefault="003A587C" w:rsidP="00331FED">
                        <w:pPr>
                          <w:pStyle w:val="afffc"/>
                          <w:spacing w:before="0" w:beforeAutospacing="0" w:after="0" w:afterAutospacing="0"/>
                          <w:rPr>
                            <w:rFonts w:ascii="Georgia" w:hAnsi="Georgia"/>
                            <w:sz w:val="17"/>
                            <w:szCs w:val="17"/>
                            <w:lang w:val="ru-RU"/>
                          </w:rPr>
                        </w:pPr>
                        <w:r w:rsidRPr="003E030B">
                          <w:rPr>
                            <w:rFonts w:ascii="Georgia" w:hAnsi="Georgia" w:cstheme="minorBidi"/>
                            <w:color w:val="000000" w:themeColor="text1"/>
                            <w:kern w:val="24"/>
                            <w:sz w:val="17"/>
                            <w:szCs w:val="17"/>
                            <w:lang w:val="ru-RU"/>
                          </w:rPr>
                          <w:t>Yes</w:t>
                        </w:r>
                      </w:p>
                    </w:txbxContent>
                  </v:textbox>
                </v:shape>
                <v:shape id="Textfeld 37" o:spid="_x0000_s1051" type="#_x0000_t202" style="position:absolute;left:6084;top:24466;width:4241;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4ZjxQAAANwAAAAPAAAAZHJzL2Rvd25yZXYueG1sRI9BawIx&#10;FITvBf9DeEJvNatIq6tRVLDYQw+uHvT23Dw3i5uXdZPq+u+bQsHjMDPfMNN5aytxo8aXjhX0ewkI&#10;4tzpkgsF+936bQTCB2SNlWNS8CAP81nnZYqpdnfe0i0LhYgQ9ikqMCHUqZQ+N2TR91xNHL2zayyG&#10;KJtC6gbvEW4rOUiSd2mx5LhgsKaVofyS/VgFXxkOHx+4PGyy1pzktxlcV8dPpV677WICIlAbnuH/&#10;9kYrGCdj+DsTj4Cc/QIAAP//AwBQSwECLQAUAAYACAAAACEA2+H2y+4AAACFAQAAEwAAAAAAAAAA&#10;AAAAAAAAAAAAW0NvbnRlbnRfVHlwZXNdLnhtbFBLAQItABQABgAIAAAAIQBa9CxbvwAAABUBAAAL&#10;AAAAAAAAAAAAAAAAAB8BAABfcmVscy8ucmVsc1BLAQItABQABgAIAAAAIQBra4ZjxQAAANwAAAAP&#10;AAAAAAAAAAAAAAAAAAcCAABkcnMvZG93bnJldi54bWxQSwUGAAAAAAMAAwC3AAAA+QIAAAAA&#10;" filled="f" stroked="f" strokeweight="2pt">
                  <v:textbox inset="0,0,0,0">
                    <w:txbxContent>
                      <w:p w14:paraId="0E09E05C" w14:textId="77777777" w:rsidR="003A587C" w:rsidRPr="003E030B" w:rsidRDefault="003A587C" w:rsidP="00331FED">
                        <w:pPr>
                          <w:pStyle w:val="afffc"/>
                          <w:spacing w:before="0" w:beforeAutospacing="0" w:after="0" w:afterAutospacing="0"/>
                          <w:rPr>
                            <w:rFonts w:ascii="Georgia" w:hAnsi="Georgia"/>
                            <w:sz w:val="17"/>
                            <w:szCs w:val="17"/>
                            <w:lang w:val="ru-RU"/>
                          </w:rPr>
                        </w:pPr>
                        <w:r w:rsidRPr="003E030B">
                          <w:rPr>
                            <w:rFonts w:ascii="Georgia" w:hAnsi="Georgia" w:cstheme="minorBidi"/>
                            <w:color w:val="000000" w:themeColor="text1"/>
                            <w:kern w:val="24"/>
                            <w:sz w:val="17"/>
                            <w:szCs w:val="17"/>
                            <w:lang w:val="ru-RU"/>
                          </w:rPr>
                          <w:t>Yes</w:t>
                        </w:r>
                      </w:p>
                    </w:txbxContent>
                  </v:textbox>
                </v:shape>
                <v:shape id="Textfeld 38" o:spid="_x0000_s1052" type="#_x0000_t202" style="position:absolute;left:26603;top:33158;width:4240;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kjwgAAANwAAAAPAAAAZHJzL2Rvd25yZXYueG1sRE89b8Iw&#10;EN2R+A/WIXVrHBBqS8AgikQFQ4cGBtiO+Igj4nMauxD+PR4qMT6979mis7W4UusrxwqGSQqCuHC6&#10;4lLBfrd+/QDhA7LG2jEpuJOHxbzfm2Gm3Y1/6JqHUsQQ9hkqMCE0mZS+MGTRJ64hjtzZtRZDhG0p&#10;dYu3GG5rOUrTN2mx4thgsKGVoeKS/1kF2xzH93f8PGzyzpzktxn9ro5fSr0MuuUURKAuPMX/7o1W&#10;MBnG+fFMPAJy/gAAAP//AwBQSwECLQAUAAYACAAAACEA2+H2y+4AAACFAQAAEwAAAAAAAAAAAAAA&#10;AAAAAAAAW0NvbnRlbnRfVHlwZXNdLnhtbFBLAQItABQABgAIAAAAIQBa9CxbvwAAABUBAAALAAAA&#10;AAAAAAAAAAAAAB8BAABfcmVscy8ucmVsc1BLAQItABQABgAIAAAAIQB/iLkjwgAAANwAAAAPAAAA&#10;AAAAAAAAAAAAAAcCAABkcnMvZG93bnJldi54bWxQSwUGAAAAAAMAAwC3AAAA9gIAAAAA&#10;" filled="f" stroked="f" strokeweight="2pt">
                  <v:textbox inset="0,0,0,0">
                    <w:txbxContent>
                      <w:p w14:paraId="515D207A" w14:textId="77777777" w:rsidR="003A587C" w:rsidRPr="003E030B" w:rsidRDefault="003A587C" w:rsidP="00331FED">
                        <w:pPr>
                          <w:pStyle w:val="afffc"/>
                          <w:spacing w:before="0" w:beforeAutospacing="0" w:after="0" w:afterAutospacing="0"/>
                          <w:rPr>
                            <w:rFonts w:ascii="Georgia" w:hAnsi="Georgia"/>
                            <w:sz w:val="17"/>
                            <w:szCs w:val="17"/>
                            <w:lang w:val="ru-RU"/>
                          </w:rPr>
                        </w:pPr>
                        <w:r w:rsidRPr="003E030B">
                          <w:rPr>
                            <w:rFonts w:ascii="Georgia" w:hAnsi="Georgia" w:cstheme="minorBidi"/>
                            <w:color w:val="000000" w:themeColor="text1"/>
                            <w:kern w:val="24"/>
                            <w:sz w:val="17"/>
                            <w:szCs w:val="17"/>
                            <w:lang w:val="ru-RU"/>
                          </w:rPr>
                          <w:t>No</w:t>
                        </w:r>
                      </w:p>
                    </w:txbxContent>
                  </v:textbox>
                </v:shape>
                <v:shape id="Textfeld 39" o:spid="_x0000_s1053" type="#_x0000_t202" style="position:absolute;left:26603;top:15761;width:4240;height:1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By4xgAAANwAAAAPAAAAZHJzL2Rvd25yZXYueG1sRI9Ba8JA&#10;FITvQv/D8gq9mU2kaE1dpRUqevBg2oPentnXbGj2bZrdavz3riD0OMzMN8xs0dtGnKjztWMFWZKC&#10;IC6drrlS8PX5MXwB4QOyxsYxKbiQh8X8YTDDXLsz7+hUhEpECPscFZgQ2lxKXxqy6BPXEkfv23UW&#10;Q5RdJXWH5wi3jRyl6VharDkuGGxpaaj8Kf6sgk2Bz5cJvu/XRW+OcmtGv8vDSqmnx/7tFUSgPvyH&#10;7+21VjDNMridiUdAzq8AAAD//wMAUEsBAi0AFAAGAAgAAAAhANvh9svuAAAAhQEAABMAAAAAAAAA&#10;AAAAAAAAAAAAAFtDb250ZW50X1R5cGVzXS54bWxQSwECLQAUAAYACAAAACEAWvQsW78AAAAVAQAA&#10;CwAAAAAAAAAAAAAAAAAfAQAAX3JlbHMvLnJlbHNQSwECLQAUAAYACAAAACEAEMQcuMYAAADcAAAA&#10;DwAAAAAAAAAAAAAAAAAHAgAAZHJzL2Rvd25yZXYueG1sUEsFBgAAAAADAAMAtwAAAPoCAAAAAA==&#10;" filled="f" stroked="f" strokeweight="2pt">
                  <v:textbox inset="0,0,0,0">
                    <w:txbxContent>
                      <w:p w14:paraId="1917FA74" w14:textId="77777777" w:rsidR="003A587C" w:rsidRPr="003E030B" w:rsidRDefault="003A587C" w:rsidP="00331FED">
                        <w:pPr>
                          <w:pStyle w:val="afffc"/>
                          <w:spacing w:before="0" w:beforeAutospacing="0" w:after="0" w:afterAutospacing="0"/>
                          <w:rPr>
                            <w:rFonts w:ascii="Georgia" w:hAnsi="Georgia"/>
                            <w:sz w:val="17"/>
                            <w:szCs w:val="17"/>
                            <w:lang w:val="ru-RU"/>
                          </w:rPr>
                        </w:pPr>
                        <w:r w:rsidRPr="003E030B">
                          <w:rPr>
                            <w:rFonts w:ascii="Georgia" w:hAnsi="Georgia" w:cstheme="minorBidi"/>
                            <w:color w:val="000000" w:themeColor="text1"/>
                            <w:kern w:val="24"/>
                            <w:sz w:val="17"/>
                            <w:szCs w:val="17"/>
                            <w:lang w:val="ru-RU"/>
                          </w:rPr>
                          <w:t>Yes</w:t>
                        </w:r>
                      </w:p>
                    </w:txbxContent>
                  </v:textbox>
                </v:shape>
                <v:shape id="Textfeld 40" o:spid="_x0000_s1054" type="#_x0000_t202" style="position:absolute;left:26603;top:24466;width:4240;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oLPxQAAANwAAAAPAAAAZHJzL2Rvd25yZXYueG1sRI9Ba8JA&#10;FITvgv9heYXedGMo1kZXUaGiBw+mPbS31+wzG5p9G7Nbjf/eFQoeh5n5hpktOluLM7W+cqxgNExA&#10;EBdOV1wq+Px4H0xA+ICssXZMCq7kYTHv92aYaXfhA53zUIoIYZ+hAhNCk0npC0MW/dA1xNE7utZi&#10;iLItpW7xEuG2lmmSjKXFiuOCwYbWhorf/M8q2OX4cn3F1dc278yP3Jv0tP7eKPX81C2nIAJ14RH+&#10;b2+1grdRCvcz8QjI+Q0AAP//AwBQSwECLQAUAAYACAAAACEA2+H2y+4AAACFAQAAEwAAAAAAAAAA&#10;AAAAAAAAAAAAW0NvbnRlbnRfVHlwZXNdLnhtbFBLAQItABQABgAIAAAAIQBa9CxbvwAAABUBAAAL&#10;AAAAAAAAAAAAAAAAAB8BAABfcmVscy8ucmVsc1BLAQItABQABgAIAAAAIQDgFoLPxQAAANwAAAAP&#10;AAAAAAAAAAAAAAAAAAcCAABkcnMvZG93bnJldi54bWxQSwUGAAAAAAMAAwC3AAAA+QIAAAAA&#10;" filled="f" stroked="f" strokeweight="2pt">
                  <v:textbox inset="0,0,0,0">
                    <w:txbxContent>
                      <w:p w14:paraId="5D2780F1" w14:textId="77777777" w:rsidR="003A587C" w:rsidRPr="003E030B" w:rsidRDefault="003A587C" w:rsidP="00331FED">
                        <w:pPr>
                          <w:pStyle w:val="afffc"/>
                          <w:spacing w:before="0" w:beforeAutospacing="0" w:after="0" w:afterAutospacing="0"/>
                          <w:rPr>
                            <w:rFonts w:ascii="Georgia" w:hAnsi="Georgia"/>
                            <w:sz w:val="17"/>
                            <w:szCs w:val="17"/>
                            <w:lang w:val="ru-RU"/>
                          </w:rPr>
                        </w:pPr>
                        <w:r w:rsidRPr="003E030B">
                          <w:rPr>
                            <w:rFonts w:ascii="Georgia" w:hAnsi="Georgia" w:cstheme="minorBidi"/>
                            <w:color w:val="000000" w:themeColor="text1"/>
                            <w:kern w:val="24"/>
                            <w:sz w:val="17"/>
                            <w:szCs w:val="17"/>
                            <w:lang w:val="ru-RU"/>
                          </w:rPr>
                          <w:t>Yes</w:t>
                        </w:r>
                      </w:p>
                    </w:txbxContent>
                  </v:textbox>
                </v:shape>
                <v:rect id="Rechteck 7" o:spid="_x0000_s1055" style="position:absolute;left:41110;top:1;width:19184;height:5115;visibility:visible;mso-wrap-style:squar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tCmxAAAANwAAAAPAAAAZHJzL2Rvd25yZXYueG1sRI/RisIw&#10;FETfBf8hXME3TVxBtBpFZBf0YRWrH3Bprm21uSlNVut+vVlY8HGYmTPMYtXaStyp8aVjDaOhAkGc&#10;OVNyruF8+hpMQfiAbLByTBqe5GG17HYWmBj34CPd05CLCGGfoIYihDqR0mcFWfRDVxNH7+IaiyHK&#10;JpemwUeE20p+KDWRFkuOCwXWtCkou6U/VsPnZHrc+ev+d6bOqao25eF77A5a93vteg4iUBve4f/2&#10;1miYjcbwdyYeAbl8AQAA//8DAFBLAQItABQABgAIAAAAIQDb4fbL7gAAAIUBAAATAAAAAAAAAAAA&#10;AAAAAAAAAABbQ29udGVudF9UeXBlc10ueG1sUEsBAi0AFAAGAAgAAAAhAFr0LFu/AAAAFQEAAAsA&#10;AAAAAAAAAAAAAAAAHwEAAF9yZWxzLy5yZWxzUEsBAi0AFAAGAAgAAAAhAIWi0KbEAAAA3AAAAA8A&#10;AAAAAAAAAAAAAAAABwIAAGRycy9kb3ducmV2LnhtbFBLBQYAAAAAAwADALcAAAD4AgAAAAA=&#10;" fillcolor="#c0504d [3205]" strokecolor="#622423 [1605]" strokeweight="2pt">
                  <v:textbox inset="2mm,2mm,2mm,2mm">
                    <w:txbxContent>
                      <w:p w14:paraId="12D5D22B" w14:textId="77777777" w:rsidR="003A587C" w:rsidRPr="00CA5A7A" w:rsidRDefault="003A587C" w:rsidP="00331FED">
                        <w:pPr>
                          <w:pStyle w:val="afffc"/>
                          <w:spacing w:before="0" w:beforeAutospacing="0" w:after="0" w:afterAutospacing="0"/>
                          <w:jc w:val="center"/>
                          <w:rPr>
                            <w:rFonts w:ascii="Georgia" w:hAnsi="Georgia"/>
                            <w:sz w:val="20"/>
                            <w:szCs w:val="20"/>
                            <w:lang w:val="ru-RU"/>
                          </w:rPr>
                        </w:pPr>
                        <w:r w:rsidRPr="00CA5A7A">
                          <w:rPr>
                            <w:rFonts w:ascii="Georgia" w:hAnsi="Georgia" w:cstheme="minorBidi"/>
                            <w:kern w:val="24"/>
                            <w:sz w:val="20"/>
                            <w:szCs w:val="20"/>
                            <w:lang w:val="ru-RU"/>
                          </w:rPr>
                          <w:t>Derivative financial instruments</w:t>
                        </w:r>
                      </w:p>
                    </w:txbxContent>
                  </v:textbox>
                </v:rect>
                <v:rect id="Rechteck 8" o:spid="_x0000_s1056" style="position:absolute;left:61719;top:1;width:19185;height:5115;visibility:visible;mso-wrap-style:squar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0jSxQAAANwAAAAPAAAAZHJzL2Rvd25yZXYueG1sRI/dagIx&#10;FITvBd8hHKF3mviD6NYoIgrthRVXH+CwOd3ddnOybKJufXpTELwcZuYbZrFqbSWu1PjSsYbhQIEg&#10;zpwpOddwPu36MxA+IBusHJOGP/KwWnY7C0yMu/GRrmnIRYSwT1BDEUKdSOmzgiz6gauJo/ftGosh&#10;yiaXpsFbhNtKjpSaSoslx4UCa9oUlP2mF6thO50dP/3P132uzqmqNuVhP3YHrd967fodRKA2vMLP&#10;9ofRMB9O4P9MPAJy+QAAAP//AwBQSwECLQAUAAYACAAAACEA2+H2y+4AAACFAQAAEwAAAAAAAAAA&#10;AAAAAAAAAAAAW0NvbnRlbnRfVHlwZXNdLnhtbFBLAQItABQABgAIAAAAIQBa9CxbvwAAABUBAAAL&#10;AAAAAAAAAAAAAAAAAB8BAABfcmVscy8ucmVsc1BLAQItABQABgAIAAAAIQAKS0jSxQAAANwAAAAP&#10;AAAAAAAAAAAAAAAAAAcCAABkcnMvZG93bnJldi54bWxQSwUGAAAAAAMAAwC3AAAA+QIAAAAA&#10;" fillcolor="#c0504d [3205]" strokecolor="#622423 [1605]" strokeweight="2pt">
                  <v:textbox inset="2mm,2mm,2mm,2mm">
                    <w:txbxContent>
                      <w:p w14:paraId="1EF88687" w14:textId="77777777" w:rsidR="003A587C" w:rsidRPr="00CA5A7A" w:rsidRDefault="003A587C" w:rsidP="00331FED">
                        <w:pPr>
                          <w:pStyle w:val="afffc"/>
                          <w:spacing w:before="0" w:beforeAutospacing="0" w:after="0" w:afterAutospacing="0"/>
                          <w:jc w:val="center"/>
                          <w:rPr>
                            <w:rFonts w:ascii="Georgia" w:hAnsi="Georgia"/>
                            <w:sz w:val="20"/>
                            <w:szCs w:val="20"/>
                            <w:lang w:val="ru-RU"/>
                          </w:rPr>
                        </w:pPr>
                        <w:r w:rsidRPr="00CA5A7A">
                          <w:rPr>
                            <w:rFonts w:ascii="Georgia" w:hAnsi="Georgia" w:cstheme="minorBidi"/>
                            <w:kern w:val="24"/>
                            <w:sz w:val="20"/>
                            <w:szCs w:val="20"/>
                            <w:lang w:val="ru-RU"/>
                          </w:rPr>
                          <w:t>Equity instruments</w:t>
                        </w:r>
                      </w:p>
                    </w:txbxContent>
                  </v:textbox>
                </v:rect>
                <v:rect id="Rechteck 10" o:spid="_x0000_s1057" style="position:absolute;left:41314;top:34991;width:19209;height:5117;visibility:visible;mso-wrap-style:squar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1JxQAAANwAAAAPAAAAZHJzL2Rvd25yZXYueG1sRI/RagIx&#10;FETfBf8hXKFvmqgoujWKiEL7YMXVD7hsbne33dwsm6hbv94UBB+HmTnDLFatrcSVGl861jAcKBDE&#10;mTMl5xrOp11/BsIHZIOVY9LwRx5Wy25ngYlxNz7SNQ25iBD2CWooQqgTKX1WkEU/cDVx9L5dYzFE&#10;2eTSNHiLcFvJkVJTabHkuFBgTZuCst/0YjVsp7Pjp//5us/VOVXVpjzsx+6g9VuvXb+DCNSGV/jZ&#10;/jAa5sMJ/J+JR0AuHwAAAP//AwBQSwECLQAUAAYACAAAACEA2+H2y+4AAACFAQAAEwAAAAAAAAAA&#10;AAAAAAAAAAAAW0NvbnRlbnRfVHlwZXNdLnhtbFBLAQItABQABgAIAAAAIQBa9CxbvwAAABUBAAAL&#10;AAAAAAAAAAAAAAAAAB8BAABfcmVscy8ucmVsc1BLAQItABQABgAIAAAAIQBlB+1JxQAAANwAAAAP&#10;AAAAAAAAAAAAAAAAAAcCAABkcnMvZG93bnJldi54bWxQSwUGAAAAAAMAAwC3AAAA+QIAAAAA&#10;" fillcolor="#c0504d [3205]" strokecolor="#622423 [1605]" strokeweight="2pt">
                  <v:textbox inset="2mm,2mm,2mm,2mm">
                    <w:txbxContent>
                      <w:p w14:paraId="2390BCEA" w14:textId="77777777" w:rsidR="003A587C" w:rsidRPr="004E2243" w:rsidRDefault="003A587C" w:rsidP="00331FED">
                        <w:pPr>
                          <w:pStyle w:val="afffc"/>
                          <w:spacing w:before="0" w:beforeAutospacing="0" w:after="0" w:afterAutospacing="0"/>
                          <w:jc w:val="center"/>
                          <w:rPr>
                            <w:rFonts w:ascii="Georgia" w:hAnsi="Georgia"/>
                            <w:sz w:val="20"/>
                            <w:szCs w:val="20"/>
                            <w:lang w:val="ru-RU"/>
                          </w:rPr>
                        </w:pPr>
                        <w:r>
                          <w:rPr>
                            <w:rFonts w:ascii="Georgia" w:hAnsi="Georgia" w:cstheme="minorBidi"/>
                            <w:b/>
                            <w:bCs/>
                            <w:i/>
                            <w:iCs/>
                            <w:color w:val="FFFFFF" w:themeColor="background1"/>
                            <w:kern w:val="24"/>
                            <w:sz w:val="20"/>
                            <w:szCs w:val="20"/>
                            <w:lang w:val="ru-RU"/>
                          </w:rPr>
                          <w:t>SSOPU</w:t>
                        </w:r>
                      </w:p>
                    </w:txbxContent>
                  </v:textbox>
                </v:rect>
                <v:rect id="Rechteck 11" o:spid="_x0000_s1058" style="position:absolute;left:61718;top:34990;width:19180;height:5117;visibility:visible;mso-wrap-style:squar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XM+xQAAANwAAAAPAAAAZHJzL2Rvd25yZXYueG1sRI/RasJA&#10;FETfC/2H5RZ8q7tWCCa6SpEW6kMVox9wyV6TaPZuyG419utdQfBxmJkzzGzR20acqfO1Yw2joQJB&#10;XDhTc6lhv/t+n4DwAdlg45g0XMnDYv76MsPMuAtv6ZyHUkQI+ww1VCG0mZS+qMiiH7qWOHoH11kM&#10;UXalNB1eItw28kOpRFqsOS5U2NKyouKU/1kNX8lku/LH9X+q9rlqlvXmd+w2Wg/e+s8piEB9eIYf&#10;7R+jIR0lcD8Tj4Cc3wAAAP//AwBQSwECLQAUAAYACAAAACEA2+H2y+4AAACFAQAAEwAAAAAAAAAA&#10;AAAAAAAAAAAAW0NvbnRlbnRfVHlwZXNdLnhtbFBLAQItABQABgAIAAAAIQBa9CxbvwAAABUBAAAL&#10;AAAAAAAAAAAAAAAAAB8BAABfcmVscy8ucmVsc1BLAQItABQABgAIAAAAIQCV1XM+xQAAANwAAAAP&#10;AAAAAAAAAAAAAAAAAAcCAABkcnMvZG93bnJldi54bWxQSwUGAAAAAAMAAwC3AAAA+QIAAAAA&#10;" fillcolor="#c0504d [3205]" strokecolor="#622423 [1605]" strokeweight="2pt">
                  <v:textbox inset="2mm,2mm,2mm,2mm">
                    <w:txbxContent>
                      <w:p w14:paraId="231A3C02" w14:textId="77777777" w:rsidR="003A587C" w:rsidRPr="004E2243" w:rsidRDefault="003A587C" w:rsidP="00331FED">
                        <w:pPr>
                          <w:pStyle w:val="afffc"/>
                          <w:spacing w:before="0" w:beforeAutospacing="0" w:after="0" w:afterAutospacing="0"/>
                          <w:jc w:val="center"/>
                          <w:rPr>
                            <w:rFonts w:ascii="Georgia" w:hAnsi="Georgia"/>
                            <w:sz w:val="20"/>
                            <w:szCs w:val="20"/>
                            <w:lang w:val="ru-RU"/>
                          </w:rPr>
                        </w:pPr>
                        <w:r>
                          <w:rPr>
                            <w:rFonts w:ascii="Georgia" w:hAnsi="Georgia" w:cstheme="minorBidi"/>
                            <w:b/>
                            <w:bCs/>
                            <w:i/>
                            <w:iCs/>
                            <w:color w:val="FFFFFF" w:themeColor="background1"/>
                            <w:kern w:val="24"/>
                            <w:sz w:val="20"/>
                            <w:szCs w:val="20"/>
                            <w:lang w:val="ru-RU"/>
                          </w:rPr>
                          <w:t>MTPAS</w:t>
                        </w:r>
                      </w:p>
                    </w:txbxContent>
                  </v:textbox>
                </v:rect>
                <v:rect id="Rechteck 15" o:spid="_x0000_s1059" style="position:absolute;left:61712;top:26408;width:19188;height:6297;visibility:visible;mso-wrap-style:squar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P0DwQAAANwAAAAPAAAAZHJzL2Rvd25yZXYueG1sRI9Pi8Iw&#10;FMTvwn6H8Bb2pqke/NM1liKIXq16fyTPtrvNS0myWr/9RhA8DjPzG2ZdDLYTN/KhdaxgOslAEGtn&#10;Wq4VnE+78RJEiMgGO8ek4EEBis3HaI25cXc+0q2KtUgQDjkqaGLscymDbshimLieOHlX5y3GJH0t&#10;jcd7gttOzrJsLi22nBYa7GnbkP6t/qwCby+XbZjVOtNYLcvdsD93P6zU1+dQfoOINMR3+NU+GAWr&#10;6QKeZ9IRkJt/AAAA//8DAFBLAQItABQABgAIAAAAIQDb4fbL7gAAAIUBAAATAAAAAAAAAAAAAAAA&#10;AAAAAABbQ29udGVudF9UeXBlc10ueG1sUEsBAi0AFAAGAAgAAAAhAFr0LFu/AAAAFQEAAAsAAAAA&#10;AAAAAAAAAAAAHwEAAF9yZWxzLy5yZWxzUEsBAi0AFAAGAAgAAAAhACs0/QPBAAAA3AAAAA8AAAAA&#10;AAAAAAAAAAAABwIAAGRycy9kb3ducmV2LnhtbFBLBQYAAAAAAwADALcAAAD1AgAAAAA=&#10;" fillcolor="white [3212]" strokecolor="#622423 [1605]" strokeweight="2pt">
                  <v:textbox inset="1mm,0,1mm,0">
                    <w:txbxContent>
                      <w:p w14:paraId="0FF4C116" w14:textId="4E534EEB" w:rsidR="003A587C" w:rsidRPr="00F865FB" w:rsidRDefault="003A587C" w:rsidP="00331FED">
                        <w:pPr>
                          <w:pStyle w:val="afffc"/>
                          <w:spacing w:before="0" w:beforeAutospacing="0" w:after="0" w:afterAutospacing="0"/>
                          <w:jc w:val="center"/>
                          <w:rPr>
                            <w:rFonts w:ascii="Georgia" w:hAnsi="Georgia"/>
                            <w:sz w:val="16"/>
                            <w:szCs w:val="16"/>
                            <w:lang w:val="ru-RU"/>
                          </w:rPr>
                        </w:pPr>
                        <w:r w:rsidRPr="007D770B">
                          <w:rPr>
                            <w:rFonts w:ascii="Georgia" w:hAnsi="Georgia" w:cstheme="minorBidi"/>
                            <w:kern w:val="24"/>
                            <w:sz w:val="16"/>
                            <w:szCs w:val="16"/>
                          </w:rPr>
                          <w:t xml:space="preserve">Is the option to account for the instrument at fair value through other comprehensive income utilized? </w:t>
                        </w:r>
                        <w:r>
                          <w:rPr>
                            <w:rFonts w:ascii="Georgia" w:hAnsi="Georgia" w:cstheme="minorBidi"/>
                            <w:kern w:val="24"/>
                            <w:sz w:val="16"/>
                            <w:szCs w:val="16"/>
                            <w:lang w:val="ru-RU"/>
                          </w:rPr>
                          <w:t>**</w:t>
                        </w:r>
                      </w:p>
                    </w:txbxContent>
                  </v:textbox>
                </v:rect>
                <v:shape id="Gerade Verbindung mit Pfeil 19" o:spid="_x0000_s1060" type="#_x0000_t32" style="position:absolute;left:9603;top:5116;width:0;height:24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D5gwAAAANwAAAAPAAAAZHJzL2Rvd25yZXYueG1sRE9Na8JA&#10;EL0X/A/LCF5K3ahQNHUVFQpBvDSKvQ7ZaRLMzobsNKb/vnsQPD7e93o7uEb11IXas4HZNAFFXHhb&#10;c2ngcv58W4IKgmyx8UwG/ijAdjN6WWNq/Z2/qM+lVDGEQ4oGKpE21ToUFTkMU98SR+7Hdw4lwq7U&#10;tsN7DHeNnifJu3ZYc2yosKVDRcUt/3UG8kWWX0Wfjv3rgnUm37R3gYyZjIfdByihQZ7ihzuzBlaz&#10;uDaeiUdAb/4BAAD//wMAUEsBAi0AFAAGAAgAAAAhANvh9svuAAAAhQEAABMAAAAAAAAAAAAAAAAA&#10;AAAAAFtDb250ZW50X1R5cGVzXS54bWxQSwECLQAUAAYACAAAACEAWvQsW78AAAAVAQAACwAAAAAA&#10;AAAAAAAAAAAfAQAAX3JlbHMvLnJlbHNQSwECLQAUAAYACAAAACEA4Lg+YMAAAADcAAAADwAAAAAA&#10;AAAAAAAAAAAHAgAAZHJzL2Rvd25yZXYueG1sUEsFBgAAAAADAAMAtwAAAPQCAAAAAA==&#10;" strokecolor="#622423 [1605]" strokeweight="2pt">
                  <v:stroke endarrow="block"/>
                </v:shape>
                <v:shape id="Gerade Verbindung mit Pfeil 20" o:spid="_x0000_s1061" type="#_x0000_t32" style="position:absolute;left:9603;top:23970;width:0;height:24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80cYxAAAANwAAAAPAAAAZHJzL2Rvd25yZXYueG1sRI9Ba8JA&#10;FITvBf/D8oReim5ai7TRVaxQCKUXY7HXR/aZBLNvQ/YZ03/fFQSPw8x8wyzXg2tUT12oPRt4niag&#10;iAtvay4N/Ow/J2+ggiBbbDyTgT8KsF6NHpaYWn/hHfW5lCpCOKRooBJpU61DUZHDMPUtcfSOvnMo&#10;UXalth1eItw1+iVJ5tphzXGhwpa2FRWn/OwM5LMsP4j+/uqfZqwz+aUPF8iYx/GwWYASGuQevrUz&#10;a+B9/grXM/EI6NU/AAAA//8DAFBLAQItABQABgAIAAAAIQDb4fbL7gAAAIUBAAATAAAAAAAAAAAA&#10;AAAAAAAAAABbQ29udGVudF9UeXBlc10ueG1sUEsBAi0AFAAGAAgAAAAhAFr0LFu/AAAAFQEAAAsA&#10;AAAAAAAAAAAAAAAAHwEAAF9yZWxzLy5yZWxzUEsBAi0AFAAGAAgAAAAhADnzRxjEAAAA3AAAAA8A&#10;AAAAAAAAAAAAAAAABwIAAGRycy9kb3ducmV2LnhtbFBLBQYAAAAAAwADALcAAAD4AgAAAAA=&#10;" strokecolor="#622423 [1605]" strokeweight="2pt">
                  <v:stroke endarrow="block"/>
                </v:shape>
                <v:shape id="Gerade Verbindung mit Pfeil 22" o:spid="_x0000_s1062" type="#_x0000_t32" style="position:absolute;left:30173;top:15326;width:2;height:23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KDxAAAANwAAAAPAAAAZHJzL2Rvd25yZXYueG1sRI9Ba8JA&#10;FITvBf/D8oReim5aqbTRVaxQCKUXY7HXR/aZBLNvQ/YZ03/fFQSPw8x8wyzXg2tUT12oPRt4niag&#10;iAtvay4N/Ow/J2+ggiBbbDyTgT8KsF6NHpaYWn/hHfW5lCpCOKRooBJpU61DUZHDMPUtcfSOvnMo&#10;UXalth1eItw1+iVJ5tphzXGhwpa2FRWn/OwM5LMsP4j+/uqfZqwz+aUPF8iYx/GwWYASGuQevrUz&#10;a+B9/grXM/EI6NU/AAAA//8DAFBLAQItABQABgAIAAAAIQDb4fbL7gAAAIUBAAATAAAAAAAAAAAA&#10;AAAAAAAAAABbQ29udGVudF9UeXBlc10ueG1sUEsBAi0AFAAGAAgAAAAhAFr0LFu/AAAAFQEAAAsA&#10;AAAAAAAAAAAAAAAAHwEAAF9yZWxzLy5yZWxzUEsBAi0AFAAGAAgAAAAhAFa/4oPEAAAA3AAAAA8A&#10;AAAAAAAAAAAAAAAABwIAAGRycy9kb3ducmV2LnhtbFBLBQYAAAAAAwADALcAAAD4AgAAAAA=&#10;" strokecolor="#622423 [1605]" strokeweight="2pt">
                  <v:stroke endarrow="block"/>
                </v:shape>
                <v:shape id="Gerade Verbindung mit Pfeil 23" o:spid="_x0000_s1063" type="#_x0000_t32" style="position:absolute;left:30175;top:23970;width:0;height:24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Xz0wwAAANwAAAAPAAAAZHJzL2Rvd25yZXYueG1sRI9Ba8JA&#10;FITvBf/D8oReim5aIdToKloQQumlqej1kX0mwezbkH3G9N93C4Ueh5n5hllvR9eqgfrQeDbwPE9A&#10;EZfeNlwZOH4dZq+ggiBbbD2TgW8KsN1MHtaYWX/nTxoKqVSEcMjQQC3SZVqHsiaHYe474uhdfO9Q&#10;ouwrbXu8R7hr9UuSpNphw3Ghxo7eaiqvxc0ZKBZ5cRL98T48LVjncqa9C2TM43TcrUAJjfIf/mvn&#10;1sAyTeH3TDwCevMDAAD//wMAUEsBAi0AFAAGAAgAAAAhANvh9svuAAAAhQEAABMAAAAAAAAAAAAA&#10;AAAAAAAAAFtDb250ZW50X1R5cGVzXS54bWxQSwECLQAUAAYACAAAACEAWvQsW78AAAAVAQAACwAA&#10;AAAAAAAAAAAAAAAfAQAAX3JlbHMvLnJlbHNQSwECLQAUAAYACAAAACEApm189MMAAADcAAAADwAA&#10;AAAAAAAAAAAAAAAHAgAAZHJzL2Rvd25yZXYueG1sUEsFBgAAAAADAAMAtwAAAPcCAAAAAA==&#10;" strokecolor="#622423 [1605]" strokeweight="2pt">
                  <v:stroke endarrow="block"/>
                </v:shape>
                <v:shape id="Gerade Verbindung mit Pfeil 25" o:spid="_x0000_s1064" type="#_x0000_t32" style="position:absolute;left:71306;top:15326;width:3;height:1108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kh6xAAAANwAAAAPAAAAZHJzL2Rvd25yZXYueG1sRI/NbsIw&#10;EITvlXgHa5G4FQcOEAIGIURROfRQfu6reIkD8dqKXZK+fV2pUo+jmflGs9r0thFPakPtWMFknIEg&#10;Lp2uuVJwOb+95iBCRNbYOCYF3xRgsx68rLDQruNPep5iJRKEQ4EKTIy+kDKUhiyGsfPEybu51mJM&#10;sq2kbrFLcNvIaZbNpMWa04JBTztD5eP0ZRV0Hn15a+7+ms8/Dvl0f6wNH5UaDfvtEkSkPv6H/9rv&#10;WsFiNoffM+kIyPUPAAAA//8DAFBLAQItABQABgAIAAAAIQDb4fbL7gAAAIUBAAATAAAAAAAAAAAA&#10;AAAAAAAAAABbQ29udGVudF9UeXBlc10ueG1sUEsBAi0AFAAGAAgAAAAhAFr0LFu/AAAAFQEAAAsA&#10;AAAAAAAAAAAAAAAAHwEAAF9yZWxzLy5yZWxzUEsBAi0AFAAGAAgAAAAhAJXuSHrEAAAA3AAAAA8A&#10;AAAAAAAAAAAAAAAABwIAAGRycy9kb3ducmV2LnhtbFBLBQYAAAAAAwADALcAAAD4AgAAAAA=&#10;" strokecolor="#622423 [1605]" strokeweight="2pt">
                  <v:stroke endarrow="block"/>
                </v:shape>
                <v:shape id="Gerade Verbindung mit Pfeil 26" o:spid="_x0000_s1065" type="#_x0000_t32" style="position:absolute;left:71306;top:32705;width:2;height:22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k0dwAAAANwAAAAPAAAAZHJzL2Rvd25yZXYueG1sRE9Na8JA&#10;EL0X/A/LCL2UulFBNHUVFYRQejGKvQ7ZaRLMzobsGNN/3z0UPD7e93o7uEb11IXas4HpJAFFXHhb&#10;c2ngcj6+L0EFQbbYeCYDvxRguxm9rDG1/sEn6nMpVQzhkKKBSqRNtQ5FRQ7DxLfEkfvxnUOJsCu1&#10;7fARw12jZ0my0A5rjg0VtnSoqLjld2cgn2f5VfTXZ/82Z53JN+1dIGNex8PuA5TQIE/xvzuzBlaL&#10;uDaeiUdAb/4AAAD//wMAUEsBAi0AFAAGAAgAAAAhANvh9svuAAAAhQEAABMAAAAAAAAAAAAAAAAA&#10;AAAAAFtDb250ZW50X1R5cGVzXS54bWxQSwECLQAUAAYACAAAACEAWvQsW78AAAAVAQAACwAAAAAA&#10;AAAAAAAAAAAfAQAAX3JlbHMvLnJlbHNQSwECLQAUAAYACAAAACEAuL5NHcAAAADcAAAADwAAAAAA&#10;AAAAAAAAAAAHAgAAZHJzL2Rvd25yZXYueG1sUEsFBgAAAAADAAMAtwAAAPQCAAAAAA==&#10;" strokecolor="#622423 [1605]" strokeweight="2pt">
                  <v:stroke endarrow="block"/>
                </v:shape>
                <v:shape id="Gerade Verbindung mit Pfeil 27" o:spid="_x0000_s1066" type="#_x0000_t32" style="position:absolute;left:50702;top:5116;width:217;height:298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uiGwwAAANwAAAAPAAAAZHJzL2Rvd25yZXYueG1sRI9Ba8JA&#10;FITvBf/D8oReim5aQTS6ihaEUHppFL0+ss8kmH0bss+Y/vtuodDjMDPfMOvt4BrVUxdqzwZepwko&#10;4sLbmksDp+NhsgAVBNli45kMfFOA7Wb0tMbU+gd/UZ9LqSKEQ4oGKpE21ToUFTkMU98SR+/qO4cS&#10;ZVdq2+Ejwl2j35Jkrh3WHBcqbOm9ouKW352BfJblZ9GfH/3LjHUmF9q7QMY8j4fdCpTQIP/hv3Zm&#10;DSznS/g9E4+A3vwAAAD//wMAUEsBAi0AFAAGAAgAAAAhANvh9svuAAAAhQEAABMAAAAAAAAAAAAA&#10;AAAAAAAAAFtDb250ZW50X1R5cGVzXS54bWxQSwECLQAUAAYACAAAACEAWvQsW78AAAAVAQAACwAA&#10;AAAAAAAAAAAAAAAfAQAAX3JlbHMvLnJlbHNQSwECLQAUAAYACAAAACEA1/LohsMAAADcAAAADwAA&#10;AAAAAAAAAAAAAAAHAgAAZHJzL2Rvd25yZXYueG1sUEsFBgAAAAADAAMAtwAAAPcCAAAAAA==&#10;" strokecolor="#622423 [1605]" strokeweight="2pt">
                  <v:stroke endarrow="block"/>
                </v:shape>
                <v:shapetype id="_x0000_t33" coordsize="21600,21600" o:spt="33" o:oned="t" path="m,l21600,r,21600e" filled="f">
                  <v:stroke joinstyle="miter"/>
                  <v:path arrowok="t" fillok="f" o:connecttype="none"/>
                  <o:lock v:ext="edit" shapetype="t"/>
                </v:shapetype>
                <v:shape id="Gewinkelte Verbindung 29" o:spid="_x0000_s1067" type="#_x0000_t33" style="position:absolute;left:18248;top:11454;width:30846;height:2355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IjvwQAAANwAAAAPAAAAZHJzL2Rvd25yZXYueG1sRE/Pa8Iw&#10;FL4P/B/CE7zNVA86q1GsKMhu7Ybg7dE822LzUpJY6/765TDY8eP7vdkNphU9Od9YVjCbJiCIS6sb&#10;rhR8f53eP0D4gKyxtUwKXuRhtx29bTDV9sk59UWoRAxhn6KCOoQuldKXNRn0U9sRR+5mncEQoauk&#10;dviM4aaV8yRZSIMNx4YaOzrUVN6Lh1GQ9Z+uPCZF745DfnEmy5bXn1ypyXjYr0EEGsK/+M991gpW&#10;yzg/nolHQG5/AQAA//8DAFBLAQItABQABgAIAAAAIQDb4fbL7gAAAIUBAAATAAAAAAAAAAAAAAAA&#10;AAAAAABbQ29udGVudF9UeXBlc10ueG1sUEsBAi0AFAAGAAgAAAAhAFr0LFu/AAAAFQEAAAsAAAAA&#10;AAAAAAAAAAAAHwEAAF9yZWxzLy5yZWxzUEsBAi0AFAAGAAgAAAAhADLwiO/BAAAA3AAAAA8AAAAA&#10;AAAAAAAAAAAABwIAAGRycy9kb3ducmV2LnhtbFBLBQYAAAAAAwADALcAAAD1AgAAAAA=&#10;" strokecolor="#622423 [1605]" strokeweight="2pt">
                  <v:stroke endarrow="block"/>
                </v:shape>
                <v:shape id="Gewinkelte Verbindung 30" o:spid="_x0000_s1068" type="#_x0000_t33" style="position:absolute;left:39839;top:20849;width:7456;height:1415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C10xAAAANwAAAAPAAAAZHJzL2Rvd25yZXYueG1sRI9Ba8JA&#10;FITvBf/D8gRvdWMPWlNXMaIgvSWK0Nsj+5qEZt+G3W2M/vquIPQ4zMw3zGozmFb05HxjWcFsmoAg&#10;Lq1uuFJwPh1e30H4gKyxtUwKbuRhsx69rDDV9so59UWoRISwT1FBHUKXSunLmgz6qe2Io/dtncEQ&#10;paukdniNcNPKtySZS4MNx4UaO9rVVP4Uv0ZB1n+6cp8UvdsP+cWZLFt83XOlJuNh+wEi0BD+w8/2&#10;UStYLmbwOBOPgFz/AQAA//8DAFBLAQItABQABgAIAAAAIQDb4fbL7gAAAIUBAAATAAAAAAAAAAAA&#10;AAAAAAAAAABbQ29udGVudF9UeXBlc10ueG1sUEsBAi0AFAAGAAgAAAAhAFr0LFu/AAAAFQEAAAsA&#10;AAAAAAAAAAAAAAAAHwEAAF9yZWxzLy5yZWxzUEsBAi0AFAAGAAgAAAAhAF28LXTEAAAA3AAAAA8A&#10;AAAAAAAAAAAAAAAABwIAAGRycy9kb3ducmV2LnhtbFBLBQYAAAAAAwADALcAAAD4AgAAAAA=&#10;" strokecolor="#622423 [1605]" strokeweight="2pt">
                  <v:stroke endarrow="block"/>
                </v:shape>
                <v:shape id="Gewinkelte Verbindung 31" o:spid="_x0000_s1069" type="#_x0000_t33" style="position:absolute;left:39839;top:29557;width:5932;height:544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rMDxQAAANwAAAAPAAAAZHJzL2Rvd25yZXYueG1sRI9Ba8JA&#10;FITvhf6H5RW81Y0e1KZugikKpbdEKfT2yL4modm3YXcbY399VxA8DjPzDbPNJ9OLkZzvLCtYzBMQ&#10;xLXVHTcKTsfD8waED8gae8uk4EIe8uzxYYuptmcuaaxCIyKEfYoK2hCGVEpft2TQz+1AHL1v6wyG&#10;KF0jtcNzhJteLpNkJQ12HBdaHOitpfqn+jUKivHD1fukGt1+Kj+dKYr111+p1Oxp2r2CCDSFe/jW&#10;ftcKXtZLuJ6JR0Bm/wAAAP//AwBQSwECLQAUAAYACAAAACEA2+H2y+4AAACFAQAAEwAAAAAAAAAA&#10;AAAAAAAAAAAAW0NvbnRlbnRfVHlwZXNdLnhtbFBLAQItABQABgAIAAAAIQBa9CxbvwAAABUBAAAL&#10;AAAAAAAAAAAAAAAAAB8BAABfcmVscy8ucmVsc1BLAQItABQABgAIAAAAIQCtbrMDxQAAANwAAAAP&#10;AAAAAAAAAAAAAAAAAAcCAABkcnMvZG93bnJldi54bWxQSwUGAAAAAAMAAwC3AAAA+QIAAAAA&#10;" strokecolor="#622423 [1605]" strokeweight="2pt">
                  <v:stroke endarrow="block"/>
                </v:shape>
                <v:shape id="Gewinkelte Verbindung 32" o:spid="_x0000_s1070" type="#_x0000_t33" style="position:absolute;left:52452;top:11454;width:9262;height:23550;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FjZwwAAANwAAAAPAAAAZHJzL2Rvd25yZXYueG1sRI9Li8JA&#10;EITvgv9haMHbOtFdfERHkRXFi4ive5Npk2imJ2RGE//9jrDgsaiqr6jZojGFeFLlcssK+r0IBHFi&#10;dc6pgvNp/TUG4TyyxsIyKXiRg8W83ZphrG3NB3oefSoChF2MCjLvy1hKl2Rk0PVsSRy8q60M+iCr&#10;VOoK6wA3hRxE0VAazDksZFjSb0bJ/fgwCn7SzYX21+HybFevW39VbMt6Z5XqdprlFISnxn/C/+2t&#10;VjAZfcP7TDgCcv4HAAD//wMAUEsBAi0AFAAGAAgAAAAhANvh9svuAAAAhQEAABMAAAAAAAAAAAAA&#10;AAAAAAAAAFtDb250ZW50X1R5cGVzXS54bWxQSwECLQAUAAYACAAAACEAWvQsW78AAAAVAQAACwAA&#10;AAAAAAAAAAAAAAAfAQAAX3JlbHMvLnJlbHNQSwECLQAUAAYACAAAACEANERY2cMAAADcAAAADwAA&#10;AAAAAAAAAAAAAAAHAgAAZHJzL2Rvd25yZXYueG1sUEsFBgAAAAADAAMAtwAAAPcCAAAAAA==&#10;" strokecolor="#622423 [1605]" strokeweight="2pt">
                  <v:stroke endarrow="block"/>
                </v:shape>
                <v:shape id="Gewinkelte Verbindung 33" o:spid="_x0000_s1071" type="#_x0000_t33" style="position:absolute;left:53972;top:29557;width:7740;height:5446;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cCtwwAAANwAAAAPAAAAZHJzL2Rvd25yZXYueG1sRI9Pi8Iw&#10;FMTvwn6H8ARva+oirtamIiuKl0X8d380z7bavJQma+u3NwuCx2FmfsMki85U4k6NKy0rGA0jEMSZ&#10;1SXnCk7H9ecUhPPIGivLpOBBDhbpRy/BWNuW93Q/+FwECLsYFRTe17GULivIoBvamjh4F9sY9EE2&#10;udQNtgFuKvkVRRNpsOSwUGBNPwVlt8OfUTDON2faXSbLk109rqNVta3bX6vUoN8t5yA8df4dfrW3&#10;WsHsewz/Z8IRkOkTAAD//wMAUEsBAi0AFAAGAAgAAAAhANvh9svuAAAAhQEAABMAAAAAAAAAAAAA&#10;AAAAAAAAAFtDb250ZW50X1R5cGVzXS54bWxQSwECLQAUAAYACAAAACEAWvQsW78AAAAVAQAACwAA&#10;AAAAAAAAAAAAAAAfAQAAX3JlbHMvLnJlbHNQSwECLQAUAAYACAAAACEAu63ArcMAAADcAAAADwAA&#10;AAAAAAAAAAAAAAAHAgAAZHJzL2Rvd25yZXYueG1sUEsFBgAAAAADAAMAtwAAAPcCAAAAAA==&#10;" strokecolor="#622423 [1605]" strokeweight="2pt">
                  <v:stroke endarrow="block"/>
                </v:shape>
                <v:shape id="Gerade Verbindung mit Pfeil 42" o:spid="_x0000_s1072" type="#_x0000_t32" style="position:absolute;left:9603;top:14394;width:0;height:34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nRexAAAANwAAAAPAAAAZHJzL2Rvd25yZXYueG1sRI9Ba8JA&#10;FITvBf/D8oReim6stGp0lbZQCMVLo+j1kX0mwezbkH2N6b/vFgo9DjPzDbPZDa5RPXWh9mxgNk1A&#10;ERfe1lwaOB7eJ0tQQZAtNp7JwDcF2G1HdxtMrb/xJ/W5lCpCOKRooBJpU61DUZHDMPUtcfQuvnMo&#10;UXalth3eItw1+jFJnrXDmuNChS29VVRc8y9nIJ9n+Un0/qN/mLPO5EyvLpAx9+PhZQ1KaJD/8F87&#10;swZWiyf4PROPgN7+AAAA//8DAFBLAQItABQABgAIAAAAIQDb4fbL7gAAAIUBAAATAAAAAAAAAAAA&#10;AAAAAAAAAABbQ29udGVudF9UeXBlc10ueG1sUEsBAi0AFAAGAAgAAAAhAFr0LFu/AAAAFQEAAAsA&#10;AAAAAAAAAAAAAAAAHwEAAF9yZWxzLy5yZWxzUEsBAi0AFAAGAAgAAAAhANNmdF7EAAAA3AAAAA8A&#10;AAAAAAAAAAAAAAAABwIAAGRycy9kb3ducmV2LnhtbFBLBQYAAAAAAwADALcAAAD4AgAAAAA=&#10;" strokecolor="#622423 [1605]" strokeweight="2pt">
                  <v:stroke endarrow="block"/>
                </v:shape>
                <v:shape id="Textfeld 43" o:spid="_x0000_s1073" type="#_x0000_t202" style="position:absolute;left:40725;top:9850;width:4004;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mFsxQAAANwAAAAPAAAAZHJzL2Rvd25yZXYueG1sRI9BawIx&#10;FITvBf9DeAVvNVsRratRrKDooQe3HvT23Lxulm5etpuo6783QsHjMDPfMNN5aytxocaXjhW89xIQ&#10;xLnTJRcK9t+rtw8QPiBrrByTght5mM86L1NMtbvyji5ZKESEsE9RgQmhTqX0uSGLvudq4uj9uMZi&#10;iLIppG7wGuG2kv0kGUqLJccFgzUtDeW/2dkq2GY4uI3w87DJWnOSX6b/tzyuleq+tosJiEBteIb/&#10;2xutYDwawuNMPAJydgcAAP//AwBQSwECLQAUAAYACAAAACEA2+H2y+4AAACFAQAAEwAAAAAAAAAA&#10;AAAAAAAAAAAAW0NvbnRlbnRfVHlwZXNdLnhtbFBLAQItABQABgAIAAAAIQBa9CxbvwAAABUBAAAL&#10;AAAAAAAAAAAAAAAAAB8BAABfcmVscy8ucmVsc1BLAQItABQABgAIAAAAIQBC8mFsxQAAANwAAAAP&#10;AAAAAAAAAAAAAAAAAAcCAABkcnMvZG93bnJldi54bWxQSwUGAAAAAAMAAwC3AAAA+QIAAAAA&#10;" filled="f" stroked="f" strokeweight="2pt">
                  <v:textbox inset="0,0,0,0">
                    <w:txbxContent>
                      <w:p w14:paraId="06D5EBC3" w14:textId="77777777" w:rsidR="003A587C" w:rsidRPr="003E030B" w:rsidRDefault="003A587C" w:rsidP="00331FED">
                        <w:pPr>
                          <w:pStyle w:val="afffc"/>
                          <w:spacing w:before="0" w:beforeAutospacing="0" w:after="0" w:afterAutospacing="0"/>
                          <w:rPr>
                            <w:rFonts w:ascii="Georgia" w:hAnsi="Georgia"/>
                            <w:sz w:val="17"/>
                            <w:szCs w:val="17"/>
                            <w:lang w:val="ru-RU"/>
                          </w:rPr>
                        </w:pPr>
                        <w:r w:rsidRPr="003E030B">
                          <w:rPr>
                            <w:rFonts w:ascii="Georgia" w:hAnsi="Georgia" w:cstheme="minorBidi"/>
                            <w:color w:val="000000" w:themeColor="text1"/>
                            <w:kern w:val="24"/>
                            <w:sz w:val="17"/>
                            <w:szCs w:val="17"/>
                            <w:lang w:val="ru-RU"/>
                          </w:rPr>
                          <w:t>No</w:t>
                        </w:r>
                      </w:p>
                    </w:txbxContent>
                  </v:textbox>
                </v:shape>
                <v:shape id="Textfeld 44" o:spid="_x0000_s1074" type="#_x0000_t202" style="position:absolute;left:40725;top:19328;width:4004;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sT3xQAAANwAAAAPAAAAZHJzL2Rvd25yZXYueG1sRI9Ba8JA&#10;FITvQv/D8gredKNIo6mrtEKLPfRg9KC3Z/Y1G8y+TbNbjf/eFQoeh5n5hpkvO1uLM7W+cqxgNExA&#10;EBdOV1wq2G0/BlMQPiBrrB2Tgit5WC6eenPMtLvwhs55KEWEsM9QgQmhyaT0hSGLfuga4uj9uNZi&#10;iLItpW7xEuG2luMkeZEWK44LBhtaGSpO+Z9V8JXj5Jri+36dd+Yov834d3X4VKr/3L29ggjUhUf4&#10;v73WCmZpCvcz8QjIxQ0AAP//AwBQSwECLQAUAAYACAAAACEA2+H2y+4AAACFAQAAEwAAAAAAAAAA&#10;AAAAAAAAAAAAW0NvbnRlbnRfVHlwZXNdLnhtbFBLAQItABQABgAIAAAAIQBa9CxbvwAAABUBAAAL&#10;AAAAAAAAAAAAAAAAAB8BAABfcmVscy8ucmVsc1BLAQItABQABgAIAAAAIQAtvsT3xQAAANwAAAAP&#10;AAAAAAAAAAAAAAAAAAcCAABkcnMvZG93bnJldi54bWxQSwUGAAAAAAMAAwC3AAAA+QIAAAAA&#10;" filled="f" stroked="f" strokeweight="2pt">
                  <v:textbox inset="0,0,0,0">
                    <w:txbxContent>
                      <w:p w14:paraId="55D2BCF3" w14:textId="77777777" w:rsidR="003A587C" w:rsidRPr="003E030B" w:rsidRDefault="003A587C" w:rsidP="00331FED">
                        <w:pPr>
                          <w:pStyle w:val="afffc"/>
                          <w:spacing w:before="0" w:beforeAutospacing="0" w:after="0" w:afterAutospacing="0"/>
                          <w:rPr>
                            <w:rFonts w:ascii="Georgia" w:hAnsi="Georgia"/>
                            <w:sz w:val="17"/>
                            <w:szCs w:val="17"/>
                            <w:lang w:val="ru-RU"/>
                          </w:rPr>
                        </w:pPr>
                        <w:r w:rsidRPr="003E030B">
                          <w:rPr>
                            <w:rFonts w:ascii="Georgia" w:hAnsi="Georgia" w:cstheme="minorBidi"/>
                            <w:color w:val="000000" w:themeColor="text1"/>
                            <w:kern w:val="24"/>
                            <w:sz w:val="17"/>
                            <w:szCs w:val="17"/>
                            <w:lang w:val="ru-RU"/>
                          </w:rPr>
                          <w:t>No</w:t>
                        </w:r>
                      </w:p>
                    </w:txbxContent>
                  </v:textbox>
                </v:shape>
                <v:shape id="Textfeld 45" o:spid="_x0000_s1075" type="#_x0000_t202" style="position:absolute;left:40725;top:27780;width:4004;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VCFwgAAANwAAAAPAAAAZHJzL2Rvd25yZXYueG1sRE89b8Iw&#10;EN2R+A/WIbE1DggVGjAIkIro0IHA0G7X+Igj4nMaGwj/vh4qMT6978Wqs7W4UesrxwpGSQqCuHC6&#10;4lLB6fj+MgPhA7LG2jEpeJCH1bLfW2Cm3Z0PdMtDKWII+wwVmBCaTEpfGLLoE9cQR+7sWoshwraU&#10;usV7DLe1HKfpq7RYcWww2NDWUHHJr1bBR46TxxQ3X/u8Mz/y04x/t987pYaDbj0HEagLT/G/e68V&#10;vE3j2ngmHgG5/AMAAP//AwBQSwECLQAUAAYACAAAACEA2+H2y+4AAACFAQAAEwAAAAAAAAAAAAAA&#10;AAAAAAAAW0NvbnRlbnRfVHlwZXNdLnhtbFBLAQItABQABgAIAAAAIQBa9CxbvwAAABUBAAALAAAA&#10;AAAAAAAAAAAAAB8BAABfcmVscy8ucmVsc1BLAQItABQABgAIAAAAIQBcIVCFwgAAANwAAAAPAAAA&#10;AAAAAAAAAAAAAAcCAABkcnMvZG93bnJldi54bWxQSwUGAAAAAAMAAwC3AAAA9gIAAAAA&#10;" filled="f" stroked="f" strokeweight="2pt">
                  <v:textbox inset="0,0,0,0">
                    <w:txbxContent>
                      <w:p w14:paraId="05EF107B" w14:textId="77777777" w:rsidR="003A587C" w:rsidRPr="002F0AEC" w:rsidRDefault="003A587C" w:rsidP="00331FED">
                        <w:pPr>
                          <w:pStyle w:val="afffc"/>
                          <w:spacing w:before="0" w:beforeAutospacing="0" w:after="0" w:afterAutospacing="0"/>
                          <w:rPr>
                            <w:rFonts w:ascii="Georgia" w:hAnsi="Georgia"/>
                            <w:sz w:val="17"/>
                            <w:szCs w:val="17"/>
                          </w:rPr>
                        </w:pPr>
                        <w:r w:rsidRPr="003E030B">
                          <w:rPr>
                            <w:rFonts w:ascii="Georgia" w:hAnsi="Georgia" w:cstheme="minorBidi"/>
                            <w:color w:val="000000" w:themeColor="text1"/>
                            <w:kern w:val="24"/>
                            <w:sz w:val="17"/>
                            <w:szCs w:val="17"/>
                            <w:lang w:val="ru-RU"/>
                          </w:rPr>
                          <w:t>Yes</w:t>
                        </w:r>
                      </w:p>
                    </w:txbxContent>
                  </v:textbox>
                </v:shape>
                <v:shape id="Textfeld 46" o:spid="_x0000_s1076" type="#_x0000_t202" style="position:absolute;left:56719;top:27780;width:4003;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fUexQAAANwAAAAPAAAAZHJzL2Rvd25yZXYueG1sRI9BawIx&#10;FITvhf6H8ArearYiVbdGaQXFHjy4etDbc/O6Wbp5WTdR139vBMHjMDPfMONpaytxpsaXjhV8dBMQ&#10;xLnTJRcKtpv5+xCED8gaK8ek4EoeppPXlzGm2l14TecsFCJC2KeowIRQp1L63JBF33U1cfT+XGMx&#10;RNkUUjd4iXBbyV6SfEqLJccFgzXNDOX/2ckq+M2wfx3gz26ZteYgV6Z3nO0XSnXe2u8vEIHa8Aw/&#10;2kutYDQYwf1MPAJycgMAAP//AwBQSwECLQAUAAYACAAAACEA2+H2y+4AAACFAQAAEwAAAAAAAAAA&#10;AAAAAAAAAAAAW0NvbnRlbnRfVHlwZXNdLnhtbFBLAQItABQABgAIAAAAIQBa9CxbvwAAABUBAAAL&#10;AAAAAAAAAAAAAAAAAB8BAABfcmVscy8ucmVsc1BLAQItABQABgAIAAAAIQAzbfUexQAAANwAAAAP&#10;AAAAAAAAAAAAAAAAAAcCAABkcnMvZG93bnJldi54bWxQSwUGAAAAAAMAAwC3AAAA+QIAAAAA&#10;" filled="f" stroked="f" strokeweight="2pt">
                  <v:textbox inset="0,0,0,0">
                    <w:txbxContent>
                      <w:p w14:paraId="2D19F33F" w14:textId="77777777" w:rsidR="003A587C" w:rsidRPr="003E030B" w:rsidRDefault="003A587C" w:rsidP="00331FED">
                        <w:pPr>
                          <w:pStyle w:val="afffc"/>
                          <w:spacing w:before="0" w:beforeAutospacing="0" w:after="0" w:afterAutospacing="0"/>
                          <w:rPr>
                            <w:rFonts w:ascii="Georgia" w:hAnsi="Georgia"/>
                            <w:sz w:val="17"/>
                            <w:szCs w:val="17"/>
                            <w:lang w:val="ru-RU"/>
                          </w:rPr>
                        </w:pPr>
                        <w:r w:rsidRPr="003E030B">
                          <w:rPr>
                            <w:rFonts w:ascii="Georgia" w:hAnsi="Georgia" w:cstheme="minorBidi"/>
                            <w:color w:val="000000" w:themeColor="text1"/>
                            <w:kern w:val="24"/>
                            <w:sz w:val="17"/>
                            <w:szCs w:val="17"/>
                            <w:lang w:val="ru-RU"/>
                          </w:rPr>
                          <w:t>No</w:t>
                        </w:r>
                      </w:p>
                    </w:txbxContent>
                  </v:textbox>
                </v:shape>
                <v:shape id="Textfeld 47" o:spid="_x0000_s1077" type="#_x0000_t202" style="position:absolute;left:56940;top:9850;width:4003;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iykwgAAANwAAAAPAAAAZHJzL2Rvd25yZXYueG1sRE89b8Iw&#10;EN2R+A/WIbERB4RaGjAIkIro0IHA0G7X+Igj4nMaGwj/vh4qMT6978Wqs7W4UesrxwrGSQqCuHC6&#10;4lLB6fg+moHwAVlj7ZgUPMjDatnvLTDT7s4HuuWhFDGEfYYKTAhNJqUvDFn0iWuII3d2rcUQYVtK&#10;3eI9httaTtL0RVqsODYYbGhrqLjkV6vgI8fp4xU3X/u8Mz/y00x+t987pYaDbj0HEagLT/G/e68V&#10;vM3i/HgmHgG5/AMAAP//AwBQSwECLQAUAAYACAAAACEA2+H2y+4AAACFAQAAEwAAAAAAAAAAAAAA&#10;AAAAAAAAW0NvbnRlbnRfVHlwZXNdLnhtbFBLAQItABQABgAIAAAAIQBa9CxbvwAAABUBAAALAAAA&#10;AAAAAAAAAAAAAB8BAABfcmVscy8ucmVsc1BLAQItABQABgAIAAAAIQCXgiykwgAAANwAAAAPAAAA&#10;AAAAAAAAAAAAAAcCAABkcnMvZG93bnJldi54bWxQSwUGAAAAAAMAAwC3AAAA9gIAAAAA&#10;" filled="f" stroked="f" strokeweight="2pt">
                  <v:textbox inset="0,0,0,0">
                    <w:txbxContent>
                      <w:p w14:paraId="1F94434A" w14:textId="77777777" w:rsidR="003A587C" w:rsidRPr="003E030B" w:rsidRDefault="003A587C" w:rsidP="00331FED">
                        <w:pPr>
                          <w:pStyle w:val="afffc"/>
                          <w:spacing w:before="0" w:beforeAutospacing="0" w:after="0" w:afterAutospacing="0"/>
                          <w:rPr>
                            <w:rFonts w:ascii="Georgia" w:hAnsi="Georgia"/>
                            <w:sz w:val="17"/>
                            <w:szCs w:val="17"/>
                            <w:lang w:val="ru-RU"/>
                          </w:rPr>
                        </w:pPr>
                        <w:r w:rsidRPr="003E030B">
                          <w:rPr>
                            <w:rFonts w:ascii="Georgia" w:hAnsi="Georgia" w:cstheme="minorBidi"/>
                            <w:color w:val="000000" w:themeColor="text1"/>
                            <w:kern w:val="24"/>
                            <w:sz w:val="17"/>
                            <w:szCs w:val="17"/>
                            <w:lang w:val="ru-RU"/>
                          </w:rPr>
                          <w:t>Yes</w:t>
                        </w:r>
                      </w:p>
                    </w:txbxContent>
                  </v:textbox>
                </v:shape>
                <v:shape id="Textfeld 49" o:spid="_x0000_s1078" type="#_x0000_t202" style="position:absolute;left:67226;top:21175;width:3337;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ok/xQAAANwAAAAPAAAAZHJzL2Rvd25yZXYueG1sRI9BawIx&#10;FITvBf9DeEJvNasUq6tRVKjowYPbHuztdfPcLG5e1k2q6783QsHjMDPfMNN5aytxocaXjhX0ewkI&#10;4tzpkgsF31+fbyMQPiBrrByTght5mM86L1NMtbvyni5ZKESEsE9RgQmhTqX0uSGLvudq4ugdXWMx&#10;RNkUUjd4jXBbyUGSDKXFkuOCwZpWhvJT9mcVbDN8v33g8rDJWvMrd2ZwXv2slXrttosJiEBteIb/&#10;2xutYDzqw+NMPAJydgcAAP//AwBQSwECLQAUAAYACAAAACEA2+H2y+4AAACFAQAAEwAAAAAAAAAA&#10;AAAAAAAAAAAAW0NvbnRlbnRfVHlwZXNdLnhtbFBLAQItABQABgAIAAAAIQBa9CxbvwAAABUBAAAL&#10;AAAAAAAAAAAAAAAAAB8BAABfcmVscy8ucmVsc1BLAQItABQABgAIAAAAIQD4zok/xQAAANwAAAAP&#10;AAAAAAAAAAAAAAAAAAcCAABkcnMvZG93bnJldi54bWxQSwUGAAAAAAMAAwC3AAAA+QIAAAAA&#10;" filled="f" stroked="f" strokeweight="2pt">
                  <v:textbox inset="0,0,0,0">
                    <w:txbxContent>
                      <w:p w14:paraId="39A02C53" w14:textId="77777777" w:rsidR="003A587C" w:rsidRPr="003E030B" w:rsidRDefault="003A587C" w:rsidP="00331FED">
                        <w:pPr>
                          <w:pStyle w:val="afffc"/>
                          <w:spacing w:before="0" w:beforeAutospacing="0" w:after="0" w:afterAutospacing="0"/>
                          <w:rPr>
                            <w:rFonts w:ascii="Georgia" w:hAnsi="Georgia"/>
                            <w:sz w:val="17"/>
                            <w:szCs w:val="17"/>
                            <w:lang w:val="ru-RU"/>
                          </w:rPr>
                        </w:pPr>
                        <w:r w:rsidRPr="003E030B">
                          <w:rPr>
                            <w:rFonts w:ascii="Georgia" w:hAnsi="Georgia" w:cstheme="minorBidi"/>
                            <w:color w:val="000000" w:themeColor="text1"/>
                            <w:kern w:val="24"/>
                            <w:sz w:val="17"/>
                            <w:szCs w:val="17"/>
                            <w:lang w:val="ru-RU"/>
                          </w:rPr>
                          <w:t>No</w:t>
                        </w:r>
                      </w:p>
                    </w:txbxContent>
                  </v:textbox>
                </v:shape>
                <v:rect id="Rechteck 16" o:spid="_x0000_s1079" style="position:absolute;top:7582;width:18249;height:7745;visibility:visible;mso-wrap-style:squar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cscvwAAANwAAAAPAAAAZHJzL2Rvd25yZXYueG1sRI9Bi8Iw&#10;FITvwv6H8ARvmtqD1K5RRBC9WvX+SN623W1eSpLV+u+NIHgcZuYbZrUZbCdu5EPrWMF8loEg1s60&#10;XCu4nPfTAkSIyAY7x6TgQQE266/RCkvj7nyiWxVrkSAcSlTQxNiXUgbdkMUwcz1x8n6ctxiT9LU0&#10;Hu8JbjuZZ9lCWmw5LTTY064h/Vf9WwXeXq+7kNc601gV2/1wuHS/rNRkPGy/QUQa4if8bh+NgmWR&#10;w+tMOgJy/QQAAP//AwBQSwECLQAUAAYACAAAACEA2+H2y+4AAACFAQAAEwAAAAAAAAAAAAAAAAAA&#10;AAAAW0NvbnRlbnRfVHlwZXNdLnhtbFBLAQItABQABgAIAAAAIQBa9CxbvwAAABUBAAALAAAAAAAA&#10;AAAAAAAAAB8BAABfcmVscy8ucmVsc1BLAQItABQABgAIAAAAIQDTScscvwAAANwAAAAPAAAAAAAA&#10;AAAAAAAAAAcCAABkcnMvZG93bnJldi54bWxQSwUGAAAAAAMAAwC3AAAA8wIAAAAA&#10;" fillcolor="white [3212]" strokecolor="#622423 [1605]" strokeweight="2pt">
                  <v:textbox inset="1mm,0,1mm,0">
                    <w:txbxContent>
                      <w:p w14:paraId="08B044DA" w14:textId="77777777" w:rsidR="003A587C" w:rsidRPr="007D770B" w:rsidRDefault="003A587C" w:rsidP="00331FED">
                        <w:pPr>
                          <w:pStyle w:val="afffc"/>
                          <w:spacing w:before="0" w:beforeAutospacing="0" w:after="0" w:afterAutospacing="0"/>
                          <w:jc w:val="center"/>
                          <w:rPr>
                            <w:rFonts w:ascii="Georgia" w:hAnsi="Georgia"/>
                            <w:sz w:val="16"/>
                            <w:szCs w:val="16"/>
                          </w:rPr>
                        </w:pPr>
                        <w:r w:rsidRPr="007D770B">
                          <w:rPr>
                            <w:rFonts w:ascii="Georgia" w:hAnsi="Georgia" w:cstheme="minorBidi"/>
                            <w:kern w:val="24"/>
                            <w:sz w:val="16"/>
                            <w:szCs w:val="16"/>
                          </w:rPr>
                          <w:t xml:space="preserve">Is the primary objective of the Bank's business model to hold the financial asset to generate cash flows? </w:t>
                        </w:r>
                      </w:p>
                    </w:txbxContent>
                  </v:textbox>
                </v:rect>
                <v:rect id="Rechteck 14" o:spid="_x0000_s1080" style="position:absolute;left:61717;top:7582;width:19184;height:7744;visibility:visible;mso-wrap-style:squar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W6HwQAAANwAAAAPAAAAZHJzL2Rvd25yZXYueG1sRI/BasMw&#10;EETvhfyD2EButZwUiuNYCSEQ2mvd5L5IG9uttTKSYrt/HxUKPQ4z84apDrPtxUg+dI4VrLMcBLF2&#10;puNGweXz/FyACBHZYO+YFPxQgMN+8VRhadzEHzTWsREJwqFEBW2MQyll0C1ZDJkbiJN3c95iTNI3&#10;0nicEtz2cpPnr9Jix2mhxYFOLenv+m4VeHu9nsKm0bnGujie57dL/8VKrZbzcQci0hz/w3/td6Ng&#10;W7zA75l0BOT+AQAA//8DAFBLAQItABQABgAIAAAAIQDb4fbL7gAAAIUBAAATAAAAAAAAAAAAAAAA&#10;AAAAAABbQ29udGVudF9UeXBlc10ueG1sUEsBAi0AFAAGAAgAAAAhAFr0LFu/AAAAFQEAAAsAAAAA&#10;AAAAAAAAAAAAHwEAAF9yZWxzLy5yZWxzUEsBAi0AFAAGAAgAAAAhALwFbofBAAAA3AAAAA8AAAAA&#10;AAAAAAAAAAAABwIAAGRycy9kb3ducmV2LnhtbFBLBQYAAAAAAwADALcAAAD1AgAAAAA=&#10;" fillcolor="white [3212]" strokecolor="#622423 [1605]" strokeweight="2pt">
                  <v:textbox inset="1mm,0,1mm,0">
                    <w:txbxContent>
                      <w:p w14:paraId="68CA2FA9" w14:textId="77777777" w:rsidR="003A587C" w:rsidRPr="00F865FB" w:rsidRDefault="003A587C" w:rsidP="00331FED">
                        <w:pPr>
                          <w:pStyle w:val="afffc"/>
                          <w:spacing w:before="0" w:beforeAutospacing="0" w:after="0" w:afterAutospacing="0"/>
                          <w:jc w:val="center"/>
                          <w:rPr>
                            <w:rFonts w:ascii="Georgia" w:hAnsi="Georgia"/>
                            <w:sz w:val="16"/>
                            <w:szCs w:val="16"/>
                            <w:lang w:val="ru-RU"/>
                          </w:rPr>
                        </w:pPr>
                        <w:r w:rsidRPr="00F865FB">
                          <w:rPr>
                            <w:rFonts w:ascii="Georgia" w:hAnsi="Georgia" w:cstheme="minorBidi"/>
                            <w:kern w:val="24"/>
                            <w:sz w:val="16"/>
                            <w:szCs w:val="16"/>
                            <w:lang w:val="ru-RU"/>
                          </w:rPr>
                          <w:t>For trading</w:t>
                        </w:r>
                        <w:r>
                          <w:rPr>
                            <w:rFonts w:ascii="Georgia" w:hAnsi="Georgia" w:cstheme="minorBidi"/>
                            <w:kern w:val="24"/>
                            <w:sz w:val="16"/>
                            <w:szCs w:val="16"/>
                            <w:lang w:val="ru-RU"/>
                          </w:rPr>
                          <w:t>?</w:t>
                        </w:r>
                      </w:p>
                    </w:txbxContent>
                  </v:textbox>
                </v:rect>
                <v:shape id="Textfeld 38" o:spid="_x0000_s1081" type="#_x0000_t202" style="position:absolute;left:67225;top:33158;width:3336;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SqnxgAAANwAAAAPAAAAZHJzL2Rvd25yZXYueG1sRI/NbsIw&#10;EITvSLyDtUi9gQNC/AQMapGK6KGHpj3Q2zZe4oh4ncZuEt6+roTU42hmvtFs972tREuNLx0rmE4S&#10;EMS50yUXCj7en8crED4ga6wck4IbedjvhoMtptp1/EZtFgoRIexTVGBCqFMpfW7Iop+4mjh6F9dY&#10;DFE2hdQNdhFuKzlLkoW0WHJcMFjTwVB+zX6sgpcM57clPp1PWW++5KuZfR8+j0o9jPrHDYhAffgP&#10;39snrWC9msPfmXgE5O4XAAD//wMAUEsBAi0AFAAGAAgAAAAhANvh9svuAAAAhQEAABMAAAAAAAAA&#10;AAAAAAAAAAAAAFtDb250ZW50X1R5cGVzXS54bWxQSwECLQAUAAYACAAAACEAWvQsW78AAAAVAQAA&#10;CwAAAAAAAAAAAAAAAAAfAQAAX3JlbHMvLnJlbHNQSwECLQAUAAYACAAAACEA6Lkqp8YAAADcAAAA&#10;DwAAAAAAAAAAAAAAAAAHAgAAZHJzL2Rvd25yZXYueG1sUEsFBgAAAAADAAMAtwAAAPoCAAAAAA==&#10;" filled="f" stroked="f" strokeweight="2pt">
                  <v:textbox inset="0,0,0,0">
                    <w:txbxContent>
                      <w:p w14:paraId="42B1A5D3" w14:textId="77777777" w:rsidR="003A587C" w:rsidRPr="003E030B" w:rsidRDefault="003A587C" w:rsidP="00331FED">
                        <w:pPr>
                          <w:pStyle w:val="afffc"/>
                          <w:spacing w:before="0" w:beforeAutospacing="0" w:after="0" w:afterAutospacing="0"/>
                          <w:rPr>
                            <w:rFonts w:ascii="Georgia" w:hAnsi="Georgia"/>
                            <w:sz w:val="17"/>
                            <w:szCs w:val="17"/>
                            <w:lang w:val="ru-RU"/>
                          </w:rPr>
                        </w:pPr>
                        <w:r>
                          <w:rPr>
                            <w:rFonts w:ascii="Georgia" w:hAnsi="Georgia" w:cstheme="minorBidi"/>
                            <w:color w:val="000000" w:themeColor="text1"/>
                            <w:kern w:val="24"/>
                            <w:sz w:val="17"/>
                            <w:szCs w:val="17"/>
                            <w:lang w:val="ru-RU"/>
                          </w:rPr>
                          <w:t>Yes</w:t>
                        </w:r>
                      </w:p>
                    </w:txbxContent>
                  </v:textbox>
                </v:shape>
                <v:rect id="Rechteck 34" o:spid="_x0000_s1082" style="position:absolute;left:21917;top:7582;width:17922;height:7745;visibility:visible;mso-wrap-style:squar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FNowQAAANwAAAAPAAAAZHJzL2Rvd25yZXYueG1sRI/BasMw&#10;EETvhfyD2EButZxAi+NYCSEQ2mvd5L5IG9uttTKSYrt/HxUKPQ4z84apDrPtxUg+dI4VrLMcBLF2&#10;puNGweXz/FyACBHZYO+YFPxQgMN+8VRhadzEHzTWsREJwqFEBW2MQyll0C1ZDJkbiJN3c95iTNI3&#10;0nicEtz2cpPnr9Jix2mhxYFOLenv+m4VeHu9nsKm0bnGujie57dL/8VKrZbzcQci0hz/w3/td6Ng&#10;W7zA75l0BOT+AQAA//8DAFBLAQItABQABgAIAAAAIQDb4fbL7gAAAIUBAAATAAAAAAAAAAAAAAAA&#10;AAAAAABbQ29udGVudF9UeXBlc10ueG1sUEsBAi0AFAAGAAgAAAAhAFr0LFu/AAAAFQEAAAsAAAAA&#10;AAAAAAAAAAAAHwEAAF9yZWxzLy5yZWxzUEsBAi0AFAAGAAgAAAAhAFygU2jBAAAA3AAAAA8AAAAA&#10;AAAAAAAAAAAABwIAAGRycy9kb3ducmV2LnhtbFBLBQYAAAAAAwADALcAAAD1AgAAAAA=&#10;" fillcolor="white [3212]" strokecolor="#622423 [1605]" strokeweight="2pt">
                  <v:textbox inset="1mm,0,1mm,0">
                    <w:txbxContent>
                      <w:p w14:paraId="35AD3E10" w14:textId="77777777" w:rsidR="003A587C" w:rsidRPr="007D770B" w:rsidRDefault="003A587C" w:rsidP="00331FED">
                        <w:pPr>
                          <w:pStyle w:val="afffc"/>
                          <w:spacing w:before="0" w:beforeAutospacing="0" w:after="0" w:afterAutospacing="0"/>
                          <w:jc w:val="center"/>
                          <w:rPr>
                            <w:rFonts w:ascii="Georgia" w:hAnsi="Georgia"/>
                            <w:sz w:val="16"/>
                            <w:szCs w:val="16"/>
                          </w:rPr>
                        </w:pPr>
                        <w:r w:rsidRPr="007D770B">
                          <w:rPr>
                            <w:rFonts w:ascii="Georgia" w:hAnsi="Georgia" w:cstheme="minorBidi"/>
                            <w:kern w:val="24"/>
                            <w:sz w:val="16"/>
                            <w:szCs w:val="16"/>
                          </w:rPr>
                          <w:t xml:space="preserve">Is the primary objective of the Bank's business model to hold to generate cash flow from the asset and sell the financial asset? </w:t>
                        </w:r>
                      </w:p>
                    </w:txbxContent>
                  </v:textbox>
                </v:rect>
                <v:shape id="Textfeld 43" o:spid="_x0000_s1083" type="#_x0000_t202" style="position:absolute;left:17914;top:9723;width:4003;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xFLxQAAANwAAAAPAAAAZHJzL2Rvd25yZXYueG1sRI9BawIx&#10;FITvQv9DeAVvmq2I1a1RVLDYgwdXD3p7bl43Szcv6ybV9d83QsHjMDPfMNN5aytxpcaXjhW89RMQ&#10;xLnTJRcKDvt1bwzCB2SNlWNScCcP89lLZ4qpdjfe0TULhYgQ9ikqMCHUqZQ+N2TR911NHL1v11gM&#10;UTaF1A3eItxWcpAkI2mx5LhgsKaVofwn+7UKvjIc3t9xedxkrTnLrRlcVqdPpbqv7eIDRKA2PMP/&#10;7Y1WMBmP4HEmHgE5+wMAAP//AwBQSwECLQAUAAYACAAAACEA2+H2y+4AAACFAQAAEwAAAAAAAAAA&#10;AAAAAAAAAAAAW0NvbnRlbnRfVHlwZXNdLnhtbFBLAQItABQABgAIAAAAIQBa9CxbvwAAABUBAAAL&#10;AAAAAAAAAAAAAAAAAB8BAABfcmVscy8ucmVsc1BLAQItABQABgAIAAAAIQB3JxFLxQAAANwAAAAP&#10;AAAAAAAAAAAAAAAAAAcCAABkcnMvZG93bnJldi54bWxQSwUGAAAAAAMAAwC3AAAA+QIAAAAA&#10;" filled="f" stroked="f" strokeweight="2pt">
                  <v:textbox inset="0,0,0,0">
                    <w:txbxContent>
                      <w:p w14:paraId="0142A46E" w14:textId="77777777" w:rsidR="003A587C" w:rsidRPr="003E030B" w:rsidRDefault="003A587C" w:rsidP="00331FED">
                        <w:pPr>
                          <w:pStyle w:val="afffc"/>
                          <w:spacing w:before="0" w:beforeAutospacing="0" w:after="0" w:afterAutospacing="0"/>
                          <w:jc w:val="center"/>
                          <w:rPr>
                            <w:rFonts w:ascii="Georgia" w:hAnsi="Georgia"/>
                            <w:sz w:val="17"/>
                            <w:szCs w:val="17"/>
                            <w:lang w:val="ru-RU"/>
                          </w:rPr>
                        </w:pPr>
                        <w:r w:rsidRPr="003E030B">
                          <w:rPr>
                            <w:rFonts w:ascii="Georgia" w:hAnsi="Georgia" w:cstheme="minorBidi"/>
                            <w:color w:val="000000" w:themeColor="text1"/>
                            <w:kern w:val="24"/>
                            <w:sz w:val="17"/>
                            <w:szCs w:val="17"/>
                            <w:lang w:val="ru-RU"/>
                          </w:rPr>
                          <w:t>No</w:t>
                        </w:r>
                      </w:p>
                    </w:txbxContent>
                  </v:textbox>
                </v:shape>
                <v:shape id="Gerade Verbindung mit Pfeil 19" o:spid="_x0000_s1084" type="#_x0000_t32" style="position:absolute;left:30175;top:5116;width:0;height:24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T+VxAAAANwAAAAPAAAAZHJzL2Rvd25yZXYueG1sRI9Ba8JA&#10;FITvBf/D8oReRDetYDW6SlsoBOnFVPT6yD6TYPZtyL7G9N93hUKPw8x8w2x2g2tUT12oPRt4miWg&#10;iAtvay4NHL8+pktQQZAtNp7JwA8F2G1HDxtMrb/xgfpcShUhHFI0UIm0qdahqMhhmPmWOHoX3zmU&#10;KLtS2w5vEe4a/ZwkC+2w5rhQYUvvFRXX/NsZyOdZfhL9ue8nc9aZnOnNBTLmcTy8rkEJDfIf/mtn&#10;1sBq+QL3M/EI6O0vAAAA//8DAFBLAQItABQABgAIAAAAIQDb4fbL7gAAAIUBAAATAAAAAAAAAAAA&#10;AAAAAAAAAABbQ29udGVudF9UeXBlc10ueG1sUEsBAi0AFAAGAAgAAAAhAFr0LFu/AAAAFQEAAAsA&#10;AAAAAAAAAAAAAAAAHwEAAF9yZWxzLy5yZWxzUEsBAi0AFAAGAAgAAAAhAHktP5XEAAAA3AAAAA8A&#10;AAAAAAAAAAAAAAAABwIAAGRycy9kb3ducmV2LnhtbFBLBQYAAAAAAwADALcAAAD4AgAAAAA=&#10;" strokecolor="#622423 [1605]" strokeweight="2pt">
                  <v:stroke endarrow="block"/>
                </v:shape>
                <w10:anchorlock/>
              </v:group>
            </w:pict>
          </mc:Fallback>
        </mc:AlternateContent>
      </w:r>
    </w:p>
    <w:p w14:paraId="391BFF19" w14:textId="77777777" w:rsidR="00331FED" w:rsidRPr="007D770B" w:rsidRDefault="00331FED" w:rsidP="00331FED">
      <w:pPr>
        <w:spacing w:line="259" w:lineRule="auto"/>
        <w:rPr>
          <w:i/>
          <w:sz w:val="17"/>
          <w:szCs w:val="17"/>
          <w:lang w:val="en-US"/>
        </w:rPr>
      </w:pPr>
      <w:r w:rsidRPr="007D770B">
        <w:rPr>
          <w:i/>
          <w:sz w:val="17"/>
          <w:szCs w:val="17"/>
          <w:lang w:val="en-US"/>
        </w:rPr>
        <w:t xml:space="preserve">* When using the option to account for a debt instrument under the SSOPU, subsequent reclassification is not possible. </w:t>
      </w:r>
      <w:r w:rsidRPr="007D770B">
        <w:rPr>
          <w:i/>
          <w:sz w:val="17"/>
          <w:szCs w:val="17"/>
          <w:lang w:val="en-US"/>
        </w:rPr>
        <w:br/>
        <w:t>** When using the option to account for an equity instrument under the SPSS, subsequent reclassification is not possible.</w:t>
      </w:r>
    </w:p>
    <w:p w14:paraId="02162DB0" w14:textId="77777777" w:rsidR="00331FED" w:rsidRPr="007D770B" w:rsidRDefault="00331FED" w:rsidP="00331FED">
      <w:pPr>
        <w:pStyle w:val="21"/>
        <w:tabs>
          <w:tab w:val="clear" w:pos="1134"/>
        </w:tabs>
        <w:spacing w:before="240" w:after="240"/>
        <w:ind w:firstLine="0"/>
        <w:rPr>
          <w:b/>
          <w:i/>
          <w:sz w:val="20"/>
          <w:szCs w:val="20"/>
          <w:lang w:val="en-US"/>
        </w:rPr>
      </w:pPr>
      <w:bookmarkStart w:id="104" w:name="_Toc485278351"/>
      <w:bookmarkStart w:id="105" w:name="_Toc486888392"/>
      <w:r w:rsidRPr="007D770B">
        <w:rPr>
          <w:b/>
          <w:i/>
          <w:sz w:val="20"/>
          <w:szCs w:val="20"/>
          <w:lang w:val="en-US"/>
        </w:rPr>
        <w:t>Equity instruments</w:t>
      </w:r>
    </w:p>
    <w:p w14:paraId="27E376FB" w14:textId="77777777" w:rsidR="00331FED" w:rsidRPr="007D770B" w:rsidRDefault="00331FED" w:rsidP="00331FED">
      <w:pPr>
        <w:pStyle w:val="21"/>
        <w:tabs>
          <w:tab w:val="clear" w:pos="1134"/>
        </w:tabs>
        <w:ind w:firstLine="0"/>
        <w:rPr>
          <w:sz w:val="20"/>
          <w:szCs w:val="20"/>
          <w:lang w:val="en-US"/>
        </w:rPr>
      </w:pPr>
      <w:r w:rsidRPr="007D770B">
        <w:rPr>
          <w:sz w:val="20"/>
          <w:szCs w:val="20"/>
          <w:lang w:val="en-US"/>
        </w:rPr>
        <w:t>All investments in equity instruments are measured at fair value. The default method is to recognize all changes in fair value in the income statement.</w:t>
      </w:r>
    </w:p>
    <w:p w14:paraId="5C583DF2" w14:textId="77777777" w:rsidR="00331FED" w:rsidRPr="007D770B" w:rsidRDefault="00331FED" w:rsidP="00331FED">
      <w:pPr>
        <w:pStyle w:val="21"/>
        <w:tabs>
          <w:tab w:val="clear" w:pos="1134"/>
        </w:tabs>
        <w:ind w:firstLine="0"/>
        <w:rPr>
          <w:sz w:val="20"/>
          <w:szCs w:val="20"/>
          <w:lang w:val="en-US"/>
        </w:rPr>
      </w:pPr>
    </w:p>
    <w:p w14:paraId="404D57B0" w14:textId="0E86033C" w:rsidR="00331FED" w:rsidRPr="007D770B" w:rsidRDefault="00331FED" w:rsidP="00331FED">
      <w:pPr>
        <w:pStyle w:val="21"/>
        <w:tabs>
          <w:tab w:val="clear" w:pos="1134"/>
        </w:tabs>
        <w:spacing w:after="240"/>
        <w:ind w:firstLine="0"/>
        <w:rPr>
          <w:sz w:val="20"/>
          <w:szCs w:val="20"/>
          <w:lang w:val="en-US"/>
        </w:rPr>
      </w:pPr>
      <w:r w:rsidRPr="007D770B">
        <w:rPr>
          <w:sz w:val="20"/>
          <w:szCs w:val="20"/>
          <w:lang w:val="en-US"/>
        </w:rPr>
        <w:t>However, upon initial recognition of an investment in an equity instrument, the Bank may elect to designate such investments not held for trading as AFS with no right of subsequent reclassification, with all subsequent changes in fair value recognized without effect on OCI. This option is available for each individual investment.</w:t>
      </w:r>
    </w:p>
    <w:p w14:paraId="7229CE8E" w14:textId="77777777" w:rsidR="00331FED" w:rsidRPr="007D770B" w:rsidRDefault="00331FED" w:rsidP="00331FED">
      <w:pPr>
        <w:ind w:left="0"/>
        <w:rPr>
          <w:rFonts w:ascii="Times New Roman" w:hAnsi="Times New Roman"/>
          <w:lang w:val="en-US"/>
        </w:rPr>
      </w:pPr>
      <w:r w:rsidRPr="007D770B">
        <w:rPr>
          <w:rFonts w:ascii="Times New Roman" w:hAnsi="Times New Roman"/>
          <w:lang w:val="en-US"/>
        </w:rPr>
        <w:t>The Bank's policy is to designate equity investments as at FVTPL when the investment is held for purposes other than generating investment income. When this option is exercised, fair value gains or losses are recognized in OCI and are not subsequently reclassified to profit or loss, including on disposal. Impairment losses (and reversals of impairment losses) are not recognized separately from other changes in fair value. Dividends, when representing a gain on such investments, continue to be recognized in profit or loss as other income when the Bank's right to receive payment is established.</w:t>
      </w:r>
    </w:p>
    <w:p w14:paraId="48E612B3" w14:textId="4EF4D781" w:rsidR="00331FED" w:rsidRPr="007D770B" w:rsidRDefault="00331FED" w:rsidP="00331FED">
      <w:pPr>
        <w:ind w:left="0"/>
        <w:rPr>
          <w:rFonts w:ascii="Times New Roman" w:hAnsi="Times New Roman"/>
          <w:lang w:val="en-US"/>
        </w:rPr>
      </w:pPr>
      <w:r w:rsidRPr="007D770B">
        <w:rPr>
          <w:rFonts w:ascii="Times New Roman" w:hAnsi="Times New Roman"/>
          <w:lang w:val="en-US"/>
        </w:rPr>
        <w:t xml:space="preserve">Gains and losses on equity investments in SSOPU are included in the line </w:t>
      </w:r>
      <w:r w:rsidR="00802136" w:rsidRPr="007D770B">
        <w:rPr>
          <w:rFonts w:ascii="Times New Roman" w:hAnsi="Times New Roman"/>
          <w:lang w:val="en-US"/>
        </w:rPr>
        <w:t>"</w:t>
      </w:r>
      <w:r w:rsidRPr="007D770B">
        <w:rPr>
          <w:rFonts w:ascii="Times New Roman" w:hAnsi="Times New Roman"/>
          <w:lang w:val="en-US"/>
        </w:rPr>
        <w:t>Net trading income</w:t>
      </w:r>
      <w:r w:rsidR="00802136" w:rsidRPr="007D770B">
        <w:rPr>
          <w:rFonts w:ascii="Times New Roman" w:hAnsi="Times New Roman"/>
          <w:lang w:val="en-US"/>
        </w:rPr>
        <w:t xml:space="preserve">" </w:t>
      </w:r>
      <w:r w:rsidRPr="007D770B">
        <w:rPr>
          <w:rFonts w:ascii="Times New Roman" w:hAnsi="Times New Roman"/>
          <w:lang w:val="en-US"/>
        </w:rPr>
        <w:t>in the income statement</w:t>
      </w:r>
    </w:p>
    <w:p w14:paraId="3D683345" w14:textId="77777777" w:rsidR="00331FED" w:rsidRPr="007D770B" w:rsidRDefault="00331FED" w:rsidP="00331FED">
      <w:pPr>
        <w:pStyle w:val="af4"/>
        <w:spacing w:after="240"/>
        <w:ind w:firstLine="0"/>
        <w:rPr>
          <w:b/>
          <w:i/>
          <w:sz w:val="20"/>
          <w:szCs w:val="20"/>
          <w:lang w:val="en-US"/>
        </w:rPr>
      </w:pPr>
      <w:r w:rsidRPr="007D770B">
        <w:rPr>
          <w:b/>
          <w:i/>
          <w:sz w:val="20"/>
          <w:szCs w:val="20"/>
          <w:lang w:val="en-US"/>
        </w:rPr>
        <w:t>Debt instruments</w:t>
      </w:r>
    </w:p>
    <w:p w14:paraId="6183BA87" w14:textId="5ED17010" w:rsidR="00331FED" w:rsidRPr="007D770B" w:rsidRDefault="00331FED" w:rsidP="00331FED">
      <w:pPr>
        <w:ind w:left="0"/>
        <w:rPr>
          <w:rFonts w:ascii="Times New Roman" w:hAnsi="Times New Roman"/>
          <w:lang w:val="en-US"/>
        </w:rPr>
      </w:pPr>
      <w:r w:rsidRPr="007D770B">
        <w:rPr>
          <w:rFonts w:ascii="Times New Roman" w:hAnsi="Times New Roman"/>
          <w:lang w:val="en-US"/>
        </w:rPr>
        <w:t xml:space="preserve">Classification and further valuation of debt instruments </w:t>
      </w:r>
      <w:r w:rsidR="004D7EAB" w:rsidRPr="007D770B">
        <w:rPr>
          <w:rFonts w:ascii="Times New Roman" w:hAnsi="Times New Roman"/>
          <w:lang w:val="en-US"/>
        </w:rPr>
        <w:t>depend on</w:t>
      </w:r>
      <w:r w:rsidRPr="007D770B">
        <w:rPr>
          <w:rFonts w:ascii="Times New Roman" w:hAnsi="Times New Roman"/>
          <w:lang w:val="en-US"/>
        </w:rPr>
        <w:t>:</w:t>
      </w:r>
    </w:p>
    <w:p w14:paraId="1597AC6E" w14:textId="77777777" w:rsidR="00331FED" w:rsidRPr="007D770B" w:rsidRDefault="00331FED" w:rsidP="00AE698A">
      <w:pPr>
        <w:pStyle w:val="21"/>
        <w:widowControl w:val="0"/>
        <w:numPr>
          <w:ilvl w:val="0"/>
          <w:numId w:val="264"/>
        </w:numPr>
        <w:spacing w:after="240"/>
        <w:rPr>
          <w:sz w:val="20"/>
          <w:szCs w:val="20"/>
          <w:lang w:val="en-US"/>
        </w:rPr>
      </w:pPr>
      <w:r w:rsidRPr="007D770B">
        <w:rPr>
          <w:sz w:val="20"/>
          <w:szCs w:val="20"/>
          <w:lang w:val="en-US"/>
        </w:rPr>
        <w:t>The Bank's business model for asset management; and</w:t>
      </w:r>
    </w:p>
    <w:p w14:paraId="76BEB433" w14:textId="77777777" w:rsidR="00331FED" w:rsidRPr="007D770B" w:rsidRDefault="00331FED" w:rsidP="00AE698A">
      <w:pPr>
        <w:pStyle w:val="21"/>
        <w:widowControl w:val="0"/>
        <w:numPr>
          <w:ilvl w:val="0"/>
          <w:numId w:val="264"/>
        </w:numPr>
        <w:spacing w:after="240"/>
        <w:rPr>
          <w:sz w:val="20"/>
          <w:szCs w:val="20"/>
          <w:lang w:val="en-US"/>
        </w:rPr>
      </w:pPr>
      <w:r w:rsidRPr="007D770B">
        <w:rPr>
          <w:sz w:val="20"/>
          <w:szCs w:val="20"/>
          <w:lang w:val="en-US"/>
        </w:rPr>
        <w:t>The cash flow characteristics of the asset.</w:t>
      </w:r>
    </w:p>
    <w:p w14:paraId="0D140A3B" w14:textId="77777777" w:rsidR="00331FED" w:rsidRPr="007D770B" w:rsidRDefault="00331FED" w:rsidP="00331FED">
      <w:pPr>
        <w:pStyle w:val="af4"/>
        <w:spacing w:after="240"/>
        <w:ind w:firstLine="0"/>
        <w:rPr>
          <w:sz w:val="20"/>
          <w:szCs w:val="20"/>
          <w:lang w:val="en-US"/>
        </w:rPr>
      </w:pPr>
      <w:r w:rsidRPr="007D770B">
        <w:rPr>
          <w:sz w:val="20"/>
          <w:szCs w:val="20"/>
          <w:lang w:val="en-US"/>
        </w:rPr>
        <w:t>Based on these factors, the Bank classifies its debt instruments into one of the following three measurement categories:</w:t>
      </w:r>
    </w:p>
    <w:p w14:paraId="54D93D18" w14:textId="69535127" w:rsidR="00331FED" w:rsidRPr="007D770B" w:rsidRDefault="00331FED" w:rsidP="00AE698A">
      <w:pPr>
        <w:pStyle w:val="21"/>
        <w:widowControl w:val="0"/>
        <w:numPr>
          <w:ilvl w:val="0"/>
          <w:numId w:val="264"/>
        </w:numPr>
        <w:spacing w:after="240"/>
        <w:rPr>
          <w:sz w:val="20"/>
          <w:szCs w:val="20"/>
          <w:lang w:val="en-US"/>
        </w:rPr>
      </w:pPr>
      <w:r w:rsidRPr="007D770B">
        <w:rPr>
          <w:sz w:val="20"/>
          <w:szCs w:val="20"/>
          <w:lang w:val="en-US"/>
        </w:rPr>
        <w:lastRenderedPageBreak/>
        <w:t xml:space="preserve">Amortized cost: Assets that are held to collect contractual cash flows that are solely payments of principal and interest (SPPI) and that are not designated as at FVTPL are measured at amortized cost. The carrying amount of these assets is adjusted for any allowance for expected credit losses.  Interest income from these financial assets is included in </w:t>
      </w:r>
      <w:r w:rsidR="00802136" w:rsidRPr="007D770B">
        <w:rPr>
          <w:sz w:val="20"/>
          <w:szCs w:val="20"/>
          <w:lang w:val="en-US"/>
        </w:rPr>
        <w:t>"</w:t>
      </w:r>
      <w:r w:rsidRPr="007D770B">
        <w:rPr>
          <w:sz w:val="20"/>
          <w:szCs w:val="20"/>
          <w:lang w:val="en-US"/>
        </w:rPr>
        <w:t>interest and similar income</w:t>
      </w:r>
      <w:r w:rsidR="00802136" w:rsidRPr="007D770B">
        <w:rPr>
          <w:sz w:val="20"/>
          <w:szCs w:val="20"/>
          <w:lang w:val="en-US"/>
        </w:rPr>
        <w:t xml:space="preserve">" </w:t>
      </w:r>
      <w:r w:rsidRPr="007D770B">
        <w:rPr>
          <w:sz w:val="20"/>
          <w:szCs w:val="20"/>
          <w:lang w:val="en-US"/>
        </w:rPr>
        <w:t>using the effective interest method.</w:t>
      </w:r>
    </w:p>
    <w:p w14:paraId="2D099C62" w14:textId="5710757C" w:rsidR="00331FED" w:rsidRPr="007D770B" w:rsidRDefault="00331FED" w:rsidP="00AE698A">
      <w:pPr>
        <w:pStyle w:val="21"/>
        <w:widowControl w:val="0"/>
        <w:numPr>
          <w:ilvl w:val="0"/>
          <w:numId w:val="264"/>
        </w:numPr>
        <w:spacing w:after="240"/>
        <w:rPr>
          <w:sz w:val="20"/>
          <w:szCs w:val="20"/>
          <w:lang w:val="en-US"/>
        </w:rPr>
      </w:pPr>
      <w:r w:rsidRPr="007D770B">
        <w:rPr>
          <w:sz w:val="20"/>
          <w:szCs w:val="20"/>
          <w:lang w:val="en-US"/>
        </w:rPr>
        <w:t xml:space="preserve">Fair value through other comprehensive income (FVTPL): Financial assets that are held to collect contractual cash flows and for the sale of assets with the assets' cash flows representing solely payments of principal and interest and that are not designated as at FVTPL are measured at fair value through other comprehensive income (FVTPL). Changes in the carrying amount are recognized through FVTPL, except for the recognition of impairment gains or losses, interest income and foreign exchange gains or losses on the amortized cost of the instrument, which are recognized in profit or loss. When a financial asset is derecognized, the cumulative gain or loss previously recognized in OCI </w:t>
      </w:r>
      <w:r w:rsidR="004D7EAB" w:rsidRPr="007D770B">
        <w:rPr>
          <w:sz w:val="20"/>
          <w:szCs w:val="20"/>
          <w:lang w:val="en-US"/>
        </w:rPr>
        <w:t xml:space="preserve">is reclassified </w:t>
      </w:r>
      <w:r w:rsidRPr="007D770B">
        <w:rPr>
          <w:sz w:val="20"/>
          <w:szCs w:val="20"/>
          <w:lang w:val="en-US"/>
        </w:rPr>
        <w:t xml:space="preserve">from equity to profit or loss and recognized in </w:t>
      </w:r>
      <w:r w:rsidR="00802136" w:rsidRPr="007D770B">
        <w:rPr>
          <w:sz w:val="20"/>
          <w:szCs w:val="20"/>
          <w:lang w:val="en-US"/>
        </w:rPr>
        <w:t>"</w:t>
      </w:r>
      <w:r w:rsidRPr="007D770B">
        <w:rPr>
          <w:sz w:val="20"/>
          <w:szCs w:val="20"/>
          <w:lang w:val="en-US"/>
        </w:rPr>
        <w:t>Net investment income</w:t>
      </w:r>
      <w:r w:rsidR="00802136" w:rsidRPr="007D770B">
        <w:rPr>
          <w:sz w:val="20"/>
          <w:szCs w:val="20"/>
          <w:lang w:val="en-US"/>
        </w:rPr>
        <w:t>"</w:t>
      </w:r>
      <w:r w:rsidRPr="007D770B">
        <w:rPr>
          <w:sz w:val="20"/>
          <w:szCs w:val="20"/>
          <w:lang w:val="en-US"/>
        </w:rPr>
        <w:t xml:space="preserve">. Interest income from these financial assets is included in </w:t>
      </w:r>
      <w:r w:rsidR="00802136" w:rsidRPr="007D770B">
        <w:rPr>
          <w:sz w:val="20"/>
          <w:szCs w:val="20"/>
          <w:lang w:val="en-US"/>
        </w:rPr>
        <w:t>"</w:t>
      </w:r>
      <w:r w:rsidRPr="007D770B">
        <w:rPr>
          <w:sz w:val="20"/>
          <w:szCs w:val="20"/>
          <w:lang w:val="en-US"/>
        </w:rPr>
        <w:t>Interest income</w:t>
      </w:r>
      <w:r w:rsidR="00802136" w:rsidRPr="007D770B">
        <w:rPr>
          <w:sz w:val="20"/>
          <w:szCs w:val="20"/>
          <w:lang w:val="en-US"/>
        </w:rPr>
        <w:t xml:space="preserve">" </w:t>
      </w:r>
      <w:r w:rsidRPr="007D770B">
        <w:rPr>
          <w:sz w:val="20"/>
          <w:szCs w:val="20"/>
          <w:lang w:val="en-US"/>
        </w:rPr>
        <w:t>using the effective interest method.</w:t>
      </w:r>
    </w:p>
    <w:p w14:paraId="64C12D32" w14:textId="61165465" w:rsidR="00331FED" w:rsidRPr="007D770B" w:rsidRDefault="00331FED" w:rsidP="00AE698A">
      <w:pPr>
        <w:pStyle w:val="21"/>
        <w:widowControl w:val="0"/>
        <w:numPr>
          <w:ilvl w:val="0"/>
          <w:numId w:val="264"/>
        </w:numPr>
        <w:spacing w:after="240"/>
        <w:rPr>
          <w:sz w:val="20"/>
          <w:szCs w:val="20"/>
          <w:lang w:val="en-US"/>
        </w:rPr>
      </w:pPr>
      <w:r w:rsidRPr="007D770B">
        <w:rPr>
          <w:sz w:val="20"/>
          <w:szCs w:val="20"/>
          <w:lang w:val="en-US"/>
        </w:rPr>
        <w:t xml:space="preserve">Fair value through profit or loss: Assets that do not qualify for amortized cost or FVTPL are measured at fair value through profit or loss. The gain or loss on </w:t>
      </w:r>
      <w:r w:rsidR="00E839ED" w:rsidRPr="007D770B">
        <w:rPr>
          <w:sz w:val="20"/>
          <w:szCs w:val="20"/>
          <w:lang w:val="en-US"/>
        </w:rPr>
        <w:t xml:space="preserve">this </w:t>
      </w:r>
      <w:r w:rsidRPr="007D770B">
        <w:rPr>
          <w:sz w:val="20"/>
          <w:szCs w:val="20"/>
          <w:lang w:val="en-US"/>
        </w:rPr>
        <w:t xml:space="preserve">debt investment is presented in the income statement in </w:t>
      </w:r>
      <w:r w:rsidR="00802136" w:rsidRPr="007D770B">
        <w:rPr>
          <w:sz w:val="20"/>
          <w:szCs w:val="20"/>
          <w:lang w:val="en-US"/>
        </w:rPr>
        <w:t>"</w:t>
      </w:r>
      <w:r w:rsidRPr="007D770B">
        <w:rPr>
          <w:sz w:val="20"/>
          <w:szCs w:val="20"/>
          <w:lang w:val="en-US"/>
        </w:rPr>
        <w:t>Net trading income</w:t>
      </w:r>
      <w:r w:rsidR="00802136" w:rsidRPr="007D770B">
        <w:rPr>
          <w:sz w:val="20"/>
          <w:szCs w:val="20"/>
          <w:lang w:val="en-US"/>
        </w:rPr>
        <w:t xml:space="preserve">" </w:t>
      </w:r>
      <w:r w:rsidRPr="007D770B">
        <w:rPr>
          <w:sz w:val="20"/>
          <w:szCs w:val="20"/>
          <w:lang w:val="en-US"/>
        </w:rPr>
        <w:t>in the period in which it appears</w:t>
      </w:r>
      <w:r w:rsidR="00E839ED" w:rsidRPr="007D770B">
        <w:rPr>
          <w:sz w:val="20"/>
          <w:szCs w:val="20"/>
          <w:lang w:val="en-US"/>
        </w:rPr>
        <w:t xml:space="preserve">. The </w:t>
      </w:r>
      <w:r w:rsidRPr="007D770B">
        <w:rPr>
          <w:sz w:val="20"/>
          <w:szCs w:val="20"/>
          <w:lang w:val="en-US"/>
        </w:rPr>
        <w:t xml:space="preserve">exception </w:t>
      </w:r>
      <w:r w:rsidR="00E839ED" w:rsidRPr="007D770B">
        <w:rPr>
          <w:sz w:val="20"/>
          <w:szCs w:val="20"/>
          <w:lang w:val="en-US"/>
        </w:rPr>
        <w:t xml:space="preserve">is </w:t>
      </w:r>
      <w:r w:rsidRPr="007D770B">
        <w:rPr>
          <w:sz w:val="20"/>
          <w:szCs w:val="20"/>
          <w:lang w:val="en-US"/>
        </w:rPr>
        <w:t xml:space="preserve">for debt instruments that have been </w:t>
      </w:r>
      <w:r w:rsidR="00E839ED" w:rsidRPr="007D770B">
        <w:rPr>
          <w:sz w:val="20"/>
          <w:szCs w:val="20"/>
          <w:lang w:val="en-US"/>
        </w:rPr>
        <w:t xml:space="preserve">designated </w:t>
      </w:r>
      <w:r w:rsidRPr="007D770B">
        <w:rPr>
          <w:sz w:val="20"/>
          <w:szCs w:val="20"/>
          <w:lang w:val="en-US"/>
        </w:rPr>
        <w:t xml:space="preserve">at fair value through profit or loss or that are not held for trading, in which case they are presented separately in </w:t>
      </w:r>
      <w:r w:rsidR="00802136" w:rsidRPr="007D770B">
        <w:rPr>
          <w:sz w:val="20"/>
          <w:szCs w:val="20"/>
          <w:lang w:val="en-US"/>
        </w:rPr>
        <w:t>"</w:t>
      </w:r>
      <w:r w:rsidRPr="007D770B">
        <w:rPr>
          <w:sz w:val="20"/>
          <w:szCs w:val="20"/>
          <w:lang w:val="en-US"/>
        </w:rPr>
        <w:t>Net investment income</w:t>
      </w:r>
      <w:r w:rsidR="00802136" w:rsidRPr="007D770B">
        <w:rPr>
          <w:sz w:val="20"/>
          <w:szCs w:val="20"/>
          <w:lang w:val="en-US"/>
        </w:rPr>
        <w:t>"</w:t>
      </w:r>
      <w:r w:rsidRPr="007D770B">
        <w:rPr>
          <w:sz w:val="20"/>
          <w:szCs w:val="20"/>
          <w:lang w:val="en-US"/>
        </w:rPr>
        <w:t xml:space="preserve">. Interest income from these financial instruments is included in </w:t>
      </w:r>
      <w:r w:rsidR="00802136" w:rsidRPr="007D770B">
        <w:rPr>
          <w:sz w:val="20"/>
          <w:szCs w:val="20"/>
          <w:lang w:val="en-US"/>
        </w:rPr>
        <w:t>"</w:t>
      </w:r>
      <w:r w:rsidRPr="007D770B">
        <w:rPr>
          <w:sz w:val="20"/>
          <w:szCs w:val="20"/>
          <w:lang w:val="en-US"/>
        </w:rPr>
        <w:t>Interest income</w:t>
      </w:r>
      <w:r w:rsidR="00802136" w:rsidRPr="007D770B">
        <w:rPr>
          <w:sz w:val="20"/>
          <w:szCs w:val="20"/>
          <w:lang w:val="en-US"/>
        </w:rPr>
        <w:t xml:space="preserve">" </w:t>
      </w:r>
      <w:r w:rsidRPr="007D770B">
        <w:rPr>
          <w:sz w:val="20"/>
          <w:szCs w:val="20"/>
          <w:lang w:val="en-US"/>
        </w:rPr>
        <w:t>using the effective interest method.</w:t>
      </w:r>
    </w:p>
    <w:p w14:paraId="61EFCFF2" w14:textId="05D5F372" w:rsidR="00331FED" w:rsidRPr="007D770B" w:rsidRDefault="00331FED" w:rsidP="00331FED">
      <w:pPr>
        <w:ind w:left="0"/>
        <w:rPr>
          <w:rFonts w:ascii="Times New Roman" w:hAnsi="Times New Roman"/>
          <w:lang w:val="en-US"/>
        </w:rPr>
      </w:pPr>
      <w:r w:rsidRPr="007D770B">
        <w:rPr>
          <w:rFonts w:ascii="Times New Roman" w:hAnsi="Times New Roman"/>
          <w:lang w:val="en-US"/>
        </w:rPr>
        <w:t>The Bank reclassifies debt investments when, and only when, it changes its business model for managing those assets. Reclassifications are made from the beginning of the first reporting period after the change. Such changes are not expected to occur frequently.</w:t>
      </w:r>
    </w:p>
    <w:bookmarkEnd w:id="104"/>
    <w:bookmarkEnd w:id="105"/>
    <w:p w14:paraId="48096FA0" w14:textId="7BE92192" w:rsidR="00331FED" w:rsidRPr="007D770B" w:rsidRDefault="00331FED" w:rsidP="00331FED">
      <w:pPr>
        <w:pStyle w:val="af4"/>
        <w:spacing w:after="240"/>
        <w:ind w:firstLine="0"/>
        <w:rPr>
          <w:b/>
          <w:i/>
          <w:sz w:val="20"/>
          <w:szCs w:val="20"/>
          <w:lang w:val="en-US"/>
        </w:rPr>
      </w:pPr>
      <w:r w:rsidRPr="007D770B">
        <w:rPr>
          <w:b/>
          <w:sz w:val="20"/>
          <w:szCs w:val="20"/>
          <w:lang w:val="en-US"/>
        </w:rPr>
        <w:t>3.4.1 Financial assets at fair value through profit or loss</w:t>
      </w:r>
    </w:p>
    <w:p w14:paraId="2D0C1881" w14:textId="77777777" w:rsidR="00331FED" w:rsidRPr="007D770B" w:rsidRDefault="00331FED" w:rsidP="00331FED">
      <w:pPr>
        <w:ind w:left="0"/>
        <w:rPr>
          <w:rFonts w:ascii="Times New Roman" w:hAnsi="Times New Roman"/>
          <w:lang w:val="en-US"/>
        </w:rPr>
      </w:pPr>
      <w:r w:rsidRPr="007D770B">
        <w:rPr>
          <w:rFonts w:ascii="Times New Roman" w:hAnsi="Times New Roman"/>
          <w:lang w:val="en-US"/>
        </w:rPr>
        <w:t xml:space="preserve">Fair value through the income statement (FVTPL) is a residual category in the classification of financial assets. </w:t>
      </w:r>
    </w:p>
    <w:p w14:paraId="4414DC5D" w14:textId="77777777" w:rsidR="00331FED" w:rsidRPr="007D770B" w:rsidRDefault="00331FED" w:rsidP="00331FED">
      <w:pPr>
        <w:ind w:left="0"/>
        <w:rPr>
          <w:rFonts w:ascii="Times New Roman" w:hAnsi="Times New Roman"/>
          <w:lang w:val="en-US"/>
        </w:rPr>
      </w:pPr>
      <w:r w:rsidRPr="007D770B">
        <w:rPr>
          <w:rFonts w:ascii="Times New Roman" w:hAnsi="Times New Roman"/>
          <w:lang w:val="en-US"/>
        </w:rPr>
        <w:t>A financial asset is classified and measured at FVTPL when:</w:t>
      </w:r>
    </w:p>
    <w:p w14:paraId="6F56AAE8" w14:textId="77777777" w:rsidR="00331FED" w:rsidRPr="007D770B" w:rsidRDefault="00331FED" w:rsidP="00AE698A">
      <w:pPr>
        <w:pStyle w:val="21"/>
        <w:widowControl w:val="0"/>
        <w:numPr>
          <w:ilvl w:val="0"/>
          <w:numId w:val="264"/>
        </w:numPr>
        <w:spacing w:after="240"/>
        <w:rPr>
          <w:sz w:val="20"/>
          <w:szCs w:val="20"/>
          <w:lang w:val="en-US"/>
        </w:rPr>
      </w:pPr>
      <w:r w:rsidRPr="007D770B">
        <w:rPr>
          <w:sz w:val="20"/>
          <w:szCs w:val="20"/>
          <w:lang w:val="en-US"/>
        </w:rPr>
        <w:t>The financial asset is held for trading;</w:t>
      </w:r>
    </w:p>
    <w:p w14:paraId="6AE77F4A" w14:textId="39B9D0FB" w:rsidR="00331FED" w:rsidRPr="007D770B" w:rsidRDefault="00331FED" w:rsidP="00AE698A">
      <w:pPr>
        <w:pStyle w:val="21"/>
        <w:widowControl w:val="0"/>
        <w:numPr>
          <w:ilvl w:val="0"/>
          <w:numId w:val="264"/>
        </w:numPr>
        <w:spacing w:after="240"/>
        <w:rPr>
          <w:sz w:val="20"/>
          <w:szCs w:val="20"/>
          <w:lang w:val="en-US"/>
        </w:rPr>
      </w:pPr>
      <w:r w:rsidRPr="007D770B">
        <w:rPr>
          <w:sz w:val="20"/>
          <w:szCs w:val="20"/>
          <w:lang w:val="en-US"/>
        </w:rPr>
        <w:t>The debt instrument is not subject to valuation at amortized cost or MTPAS;</w:t>
      </w:r>
    </w:p>
    <w:p w14:paraId="4E0B2135" w14:textId="2892F93D" w:rsidR="00331FED" w:rsidRPr="007D770B" w:rsidRDefault="00331FED" w:rsidP="00AE698A">
      <w:pPr>
        <w:pStyle w:val="21"/>
        <w:widowControl w:val="0"/>
        <w:numPr>
          <w:ilvl w:val="0"/>
          <w:numId w:val="264"/>
        </w:numPr>
        <w:spacing w:after="240"/>
        <w:rPr>
          <w:sz w:val="20"/>
          <w:szCs w:val="20"/>
          <w:lang w:val="en-US"/>
        </w:rPr>
      </w:pPr>
      <w:r w:rsidRPr="007D770B">
        <w:rPr>
          <w:sz w:val="20"/>
          <w:szCs w:val="20"/>
          <w:lang w:val="en-US"/>
        </w:rPr>
        <w:t>These are equity investments that the Bank has not elected to classify under the SPSSD;</w:t>
      </w:r>
    </w:p>
    <w:p w14:paraId="1C05DAAD" w14:textId="29705AA6" w:rsidR="00331FED" w:rsidRPr="007D770B" w:rsidRDefault="00331FED" w:rsidP="00AE698A">
      <w:pPr>
        <w:pStyle w:val="21"/>
        <w:widowControl w:val="0"/>
        <w:numPr>
          <w:ilvl w:val="0"/>
          <w:numId w:val="264"/>
        </w:numPr>
        <w:spacing w:after="240"/>
        <w:rPr>
          <w:sz w:val="20"/>
          <w:szCs w:val="20"/>
          <w:lang w:val="en-US"/>
        </w:rPr>
      </w:pPr>
      <w:r w:rsidRPr="007D770B">
        <w:rPr>
          <w:sz w:val="20"/>
          <w:szCs w:val="20"/>
          <w:lang w:val="en-US"/>
        </w:rPr>
        <w:t>This is a financial asset that the Bank has measured at FVTPL using the fair value option.</w:t>
      </w:r>
    </w:p>
    <w:p w14:paraId="27A2F252" w14:textId="77777777" w:rsidR="00331FED" w:rsidRPr="0005146F" w:rsidRDefault="00331FED" w:rsidP="00331FED">
      <w:pPr>
        <w:pStyle w:val="aa"/>
        <w:rPr>
          <w:rFonts w:ascii="Times New Roman" w:hAnsi="Times New Roman"/>
        </w:rPr>
      </w:pPr>
      <w:r w:rsidRPr="0005146F">
        <w:rPr>
          <w:rFonts w:ascii="Times New Roman" w:hAnsi="Times New Roman"/>
          <w:noProof/>
          <w:lang w:eastAsia="ru-RU"/>
        </w:rPr>
        <w:drawing>
          <wp:inline distT="0" distB="0" distL="0" distR="0" wp14:anchorId="2828A1B5" wp14:editId="39D069DB">
            <wp:extent cx="6057900" cy="3200400"/>
            <wp:effectExtent l="0" t="12700" r="0" b="12700"/>
            <wp:docPr id="1036" name="Diagram 103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3136F49A" w14:textId="77777777" w:rsidR="00331FED" w:rsidRPr="007D770B" w:rsidRDefault="00331FED" w:rsidP="005F3958">
      <w:pPr>
        <w:pStyle w:val="21"/>
        <w:widowControl w:val="0"/>
        <w:tabs>
          <w:tab w:val="clear" w:pos="1134"/>
        </w:tabs>
        <w:spacing w:after="240"/>
        <w:ind w:firstLine="0"/>
        <w:rPr>
          <w:sz w:val="20"/>
          <w:szCs w:val="20"/>
          <w:lang w:val="en-US"/>
        </w:rPr>
      </w:pPr>
      <w:r w:rsidRPr="007D770B">
        <w:rPr>
          <w:sz w:val="20"/>
          <w:szCs w:val="20"/>
          <w:lang w:val="en-US"/>
        </w:rPr>
        <w:lastRenderedPageBreak/>
        <w:t>The Bank has the discretion to designate a financial asset at initial recognition as an SPPI (without the right of subsequent reclassification) if doing so would eliminate an accounting mismatch in the measurement of the financial asset. A financial asset that does not meet the SPPI test is always measured at FVTPL (except for equity instruments).</w:t>
      </w:r>
    </w:p>
    <w:p w14:paraId="2452965B" w14:textId="77777777" w:rsidR="00331FED" w:rsidRPr="007D770B" w:rsidRDefault="00331FED" w:rsidP="00331FED">
      <w:pPr>
        <w:pStyle w:val="af4"/>
        <w:spacing w:after="240"/>
        <w:ind w:firstLine="0"/>
        <w:rPr>
          <w:sz w:val="20"/>
          <w:szCs w:val="20"/>
          <w:lang w:val="en-US"/>
        </w:rPr>
      </w:pPr>
      <w:r w:rsidRPr="007D770B">
        <w:rPr>
          <w:sz w:val="20"/>
          <w:szCs w:val="20"/>
          <w:lang w:val="en-US"/>
        </w:rPr>
        <w:t xml:space="preserve">When financial </w:t>
      </w:r>
      <w:r w:rsidRPr="007D770B">
        <w:rPr>
          <w:iCs/>
          <w:sz w:val="20"/>
          <w:szCs w:val="20"/>
          <w:lang w:val="en-US"/>
        </w:rPr>
        <w:t xml:space="preserve">instruments </w:t>
      </w:r>
      <w:r w:rsidRPr="007D770B">
        <w:rPr>
          <w:sz w:val="20"/>
          <w:szCs w:val="20"/>
          <w:lang w:val="en-US"/>
        </w:rPr>
        <w:t xml:space="preserve">carried at fair value are recognized </w:t>
      </w:r>
      <w:r w:rsidRPr="007D770B">
        <w:rPr>
          <w:b/>
          <w:i/>
          <w:sz w:val="20"/>
          <w:szCs w:val="20"/>
          <w:lang w:val="en-US"/>
        </w:rPr>
        <w:t>initially</w:t>
      </w:r>
      <w:r w:rsidRPr="007D770B">
        <w:rPr>
          <w:sz w:val="20"/>
          <w:szCs w:val="20"/>
          <w:lang w:val="en-US"/>
        </w:rPr>
        <w:t>, they are recognized at fair value.</w:t>
      </w:r>
    </w:p>
    <w:p w14:paraId="0F5EF5CE" w14:textId="77777777" w:rsidR="00331FED" w:rsidRPr="007D770B" w:rsidRDefault="00331FED" w:rsidP="00331FED">
      <w:pPr>
        <w:pStyle w:val="af4"/>
        <w:spacing w:after="240"/>
        <w:ind w:firstLine="0"/>
        <w:rPr>
          <w:sz w:val="20"/>
          <w:szCs w:val="20"/>
          <w:lang w:val="en-US"/>
        </w:rPr>
      </w:pPr>
      <w:r w:rsidRPr="007D770B">
        <w:rPr>
          <w:b/>
          <w:i/>
          <w:sz w:val="20"/>
          <w:szCs w:val="20"/>
          <w:lang w:val="en-US"/>
        </w:rPr>
        <w:t xml:space="preserve">Subsequent measurement. </w:t>
      </w:r>
      <w:r w:rsidRPr="007D770B">
        <w:rPr>
          <w:sz w:val="20"/>
          <w:szCs w:val="20"/>
          <w:lang w:val="en-US"/>
        </w:rPr>
        <w:t>For the purposes of subsequent measurement at each reporting date and at the date of disposal, financial instruments in this category are carried at fair value through profit or loss. The availability of published quoted prices in an active market is the best indicator of fair value. The quoted market price for an existing instrument is the current bid price and for an acquired instrument is the current asking price.</w:t>
      </w:r>
    </w:p>
    <w:p w14:paraId="4908A405" w14:textId="77777777" w:rsidR="00331FED" w:rsidRPr="007D770B" w:rsidRDefault="00331FED" w:rsidP="00331FED">
      <w:pPr>
        <w:pStyle w:val="af4"/>
        <w:spacing w:after="240"/>
        <w:ind w:firstLine="0"/>
        <w:rPr>
          <w:sz w:val="20"/>
          <w:szCs w:val="20"/>
          <w:lang w:val="en-US"/>
        </w:rPr>
      </w:pPr>
      <w:r w:rsidRPr="007D770B">
        <w:rPr>
          <w:sz w:val="20"/>
          <w:szCs w:val="20"/>
          <w:lang w:val="en-US"/>
        </w:rPr>
        <w:t>Where bid and offer prices are not available, the most recent transaction price is used as the basis for determining the current fair value, provided that there has been no significant change in economic conditions between the date of the transaction and the reporting date.</w:t>
      </w:r>
    </w:p>
    <w:p w14:paraId="6B8938E4" w14:textId="77777777" w:rsidR="00331FED" w:rsidRPr="007D770B" w:rsidRDefault="00331FED" w:rsidP="00331FED">
      <w:pPr>
        <w:pStyle w:val="af4"/>
        <w:spacing w:after="240"/>
        <w:ind w:firstLine="0"/>
        <w:rPr>
          <w:sz w:val="20"/>
          <w:szCs w:val="20"/>
          <w:lang w:val="en-US"/>
        </w:rPr>
      </w:pPr>
      <w:r w:rsidRPr="007D770B">
        <w:rPr>
          <w:sz w:val="20"/>
          <w:szCs w:val="20"/>
          <w:lang w:val="en-US"/>
        </w:rPr>
        <w:t>In other cases, and where a quoted market price is not available, various technical valuation techniques are used to determine fair value:</w:t>
      </w:r>
    </w:p>
    <w:p w14:paraId="0A58844F" w14:textId="77777777" w:rsidR="00331FED" w:rsidRPr="007D770B" w:rsidRDefault="00331FED" w:rsidP="00AE698A">
      <w:pPr>
        <w:pStyle w:val="1"/>
        <w:numPr>
          <w:ilvl w:val="0"/>
          <w:numId w:val="310"/>
        </w:numPr>
        <w:spacing w:after="240"/>
        <w:rPr>
          <w:sz w:val="20"/>
          <w:szCs w:val="20"/>
          <w:lang w:val="en-US"/>
        </w:rPr>
      </w:pPr>
      <w:r w:rsidRPr="007D770B">
        <w:rPr>
          <w:sz w:val="20"/>
          <w:szCs w:val="20"/>
          <w:lang w:val="en-US"/>
        </w:rPr>
        <w:t xml:space="preserve">comparison with the current market value of another very similar instrument; </w:t>
      </w:r>
    </w:p>
    <w:p w14:paraId="00D87962" w14:textId="77777777" w:rsidR="00331FED" w:rsidRPr="007D770B" w:rsidRDefault="00331FED" w:rsidP="00AE698A">
      <w:pPr>
        <w:pStyle w:val="21"/>
        <w:numPr>
          <w:ilvl w:val="0"/>
          <w:numId w:val="310"/>
        </w:numPr>
        <w:spacing w:after="240"/>
        <w:rPr>
          <w:sz w:val="20"/>
          <w:szCs w:val="20"/>
          <w:lang w:val="en-US"/>
        </w:rPr>
      </w:pPr>
      <w:r w:rsidRPr="007D770B">
        <w:rPr>
          <w:sz w:val="20"/>
          <w:szCs w:val="20"/>
          <w:lang w:val="en-US"/>
        </w:rPr>
        <w:t>a discounted cash flow analysis that uses a discount rate that is equal to the prevailing market rate of interest for financial instruments with similar terms and conditions, including the debtor's creditworthiness, the remaining period of the contractual interest rate, the remaining period until maturity of the principal amount and the currency in which the payments are to be made.</w:t>
      </w:r>
    </w:p>
    <w:p w14:paraId="0BB55E4D" w14:textId="77777777" w:rsidR="00331FED" w:rsidRPr="007D770B" w:rsidRDefault="00331FED" w:rsidP="00331FED">
      <w:pPr>
        <w:pStyle w:val="af4"/>
        <w:spacing w:after="240"/>
        <w:ind w:firstLine="0"/>
        <w:rPr>
          <w:sz w:val="20"/>
          <w:szCs w:val="20"/>
          <w:lang w:val="en-US"/>
        </w:rPr>
      </w:pPr>
      <w:r w:rsidRPr="007D770B">
        <w:rPr>
          <w:sz w:val="20"/>
          <w:szCs w:val="20"/>
          <w:lang w:val="en-US"/>
        </w:rPr>
        <w:t xml:space="preserve">Gains or losses arising from </w:t>
      </w:r>
      <w:r w:rsidRPr="007D770B">
        <w:rPr>
          <w:i/>
          <w:sz w:val="20"/>
          <w:szCs w:val="20"/>
          <w:lang w:val="en-US"/>
        </w:rPr>
        <w:t xml:space="preserve">changes in </w:t>
      </w:r>
      <w:r w:rsidRPr="007D770B">
        <w:rPr>
          <w:sz w:val="20"/>
          <w:szCs w:val="20"/>
          <w:lang w:val="en-US"/>
        </w:rPr>
        <w:t xml:space="preserve">the </w:t>
      </w:r>
      <w:r w:rsidRPr="007D770B">
        <w:rPr>
          <w:i/>
          <w:sz w:val="20"/>
          <w:szCs w:val="20"/>
          <w:lang w:val="en-US"/>
        </w:rPr>
        <w:t xml:space="preserve">fair value of </w:t>
      </w:r>
      <w:r w:rsidRPr="007D770B">
        <w:rPr>
          <w:sz w:val="20"/>
          <w:szCs w:val="20"/>
          <w:lang w:val="en-US"/>
        </w:rPr>
        <w:t>financial assets at fair value that are not designated as hedging instruments are recognized in profit or loss for the current period.</w:t>
      </w:r>
    </w:p>
    <w:p w14:paraId="47EF5E34" w14:textId="78CEEAA3" w:rsidR="00331FED" w:rsidRPr="007D770B" w:rsidRDefault="00331FED" w:rsidP="00331FED">
      <w:pPr>
        <w:pStyle w:val="affff3"/>
        <w:spacing w:after="240"/>
        <w:ind w:right="-6"/>
        <w:jc w:val="both"/>
        <w:rPr>
          <w:rFonts w:eastAsia="Calibri"/>
          <w:sz w:val="20"/>
          <w:szCs w:val="20"/>
          <w:lang w:val="en-US" w:eastAsia="en-US"/>
        </w:rPr>
      </w:pPr>
      <w:r w:rsidRPr="007D770B">
        <w:rPr>
          <w:rFonts w:eastAsia="Calibri"/>
          <w:sz w:val="20"/>
          <w:szCs w:val="20"/>
          <w:lang w:val="en-US" w:eastAsia="en-US"/>
        </w:rPr>
        <w:t>For the purposes of revaluation of securities at fair value, the Bank applies market rates calculated by the Kazakhstan Stock Exchange.</w:t>
      </w:r>
    </w:p>
    <w:p w14:paraId="44FDD901" w14:textId="033BF9A9" w:rsidR="00331FED" w:rsidRPr="007D770B" w:rsidRDefault="00331FED" w:rsidP="00331FED">
      <w:pPr>
        <w:pStyle w:val="affff3"/>
        <w:spacing w:after="240"/>
        <w:ind w:right="-6"/>
        <w:jc w:val="both"/>
        <w:rPr>
          <w:rFonts w:eastAsia="Calibri"/>
          <w:sz w:val="20"/>
          <w:szCs w:val="20"/>
          <w:lang w:val="en-US" w:eastAsia="en-US"/>
        </w:rPr>
      </w:pPr>
      <w:r w:rsidRPr="007D770B">
        <w:rPr>
          <w:rFonts w:eastAsia="Calibri"/>
          <w:sz w:val="20"/>
          <w:szCs w:val="20"/>
          <w:lang w:val="en-US" w:eastAsia="en-US"/>
        </w:rPr>
        <w:t>If a security is not quoted on the securities</w:t>
      </w:r>
      <w:r w:rsidR="004D7EAB" w:rsidRPr="007D770B">
        <w:rPr>
          <w:rFonts w:eastAsia="Calibri"/>
          <w:sz w:val="20"/>
          <w:szCs w:val="20"/>
          <w:lang w:val="en-US" w:eastAsia="en-US"/>
        </w:rPr>
        <w:t xml:space="preserve"> market, </w:t>
      </w:r>
      <w:r w:rsidRPr="007D770B">
        <w:rPr>
          <w:rFonts w:eastAsia="Calibri"/>
          <w:sz w:val="20"/>
          <w:szCs w:val="20"/>
          <w:lang w:val="en-US" w:eastAsia="en-US"/>
        </w:rPr>
        <w:t>fair value measurement is performed in accordance with an internal document regulating the determination of fair value of the Bank's financial instruments.</w:t>
      </w:r>
    </w:p>
    <w:p w14:paraId="597AD0EE" w14:textId="77777777" w:rsidR="00331FED" w:rsidRPr="007D770B" w:rsidRDefault="00331FED" w:rsidP="00331FED">
      <w:pPr>
        <w:pStyle w:val="21"/>
        <w:widowControl w:val="0"/>
        <w:tabs>
          <w:tab w:val="clear" w:pos="1134"/>
        </w:tabs>
        <w:spacing w:after="240"/>
        <w:ind w:firstLine="0"/>
        <w:rPr>
          <w:sz w:val="20"/>
          <w:szCs w:val="20"/>
          <w:lang w:val="en-US"/>
        </w:rPr>
      </w:pPr>
      <w:r w:rsidRPr="007D770B">
        <w:rPr>
          <w:sz w:val="20"/>
          <w:szCs w:val="20"/>
          <w:lang w:val="en-US"/>
        </w:rPr>
        <w:t xml:space="preserve">Interest income on securities in this category calculated using the effective interest method is recognized in the statement of comprehensive income as interest income. </w:t>
      </w:r>
    </w:p>
    <w:p w14:paraId="57AE24EF" w14:textId="77777777" w:rsidR="00331FED" w:rsidRPr="007D770B" w:rsidRDefault="00331FED" w:rsidP="00331FED">
      <w:pPr>
        <w:pStyle w:val="21"/>
        <w:widowControl w:val="0"/>
        <w:tabs>
          <w:tab w:val="clear" w:pos="1134"/>
        </w:tabs>
        <w:spacing w:after="240"/>
        <w:ind w:firstLine="0"/>
        <w:rPr>
          <w:sz w:val="20"/>
          <w:szCs w:val="20"/>
          <w:lang w:val="en-US"/>
        </w:rPr>
      </w:pPr>
      <w:r w:rsidRPr="007D770B">
        <w:rPr>
          <w:sz w:val="20"/>
          <w:szCs w:val="20"/>
          <w:lang w:val="en-US"/>
        </w:rPr>
        <w:t xml:space="preserve">Dividends are recognized as dividend income within other operating income when the Bank's right to receive the dividend payment is established and it is probable that the dividends will be collected. </w:t>
      </w:r>
    </w:p>
    <w:p w14:paraId="4ECBC2EF" w14:textId="77777777" w:rsidR="00331FED" w:rsidRPr="007D770B" w:rsidRDefault="00331FED" w:rsidP="00331FED">
      <w:pPr>
        <w:pStyle w:val="21"/>
        <w:widowControl w:val="0"/>
        <w:tabs>
          <w:tab w:val="clear" w:pos="1134"/>
        </w:tabs>
        <w:spacing w:after="240"/>
        <w:ind w:firstLine="0"/>
        <w:rPr>
          <w:sz w:val="20"/>
          <w:szCs w:val="20"/>
          <w:lang w:val="en-US"/>
        </w:rPr>
      </w:pPr>
      <w:r w:rsidRPr="007D770B">
        <w:rPr>
          <w:sz w:val="20"/>
          <w:szCs w:val="20"/>
          <w:lang w:val="en-US"/>
        </w:rPr>
        <w:t>All other elements of the changes in the fair value and gains or losses on derecognition are recognized in profit or loss as gains less losses from financial instruments at fair value through profit or loss in the period in which they arise.</w:t>
      </w:r>
    </w:p>
    <w:p w14:paraId="7A022A0E" w14:textId="31A16969" w:rsidR="00331FED" w:rsidRPr="007D770B" w:rsidRDefault="00331FED" w:rsidP="00331FED">
      <w:pPr>
        <w:pStyle w:val="1"/>
        <w:numPr>
          <w:ilvl w:val="0"/>
          <w:numId w:val="0"/>
        </w:numPr>
        <w:spacing w:after="240"/>
        <w:rPr>
          <w:b/>
          <w:sz w:val="20"/>
          <w:szCs w:val="20"/>
          <w:lang w:val="en-US"/>
        </w:rPr>
      </w:pPr>
      <w:r w:rsidRPr="007D770B">
        <w:rPr>
          <w:b/>
          <w:sz w:val="20"/>
          <w:szCs w:val="20"/>
          <w:lang w:val="en-US"/>
        </w:rPr>
        <w:t>3.4.2 Financial assets at fair value through other comprehensive income</w:t>
      </w:r>
    </w:p>
    <w:p w14:paraId="4014561E" w14:textId="77777777" w:rsidR="00331FED" w:rsidRPr="007D770B" w:rsidRDefault="00331FED" w:rsidP="00331FED">
      <w:pPr>
        <w:ind w:left="0"/>
        <w:rPr>
          <w:rFonts w:ascii="Times New Roman" w:hAnsi="Times New Roman"/>
          <w:lang w:val="en-US"/>
        </w:rPr>
      </w:pPr>
      <w:r w:rsidRPr="007D770B">
        <w:rPr>
          <w:rFonts w:ascii="Times New Roman" w:hAnsi="Times New Roman"/>
          <w:lang w:val="en-US"/>
        </w:rPr>
        <w:t>A financial asset shall be subsequently measured at fair value through other comprehensive income (FVTPL) if the following conditions are met:</w:t>
      </w:r>
    </w:p>
    <w:p w14:paraId="6738A0A0" w14:textId="77777777" w:rsidR="00331FED" w:rsidRPr="007D770B" w:rsidRDefault="00331FED" w:rsidP="00AE698A">
      <w:pPr>
        <w:pStyle w:val="21"/>
        <w:numPr>
          <w:ilvl w:val="0"/>
          <w:numId w:val="310"/>
        </w:numPr>
        <w:spacing w:after="240"/>
        <w:rPr>
          <w:sz w:val="20"/>
          <w:szCs w:val="20"/>
          <w:lang w:val="en-US"/>
        </w:rPr>
      </w:pPr>
      <w:r w:rsidRPr="007D770B">
        <w:rPr>
          <w:sz w:val="20"/>
          <w:szCs w:val="20"/>
          <w:lang w:val="en-US"/>
        </w:rPr>
        <w:t xml:space="preserve">the financial asset is held within a business model whose objective is achieved both by generating contractual cash flows and by selling the financial asset, and </w:t>
      </w:r>
    </w:p>
    <w:p w14:paraId="02771144" w14:textId="77777777" w:rsidR="00331FED" w:rsidRPr="007D770B" w:rsidRDefault="00331FED" w:rsidP="00AE698A">
      <w:pPr>
        <w:pStyle w:val="21"/>
        <w:numPr>
          <w:ilvl w:val="0"/>
          <w:numId w:val="310"/>
        </w:numPr>
        <w:spacing w:after="240"/>
        <w:rPr>
          <w:sz w:val="20"/>
          <w:szCs w:val="20"/>
          <w:lang w:val="en-US"/>
        </w:rPr>
      </w:pPr>
      <w:r w:rsidRPr="007D770B">
        <w:rPr>
          <w:sz w:val="20"/>
          <w:szCs w:val="20"/>
          <w:lang w:val="en-US"/>
        </w:rPr>
        <w:t xml:space="preserve">the contractual terms of the financial asset require that cash flows that are solely payments of principal and interest on the principal outstanding be received on specified dates. </w:t>
      </w:r>
    </w:p>
    <w:p w14:paraId="2CDE09D6" w14:textId="1855A8B4" w:rsidR="00331FED" w:rsidRPr="007D770B" w:rsidRDefault="00331FED" w:rsidP="00331FED">
      <w:pPr>
        <w:ind w:left="0"/>
        <w:rPr>
          <w:rFonts w:ascii="Times New Roman" w:hAnsi="Times New Roman"/>
          <w:lang w:val="en-US"/>
        </w:rPr>
      </w:pPr>
      <w:r w:rsidRPr="007D770B">
        <w:rPr>
          <w:rFonts w:ascii="Times New Roman" w:hAnsi="Times New Roman"/>
          <w:lang w:val="en-US"/>
        </w:rPr>
        <w:t>Financial assets designated as at FVTPL are initially recognized and subsequently measured at fair value. Changes in carrying amount are required to be recognized through OCI, except for impairment gains or losses, interest income and foreign exchange gains and losses, which are recognized in the income statement. On derecognition of a financial asset, the cumulative gain or loss previously recognized in OCI is reclassified from equity to the income statement.</w:t>
      </w:r>
    </w:p>
    <w:p w14:paraId="5D2C300F" w14:textId="1D855082" w:rsidR="00331FED" w:rsidRPr="007D770B" w:rsidRDefault="00331FED" w:rsidP="00331FED">
      <w:pPr>
        <w:ind w:left="0"/>
        <w:rPr>
          <w:rFonts w:ascii="Times New Roman" w:hAnsi="Times New Roman"/>
          <w:lang w:val="en-US"/>
        </w:rPr>
      </w:pPr>
      <w:r w:rsidRPr="007D770B">
        <w:rPr>
          <w:rFonts w:ascii="Times New Roman" w:hAnsi="Times New Roman"/>
          <w:lang w:val="en-US"/>
        </w:rPr>
        <w:lastRenderedPageBreak/>
        <w:t xml:space="preserve">Examples of financial instruments that may be classified and accounted for under the </w:t>
      </w:r>
      <w:r>
        <w:rPr>
          <w:rFonts w:ascii="Times New Roman" w:hAnsi="Times New Roman"/>
          <w:lang w:val="en-GB"/>
        </w:rPr>
        <w:t xml:space="preserve">SPPI </w:t>
      </w:r>
      <w:r w:rsidRPr="007D770B">
        <w:rPr>
          <w:rFonts w:ascii="Times New Roman" w:hAnsi="Times New Roman"/>
          <w:lang w:val="en-US"/>
        </w:rPr>
        <w:t xml:space="preserve">test in accordance with IFRS 9, provided that the </w:t>
      </w:r>
      <w:r>
        <w:rPr>
          <w:rFonts w:ascii="Times New Roman" w:hAnsi="Times New Roman"/>
          <w:lang w:val="en-GB"/>
        </w:rPr>
        <w:t xml:space="preserve">SPPI </w:t>
      </w:r>
      <w:r w:rsidRPr="007D770B">
        <w:rPr>
          <w:rFonts w:ascii="Times New Roman" w:hAnsi="Times New Roman"/>
          <w:lang w:val="en-US"/>
        </w:rPr>
        <w:t xml:space="preserve">test is met and the business model is defined as </w:t>
      </w:r>
      <w:r w:rsidR="00802136" w:rsidRPr="007D770B">
        <w:rPr>
          <w:rFonts w:ascii="Times New Roman" w:hAnsi="Times New Roman"/>
          <w:lang w:val="en-US"/>
        </w:rPr>
        <w:t>'</w:t>
      </w:r>
      <w:r w:rsidRPr="007D770B">
        <w:rPr>
          <w:rFonts w:ascii="Times New Roman" w:hAnsi="Times New Roman"/>
          <w:lang w:val="en-US"/>
        </w:rPr>
        <w:t>held to collect contractual cash flows and for sale</w:t>
      </w:r>
      <w:r w:rsidR="00802136" w:rsidRPr="007D770B">
        <w:rPr>
          <w:rFonts w:ascii="Times New Roman" w:hAnsi="Times New Roman"/>
          <w:lang w:val="en-US"/>
        </w:rPr>
        <w:t>'</w:t>
      </w:r>
      <w:r w:rsidRPr="007D770B">
        <w:rPr>
          <w:rFonts w:ascii="Times New Roman" w:hAnsi="Times New Roman"/>
          <w:lang w:val="en-US"/>
        </w:rPr>
        <w:t>, include:</w:t>
      </w:r>
    </w:p>
    <w:p w14:paraId="033C8DB7" w14:textId="77777777" w:rsidR="00331FED" w:rsidRPr="007D770B" w:rsidRDefault="00331FED" w:rsidP="00AE698A">
      <w:pPr>
        <w:pStyle w:val="21"/>
        <w:numPr>
          <w:ilvl w:val="0"/>
          <w:numId w:val="310"/>
        </w:numPr>
        <w:spacing w:after="240"/>
        <w:rPr>
          <w:sz w:val="20"/>
          <w:szCs w:val="20"/>
          <w:lang w:val="en-US"/>
        </w:rPr>
      </w:pPr>
      <w:r w:rsidRPr="007D770B">
        <w:rPr>
          <w:sz w:val="20"/>
          <w:szCs w:val="20"/>
          <w:lang w:val="en-US"/>
        </w:rPr>
        <w:t>Investments in government bonds where the investment period may be shorter than the maturity period;</w:t>
      </w:r>
    </w:p>
    <w:p w14:paraId="451545ED" w14:textId="77777777" w:rsidR="00331FED" w:rsidRPr="007D770B" w:rsidRDefault="00331FED" w:rsidP="00AE698A">
      <w:pPr>
        <w:pStyle w:val="21"/>
        <w:numPr>
          <w:ilvl w:val="0"/>
          <w:numId w:val="310"/>
        </w:numPr>
        <w:spacing w:after="240"/>
        <w:rPr>
          <w:sz w:val="20"/>
          <w:szCs w:val="20"/>
          <w:lang w:val="en-US"/>
        </w:rPr>
      </w:pPr>
      <w:r w:rsidRPr="007D770B">
        <w:rPr>
          <w:sz w:val="20"/>
          <w:szCs w:val="20"/>
          <w:lang w:val="en-US"/>
        </w:rPr>
        <w:t>Investing in corporate bonds where the investment period is likely to be shorter than the maturity period.</w:t>
      </w:r>
    </w:p>
    <w:p w14:paraId="5C286187" w14:textId="77777777" w:rsidR="00331FED" w:rsidRPr="007D770B" w:rsidRDefault="00331FED" w:rsidP="00331FED">
      <w:pPr>
        <w:ind w:left="0"/>
        <w:rPr>
          <w:rFonts w:ascii="Times New Roman" w:hAnsi="Times New Roman"/>
          <w:lang w:val="en-US"/>
        </w:rPr>
      </w:pPr>
      <w:r w:rsidRPr="007D770B">
        <w:rPr>
          <w:rFonts w:ascii="Times New Roman" w:hAnsi="Times New Roman"/>
          <w:lang w:val="en-US"/>
        </w:rPr>
        <w:t>Accounting requirements for debt financial instruments classified as SPSSDs:</w:t>
      </w:r>
    </w:p>
    <w:p w14:paraId="14324D04" w14:textId="77777777" w:rsidR="00331FED" w:rsidRPr="007D770B" w:rsidRDefault="00331FED" w:rsidP="00AE698A">
      <w:pPr>
        <w:pStyle w:val="21"/>
        <w:numPr>
          <w:ilvl w:val="0"/>
          <w:numId w:val="310"/>
        </w:numPr>
        <w:spacing w:after="240"/>
        <w:rPr>
          <w:sz w:val="20"/>
          <w:szCs w:val="20"/>
          <w:lang w:val="en-US"/>
        </w:rPr>
      </w:pPr>
      <w:r w:rsidRPr="007D770B">
        <w:rPr>
          <w:sz w:val="20"/>
          <w:szCs w:val="20"/>
          <w:lang w:val="en-US"/>
        </w:rPr>
        <w:t>Interest income is recognized in profit or loss using the effective interest method, similar to the method applied to financial assets measured at amortized cost;</w:t>
      </w:r>
    </w:p>
    <w:p w14:paraId="68C1452D" w14:textId="77777777" w:rsidR="00331FED" w:rsidRPr="007D770B" w:rsidRDefault="00331FED" w:rsidP="00AE698A">
      <w:pPr>
        <w:pStyle w:val="21"/>
        <w:numPr>
          <w:ilvl w:val="0"/>
          <w:numId w:val="310"/>
        </w:numPr>
        <w:spacing w:after="240"/>
        <w:rPr>
          <w:sz w:val="20"/>
          <w:szCs w:val="20"/>
          <w:lang w:val="en-US"/>
        </w:rPr>
      </w:pPr>
      <w:r w:rsidRPr="007D770B">
        <w:rPr>
          <w:sz w:val="20"/>
          <w:szCs w:val="20"/>
          <w:lang w:val="en-US"/>
        </w:rPr>
        <w:t>Impairment losses / reversals are recognized in profit or loss using the same credit risk assessment methodology as for financial assets measured at amortized cost;</w:t>
      </w:r>
    </w:p>
    <w:p w14:paraId="5987CE6D" w14:textId="77777777" w:rsidR="00331FED" w:rsidRPr="007D770B" w:rsidRDefault="00331FED" w:rsidP="00AE698A">
      <w:pPr>
        <w:pStyle w:val="21"/>
        <w:numPr>
          <w:ilvl w:val="0"/>
          <w:numId w:val="310"/>
        </w:numPr>
        <w:spacing w:after="240"/>
        <w:rPr>
          <w:sz w:val="20"/>
          <w:szCs w:val="20"/>
          <w:lang w:val="en-US"/>
        </w:rPr>
      </w:pPr>
      <w:r w:rsidRPr="007D770B">
        <w:rPr>
          <w:sz w:val="20"/>
          <w:szCs w:val="20"/>
          <w:lang w:val="en-US"/>
        </w:rPr>
        <w:t>Other changes in the carrying amount on remeasurement to fair value are recognized in OCI;</w:t>
      </w:r>
    </w:p>
    <w:p w14:paraId="4A0707D6" w14:textId="77777777" w:rsidR="00331FED" w:rsidRPr="007D770B" w:rsidRDefault="00331FED" w:rsidP="00AE698A">
      <w:pPr>
        <w:pStyle w:val="21"/>
        <w:numPr>
          <w:ilvl w:val="0"/>
          <w:numId w:val="310"/>
        </w:numPr>
        <w:spacing w:after="240"/>
        <w:rPr>
          <w:sz w:val="20"/>
          <w:szCs w:val="20"/>
          <w:lang w:val="en-US"/>
        </w:rPr>
      </w:pPr>
      <w:r w:rsidRPr="007D770B">
        <w:rPr>
          <w:sz w:val="20"/>
          <w:szCs w:val="20"/>
          <w:lang w:val="en-US"/>
        </w:rPr>
        <w:t>The cumulative fair value gain or loss recognized in OCI is transferred from OCI to profit or loss when the related financial asset is derecognized.</w:t>
      </w:r>
    </w:p>
    <w:p w14:paraId="0AC46739" w14:textId="77777777" w:rsidR="00331FED" w:rsidRPr="007D770B" w:rsidRDefault="00331FED" w:rsidP="00331FED">
      <w:pPr>
        <w:ind w:left="0"/>
        <w:rPr>
          <w:rFonts w:ascii="Times New Roman" w:hAnsi="Times New Roman"/>
          <w:lang w:val="en-US"/>
        </w:rPr>
      </w:pPr>
      <w:r w:rsidRPr="007D770B">
        <w:rPr>
          <w:rFonts w:ascii="Times New Roman" w:hAnsi="Times New Roman"/>
          <w:lang w:val="en-US"/>
        </w:rPr>
        <w:t>Investments in equity instruments are required to be measured at fair value. The default method is to recognize all changes in fair value in the income statement.</w:t>
      </w:r>
    </w:p>
    <w:p w14:paraId="2BB8BE50" w14:textId="28C01466" w:rsidR="00331FED" w:rsidRPr="007D770B" w:rsidRDefault="00331FED" w:rsidP="00331FED">
      <w:pPr>
        <w:ind w:left="0"/>
        <w:rPr>
          <w:rFonts w:ascii="Times New Roman" w:hAnsi="Times New Roman"/>
          <w:lang w:val="en-US"/>
        </w:rPr>
      </w:pPr>
      <w:r w:rsidRPr="007D770B">
        <w:rPr>
          <w:rFonts w:ascii="Times New Roman" w:hAnsi="Times New Roman"/>
          <w:lang w:val="en-US"/>
        </w:rPr>
        <w:t xml:space="preserve">However, on initial recognition of an investment in an equity instrument, the Bank may elect to designate such an investment not held for trading as a non-trading investment without the right to reclassify it, with all subsequent changes in fair value recognized without effect on OCI, except for dividend income which is recognized in profit or loss This option is available for each individual investment, but is only applicable to investments that meet the definition of an equity instrument in the following table </w:t>
      </w:r>
    </w:p>
    <w:p w14:paraId="6969DD46" w14:textId="6BDB5B21" w:rsidR="00331FED" w:rsidRPr="007D770B" w:rsidRDefault="00331FED" w:rsidP="00331FED">
      <w:pPr>
        <w:pStyle w:val="1"/>
        <w:numPr>
          <w:ilvl w:val="0"/>
          <w:numId w:val="0"/>
        </w:numPr>
        <w:spacing w:after="240"/>
        <w:rPr>
          <w:b/>
          <w:sz w:val="20"/>
          <w:szCs w:val="20"/>
          <w:lang w:val="en-US"/>
        </w:rPr>
      </w:pPr>
      <w:r w:rsidRPr="007D770B">
        <w:rPr>
          <w:b/>
          <w:sz w:val="20"/>
          <w:szCs w:val="20"/>
          <w:lang w:val="en-US"/>
        </w:rPr>
        <w:t xml:space="preserve">3.4.3 Financial assets measured at amortized cost </w:t>
      </w:r>
    </w:p>
    <w:p w14:paraId="1D5ABAF2" w14:textId="77777777" w:rsidR="00331FED" w:rsidRPr="007D770B" w:rsidRDefault="00331FED" w:rsidP="00331FED">
      <w:pPr>
        <w:ind w:left="0"/>
        <w:rPr>
          <w:rFonts w:ascii="Times New Roman" w:hAnsi="Times New Roman"/>
          <w:lang w:val="en-US"/>
        </w:rPr>
      </w:pPr>
      <w:r w:rsidRPr="007D770B">
        <w:rPr>
          <w:rFonts w:ascii="Times New Roman" w:hAnsi="Times New Roman"/>
          <w:lang w:val="en-US"/>
        </w:rPr>
        <w:t>A financial asset shall be subsequently measured at amortized cost if the following conditions are met:</w:t>
      </w:r>
    </w:p>
    <w:p w14:paraId="3CC29AB3" w14:textId="5943E52B" w:rsidR="00331FED" w:rsidRPr="007D770B" w:rsidRDefault="00331FED" w:rsidP="00AE698A">
      <w:pPr>
        <w:pStyle w:val="21"/>
        <w:numPr>
          <w:ilvl w:val="0"/>
          <w:numId w:val="310"/>
        </w:numPr>
        <w:spacing w:after="240"/>
        <w:rPr>
          <w:sz w:val="20"/>
          <w:szCs w:val="20"/>
          <w:lang w:val="en-US"/>
        </w:rPr>
      </w:pPr>
      <w:r w:rsidRPr="007D770B">
        <w:rPr>
          <w:sz w:val="20"/>
          <w:szCs w:val="20"/>
          <w:lang w:val="en-US"/>
        </w:rPr>
        <w:t xml:space="preserve">the financial asset is held within a business model whose objective is to hold financial assets to collect the contractual cash flows, and </w:t>
      </w:r>
    </w:p>
    <w:p w14:paraId="10B59521" w14:textId="1CBB76EB" w:rsidR="00331FED" w:rsidRPr="007D770B" w:rsidRDefault="00331FED" w:rsidP="00AE698A">
      <w:pPr>
        <w:pStyle w:val="21"/>
        <w:numPr>
          <w:ilvl w:val="0"/>
          <w:numId w:val="310"/>
        </w:numPr>
        <w:spacing w:after="240"/>
        <w:rPr>
          <w:sz w:val="20"/>
          <w:szCs w:val="20"/>
          <w:lang w:val="en-US"/>
        </w:rPr>
      </w:pPr>
      <w:r w:rsidRPr="007D770B">
        <w:rPr>
          <w:sz w:val="20"/>
          <w:szCs w:val="20"/>
          <w:lang w:val="en-US"/>
        </w:rPr>
        <w:t>the contractual terms of the financial asset require the receipt on specified dates of cash flows that are solely payments of principal and interest on the principal outstanding (SPPI).</w:t>
      </w:r>
    </w:p>
    <w:p w14:paraId="2126CD23" w14:textId="77777777" w:rsidR="00331FED" w:rsidRPr="007D770B" w:rsidRDefault="00331FED" w:rsidP="00331FED">
      <w:pPr>
        <w:ind w:left="0"/>
        <w:rPr>
          <w:rFonts w:ascii="Times New Roman" w:hAnsi="Times New Roman"/>
          <w:lang w:val="en-US"/>
        </w:rPr>
      </w:pPr>
      <w:r w:rsidRPr="007D770B">
        <w:rPr>
          <w:rFonts w:ascii="Times New Roman" w:hAnsi="Times New Roman"/>
          <w:lang w:val="en-US"/>
        </w:rPr>
        <w:t>Financial assets included in this category are initially recorded at fair value and subsequently measured at amortized cost.</w:t>
      </w:r>
    </w:p>
    <w:p w14:paraId="68986964" w14:textId="77777777" w:rsidR="00331FED" w:rsidRPr="007D770B" w:rsidRDefault="00331FED" w:rsidP="00331FED">
      <w:pPr>
        <w:ind w:left="0"/>
        <w:rPr>
          <w:rFonts w:ascii="Times New Roman" w:hAnsi="Times New Roman"/>
          <w:lang w:val="en-US"/>
        </w:rPr>
      </w:pPr>
      <w:r w:rsidRPr="007D770B">
        <w:rPr>
          <w:rFonts w:ascii="Times New Roman" w:hAnsi="Times New Roman"/>
          <w:lang w:val="en-US"/>
        </w:rPr>
        <w:t>Examples of financial instruments that may be classified and subsequently measured at amortized cost under IFRS 9 are:</w:t>
      </w:r>
    </w:p>
    <w:p w14:paraId="3A100B94" w14:textId="77777777" w:rsidR="00331FED" w:rsidRPr="009D076E" w:rsidRDefault="00331FED" w:rsidP="00AE698A">
      <w:pPr>
        <w:pStyle w:val="21"/>
        <w:numPr>
          <w:ilvl w:val="0"/>
          <w:numId w:val="310"/>
        </w:numPr>
        <w:spacing w:after="240"/>
        <w:rPr>
          <w:sz w:val="20"/>
          <w:szCs w:val="20"/>
        </w:rPr>
      </w:pPr>
      <w:r w:rsidRPr="009D076E">
        <w:rPr>
          <w:sz w:val="20"/>
          <w:szCs w:val="20"/>
        </w:rPr>
        <w:t>Trade receivables;</w:t>
      </w:r>
    </w:p>
    <w:p w14:paraId="1498F5F9" w14:textId="77777777" w:rsidR="00331FED" w:rsidRPr="007D770B" w:rsidRDefault="00331FED" w:rsidP="00AE698A">
      <w:pPr>
        <w:pStyle w:val="21"/>
        <w:numPr>
          <w:ilvl w:val="0"/>
          <w:numId w:val="310"/>
        </w:numPr>
        <w:spacing w:after="240"/>
        <w:rPr>
          <w:sz w:val="20"/>
          <w:szCs w:val="20"/>
          <w:lang w:val="en-US"/>
        </w:rPr>
      </w:pPr>
      <w:r w:rsidRPr="007D770B">
        <w:rPr>
          <w:sz w:val="20"/>
          <w:szCs w:val="20"/>
          <w:lang w:val="en-US"/>
        </w:rPr>
        <w:t>Accounts receivable without a significant financing element;</w:t>
      </w:r>
    </w:p>
    <w:p w14:paraId="4B2116B1" w14:textId="77777777" w:rsidR="00331FED" w:rsidRPr="007D770B" w:rsidRDefault="00331FED" w:rsidP="00AE698A">
      <w:pPr>
        <w:pStyle w:val="21"/>
        <w:numPr>
          <w:ilvl w:val="0"/>
          <w:numId w:val="310"/>
        </w:numPr>
        <w:spacing w:after="240"/>
        <w:rPr>
          <w:sz w:val="20"/>
          <w:szCs w:val="20"/>
          <w:lang w:val="en-US"/>
        </w:rPr>
      </w:pPr>
      <w:r w:rsidRPr="007D770B">
        <w:rPr>
          <w:sz w:val="20"/>
          <w:szCs w:val="20"/>
          <w:lang w:val="en-US"/>
        </w:rPr>
        <w:t>Investments in government bonds not held for trading;</w:t>
      </w:r>
    </w:p>
    <w:p w14:paraId="4F7057D8" w14:textId="199BC79E" w:rsidR="00331FED" w:rsidRPr="00DF17FB" w:rsidRDefault="00331FED" w:rsidP="00AE698A">
      <w:pPr>
        <w:pStyle w:val="21"/>
        <w:numPr>
          <w:ilvl w:val="0"/>
          <w:numId w:val="310"/>
        </w:numPr>
        <w:spacing w:after="240"/>
        <w:rPr>
          <w:sz w:val="20"/>
          <w:szCs w:val="20"/>
        </w:rPr>
      </w:pPr>
      <w:r w:rsidRPr="009D076E">
        <w:rPr>
          <w:sz w:val="20"/>
          <w:szCs w:val="20"/>
        </w:rPr>
        <w:t>Investments in time deposits.</w:t>
      </w:r>
    </w:p>
    <w:p w14:paraId="23E6E79E" w14:textId="73BA23BA" w:rsidR="00331FED" w:rsidRPr="007D770B" w:rsidRDefault="00331FED" w:rsidP="00331FED">
      <w:pPr>
        <w:pStyle w:val="1"/>
        <w:numPr>
          <w:ilvl w:val="0"/>
          <w:numId w:val="0"/>
        </w:numPr>
        <w:spacing w:after="240"/>
        <w:rPr>
          <w:b/>
          <w:i/>
          <w:sz w:val="20"/>
          <w:szCs w:val="20"/>
          <w:lang w:val="en-US"/>
        </w:rPr>
      </w:pPr>
      <w:r w:rsidRPr="007D770B">
        <w:rPr>
          <w:b/>
          <w:i/>
          <w:sz w:val="20"/>
          <w:szCs w:val="20"/>
          <w:lang w:val="en-US"/>
        </w:rPr>
        <w:t xml:space="preserve">Initial recognition. </w:t>
      </w:r>
      <w:r w:rsidRPr="007D770B">
        <w:rPr>
          <w:sz w:val="20"/>
          <w:szCs w:val="20"/>
          <w:lang w:val="en-US"/>
        </w:rPr>
        <w:t>Upon initial recognition in the financial statements, these assets are measured at fair value plus transaction costs for issuing or receiving the asset.</w:t>
      </w:r>
    </w:p>
    <w:p w14:paraId="6C504C52" w14:textId="6C908456" w:rsidR="00331FED" w:rsidRPr="007D770B" w:rsidRDefault="00331FED" w:rsidP="00331FED">
      <w:pPr>
        <w:pStyle w:val="af4"/>
        <w:spacing w:after="240"/>
        <w:ind w:firstLine="0"/>
        <w:rPr>
          <w:sz w:val="20"/>
          <w:szCs w:val="20"/>
          <w:lang w:val="en-US"/>
        </w:rPr>
      </w:pPr>
      <w:r w:rsidRPr="007D770B">
        <w:rPr>
          <w:sz w:val="20"/>
          <w:szCs w:val="20"/>
          <w:lang w:val="en-US"/>
        </w:rPr>
        <w:t xml:space="preserve">Where the Bank grants loans in the form of dedicated credit lines, each tranche of such credit lines is accounted for as a separate financial instrument. </w:t>
      </w:r>
    </w:p>
    <w:p w14:paraId="5F8CE145" w14:textId="219ECEEE" w:rsidR="00331FED" w:rsidRPr="007D770B" w:rsidRDefault="00331FED" w:rsidP="00331FED">
      <w:pPr>
        <w:pStyle w:val="1"/>
        <w:numPr>
          <w:ilvl w:val="0"/>
          <w:numId w:val="0"/>
        </w:numPr>
        <w:spacing w:after="240"/>
        <w:rPr>
          <w:sz w:val="20"/>
          <w:szCs w:val="20"/>
          <w:lang w:val="en-US"/>
        </w:rPr>
      </w:pPr>
      <w:r w:rsidRPr="007D770B">
        <w:rPr>
          <w:b/>
          <w:i/>
          <w:sz w:val="20"/>
          <w:szCs w:val="20"/>
          <w:lang w:val="en-US"/>
        </w:rPr>
        <w:t>Subsequent measurement.</w:t>
      </w:r>
      <w:r w:rsidRPr="007D770B">
        <w:rPr>
          <w:sz w:val="20"/>
          <w:szCs w:val="20"/>
          <w:lang w:val="en-US"/>
        </w:rPr>
        <w:t xml:space="preserve"> Financial assets at amortized cost are carried at amortized cost using the effective interest rate method. However, they may be carried at cost if the effect of discounting is immaterial.  </w:t>
      </w:r>
    </w:p>
    <w:p w14:paraId="3AAAFB18" w14:textId="77777777" w:rsidR="00331FED" w:rsidRPr="007D770B" w:rsidRDefault="00331FED" w:rsidP="00331FED">
      <w:pPr>
        <w:pStyle w:val="af4"/>
        <w:spacing w:after="240"/>
        <w:ind w:firstLine="0"/>
        <w:rPr>
          <w:rFonts w:eastAsia="Arial Unicode MS"/>
          <w:sz w:val="20"/>
          <w:szCs w:val="20"/>
          <w:lang w:val="en-US"/>
        </w:rPr>
      </w:pPr>
      <w:r w:rsidRPr="007D770B">
        <w:rPr>
          <w:rFonts w:eastAsia="Arial Unicode MS"/>
          <w:sz w:val="20"/>
          <w:szCs w:val="20"/>
          <w:lang w:val="en-US"/>
        </w:rPr>
        <w:lastRenderedPageBreak/>
        <w:t xml:space="preserve">Amortization of the difference between the original cost and the redemption price is calculated using the effective interest rate. </w:t>
      </w:r>
    </w:p>
    <w:p w14:paraId="4C6F9831" w14:textId="6475526E" w:rsidR="00331FED" w:rsidRPr="007D770B" w:rsidRDefault="00331FED" w:rsidP="00331FED">
      <w:pPr>
        <w:pStyle w:val="af4"/>
        <w:spacing w:after="240"/>
        <w:ind w:firstLine="0"/>
        <w:rPr>
          <w:rFonts w:eastAsia="Arial Unicode MS"/>
          <w:sz w:val="20"/>
          <w:szCs w:val="20"/>
          <w:lang w:val="en-US"/>
        </w:rPr>
      </w:pPr>
      <w:r w:rsidRPr="007D770B">
        <w:rPr>
          <w:rFonts w:eastAsia="Arial Unicode MS"/>
          <w:sz w:val="20"/>
          <w:szCs w:val="20"/>
          <w:lang w:val="en-US"/>
        </w:rPr>
        <w:t xml:space="preserve">Under the effective interest method, the carrying amount of the asset is the sum of its cost and the amortized (recognized) portion of any difference between cost and maturity value. </w:t>
      </w:r>
    </w:p>
    <w:p w14:paraId="702E6CC9" w14:textId="7F34DDCF" w:rsidR="00331FED" w:rsidRPr="007D770B" w:rsidRDefault="00331FED" w:rsidP="00331FED">
      <w:pPr>
        <w:pStyle w:val="af4"/>
        <w:spacing w:after="240"/>
        <w:ind w:firstLine="0"/>
        <w:rPr>
          <w:rFonts w:eastAsia="Arial Unicode MS"/>
          <w:sz w:val="20"/>
          <w:szCs w:val="20"/>
          <w:lang w:val="en-US"/>
        </w:rPr>
      </w:pPr>
      <w:r w:rsidRPr="007D770B">
        <w:rPr>
          <w:rFonts w:eastAsia="Arial Unicode MS"/>
          <w:sz w:val="20"/>
          <w:szCs w:val="20"/>
          <w:lang w:val="en-US"/>
        </w:rPr>
        <w:t xml:space="preserve">The recognition in the current period of a portion of the difference between the original cost and the redemption price is recognized for </w:t>
      </w:r>
      <w:r w:rsidR="009B7DCA" w:rsidRPr="007D770B">
        <w:rPr>
          <w:rFonts w:eastAsia="Arial Unicode MS"/>
          <w:sz w:val="20"/>
          <w:szCs w:val="20"/>
          <w:lang w:val="en-US"/>
        </w:rPr>
        <w:t xml:space="preserve">financial assets </w:t>
      </w:r>
      <w:r w:rsidRPr="007D770B">
        <w:rPr>
          <w:rFonts w:eastAsia="Arial Unicode MS"/>
          <w:sz w:val="20"/>
          <w:szCs w:val="20"/>
          <w:lang w:val="en-US"/>
        </w:rPr>
        <w:t xml:space="preserve">as an increase in the carrying amount of the </w:t>
      </w:r>
      <w:r w:rsidR="009B7DCA" w:rsidRPr="007D770B">
        <w:rPr>
          <w:rFonts w:eastAsia="Arial Unicode MS"/>
          <w:sz w:val="20"/>
          <w:szCs w:val="20"/>
          <w:lang w:val="en-US"/>
        </w:rPr>
        <w:t xml:space="preserve">asset in </w:t>
      </w:r>
      <w:r w:rsidRPr="007D770B">
        <w:rPr>
          <w:rFonts w:eastAsia="Arial Unicode MS"/>
          <w:sz w:val="20"/>
          <w:szCs w:val="20"/>
          <w:lang w:val="en-US"/>
        </w:rPr>
        <w:t xml:space="preserve">correspondence with financial income accounts. </w:t>
      </w:r>
    </w:p>
    <w:p w14:paraId="401044D2" w14:textId="77777777" w:rsidR="00331FED" w:rsidRPr="007D770B" w:rsidRDefault="00331FED" w:rsidP="00331FED">
      <w:pPr>
        <w:pStyle w:val="af4"/>
        <w:spacing w:after="240"/>
        <w:ind w:firstLine="0"/>
        <w:rPr>
          <w:sz w:val="20"/>
          <w:szCs w:val="20"/>
          <w:lang w:val="en-US"/>
        </w:rPr>
      </w:pPr>
      <w:r w:rsidRPr="007D770B">
        <w:rPr>
          <w:sz w:val="20"/>
          <w:szCs w:val="20"/>
          <w:lang w:val="en-US"/>
        </w:rPr>
        <w:t xml:space="preserve">Contractual interest is accrued on a monthly basis using the effective interest rate method. </w:t>
      </w:r>
    </w:p>
    <w:p w14:paraId="4B2CF20C" w14:textId="77777777" w:rsidR="00331FED" w:rsidRPr="007D770B" w:rsidRDefault="00331FED" w:rsidP="00331FED">
      <w:pPr>
        <w:widowControl w:val="0"/>
        <w:tabs>
          <w:tab w:val="left" w:pos="0"/>
        </w:tabs>
        <w:ind w:left="0"/>
        <w:rPr>
          <w:rFonts w:ascii="Times New Roman" w:hAnsi="Times New Roman"/>
          <w:b/>
          <w:i/>
          <w:iCs/>
          <w:lang w:val="en-US"/>
        </w:rPr>
      </w:pPr>
      <w:r w:rsidRPr="007D770B">
        <w:rPr>
          <w:rFonts w:ascii="Times New Roman" w:hAnsi="Times New Roman"/>
          <w:b/>
          <w:i/>
          <w:iCs/>
          <w:lang w:val="en-US"/>
        </w:rPr>
        <w:t xml:space="preserve"> Cash on correspondent accounts with banks and placed deposits </w:t>
      </w:r>
    </w:p>
    <w:p w14:paraId="164E9453" w14:textId="6CDCC7D1" w:rsidR="00331FED" w:rsidRPr="007D770B" w:rsidRDefault="00331FED" w:rsidP="00331FED">
      <w:pPr>
        <w:widowControl w:val="0"/>
        <w:tabs>
          <w:tab w:val="left" w:pos="0"/>
        </w:tabs>
        <w:ind w:left="0"/>
        <w:rPr>
          <w:rFonts w:ascii="Times New Roman" w:hAnsi="Times New Roman"/>
          <w:iCs/>
          <w:lang w:val="en-US"/>
        </w:rPr>
      </w:pPr>
      <w:r w:rsidRPr="007D770B">
        <w:rPr>
          <w:rFonts w:ascii="Times New Roman" w:hAnsi="Times New Roman"/>
          <w:iCs/>
          <w:lang w:val="en-US"/>
        </w:rPr>
        <w:t>Cash held in the Bank's correspondent accounts with the NBRK and/or other banks, the fair value of which approximates their carrying amount due to the intangibility of the discounting effect, is carried at amortized cost without applying the effective interest rate and is recorded within current assets.</w:t>
      </w:r>
    </w:p>
    <w:p w14:paraId="5F9CDF16" w14:textId="055DA002" w:rsidR="00331FED" w:rsidRPr="007D770B" w:rsidRDefault="00331FED" w:rsidP="00331FED">
      <w:pPr>
        <w:widowControl w:val="0"/>
        <w:tabs>
          <w:tab w:val="left" w:pos="0"/>
        </w:tabs>
        <w:ind w:left="0"/>
        <w:rPr>
          <w:rFonts w:ascii="Times New Roman" w:hAnsi="Times New Roman"/>
          <w:iCs/>
          <w:lang w:val="en-US"/>
        </w:rPr>
      </w:pPr>
      <w:r w:rsidRPr="007D770B">
        <w:rPr>
          <w:rFonts w:ascii="Times New Roman" w:hAnsi="Times New Roman"/>
          <w:iCs/>
          <w:lang w:val="en-US"/>
        </w:rPr>
        <w:t xml:space="preserve">The Bank creates obligatory reserves on balances on the Bank's correspondent accounts with the NBRK and/or </w:t>
      </w:r>
      <w:r w:rsidR="004D7EAB" w:rsidRPr="007D770B">
        <w:rPr>
          <w:rFonts w:ascii="Times New Roman" w:hAnsi="Times New Roman"/>
          <w:iCs/>
          <w:lang w:val="en-US"/>
        </w:rPr>
        <w:t xml:space="preserve">other banks </w:t>
      </w:r>
      <w:r w:rsidRPr="007D770B">
        <w:rPr>
          <w:rFonts w:ascii="Times New Roman" w:hAnsi="Times New Roman"/>
          <w:iCs/>
          <w:lang w:val="en-US"/>
        </w:rPr>
        <w:t>on which interest is not accrued in accordance with the requirements of the legislation of the Republic of Kazakhstan and regulations of the National Bank of the Republic of Kazakhstan.</w:t>
      </w:r>
    </w:p>
    <w:p w14:paraId="20272BE8" w14:textId="7FCBA889" w:rsidR="00331FED" w:rsidRPr="007D770B" w:rsidRDefault="00331FED" w:rsidP="00331FED">
      <w:pPr>
        <w:pStyle w:val="affff3"/>
        <w:spacing w:after="240" w:line="240" w:lineRule="atLeast"/>
        <w:ind w:right="-6"/>
        <w:jc w:val="both"/>
        <w:rPr>
          <w:rFonts w:eastAsia="Calibri"/>
          <w:iCs/>
          <w:sz w:val="20"/>
          <w:szCs w:val="20"/>
          <w:lang w:val="en-US" w:eastAsia="en-US"/>
        </w:rPr>
      </w:pPr>
      <w:r w:rsidRPr="007D770B">
        <w:rPr>
          <w:rFonts w:eastAsia="Calibri"/>
          <w:iCs/>
          <w:sz w:val="20"/>
          <w:szCs w:val="20"/>
          <w:lang w:val="en-US" w:eastAsia="en-US"/>
        </w:rPr>
        <w:t xml:space="preserve">Cash on the Bank's correspondent accounts opened with the NBRK and/or other banks is accounted for by the Bank on balance sheet accounts of the </w:t>
      </w:r>
      <w:r w:rsidR="00802136" w:rsidRPr="007D770B">
        <w:rPr>
          <w:rFonts w:eastAsia="Calibri"/>
          <w:iCs/>
          <w:sz w:val="20"/>
          <w:szCs w:val="20"/>
          <w:lang w:val="en-US" w:eastAsia="en-US"/>
        </w:rPr>
        <w:t>"</w:t>
      </w:r>
      <w:r w:rsidRPr="007D770B">
        <w:rPr>
          <w:rFonts w:eastAsia="Calibri"/>
          <w:iCs/>
          <w:sz w:val="20"/>
          <w:szCs w:val="20"/>
          <w:lang w:val="en-US" w:eastAsia="en-US"/>
        </w:rPr>
        <w:t>Correspondent accounts</w:t>
      </w:r>
      <w:r w:rsidR="004D7EAB" w:rsidRPr="007D770B">
        <w:rPr>
          <w:rFonts w:eastAsia="Calibri"/>
          <w:iCs/>
          <w:sz w:val="20"/>
          <w:szCs w:val="20"/>
          <w:lang w:val="en-US" w:eastAsia="en-US"/>
        </w:rPr>
        <w:t xml:space="preserve">" </w:t>
      </w:r>
      <w:r w:rsidRPr="007D770B">
        <w:rPr>
          <w:rFonts w:eastAsia="Calibri"/>
          <w:iCs/>
          <w:sz w:val="20"/>
          <w:szCs w:val="20"/>
          <w:lang w:val="en-US" w:eastAsia="en-US"/>
        </w:rPr>
        <w:t xml:space="preserve">account group by currency, residency attribute and correspondent banks on the basis of the correspondent account agreement. The Bank and its branches operate on a single correspondent account. </w:t>
      </w:r>
    </w:p>
    <w:p w14:paraId="19CC1FC0" w14:textId="4B9FACE4" w:rsidR="00331FED" w:rsidRPr="007D770B" w:rsidRDefault="00331FED" w:rsidP="00331FED">
      <w:pPr>
        <w:widowControl w:val="0"/>
        <w:tabs>
          <w:tab w:val="left" w:pos="0"/>
        </w:tabs>
        <w:ind w:left="0"/>
        <w:rPr>
          <w:rFonts w:ascii="Times New Roman" w:hAnsi="Times New Roman"/>
          <w:iCs/>
          <w:lang w:val="en-US"/>
        </w:rPr>
      </w:pPr>
      <w:r w:rsidRPr="007D770B">
        <w:rPr>
          <w:rFonts w:ascii="Times New Roman" w:hAnsi="Times New Roman"/>
          <w:iCs/>
          <w:lang w:val="en-US"/>
        </w:rPr>
        <w:t xml:space="preserve">Deposits placed by the Bank classified by the Bank as financial assets at amortized cost are carried at amortized cost using the effective interest method. </w:t>
      </w:r>
    </w:p>
    <w:p w14:paraId="46EAD2A1" w14:textId="10A45142" w:rsidR="00331FED" w:rsidRPr="007D770B" w:rsidRDefault="00331FED" w:rsidP="00331FED">
      <w:pPr>
        <w:widowControl w:val="0"/>
        <w:tabs>
          <w:tab w:val="left" w:pos="0"/>
        </w:tabs>
        <w:ind w:left="0"/>
        <w:rPr>
          <w:rFonts w:ascii="Times New Roman" w:hAnsi="Times New Roman"/>
          <w:iCs/>
          <w:lang w:val="en-US"/>
        </w:rPr>
      </w:pPr>
      <w:r w:rsidRPr="007D770B">
        <w:rPr>
          <w:rFonts w:ascii="Times New Roman" w:hAnsi="Times New Roman"/>
          <w:iCs/>
          <w:lang w:val="en-US"/>
        </w:rPr>
        <w:t xml:space="preserve">Deposits placed by the Bank with the NBRK or other </w:t>
      </w:r>
      <w:r w:rsidR="004D7EAB" w:rsidRPr="007D770B">
        <w:rPr>
          <w:rFonts w:ascii="Times New Roman" w:hAnsi="Times New Roman"/>
          <w:iCs/>
          <w:lang w:val="en-US"/>
        </w:rPr>
        <w:t xml:space="preserve">banks shall be accounted </w:t>
      </w:r>
      <w:r w:rsidRPr="007D770B">
        <w:rPr>
          <w:rFonts w:ascii="Times New Roman" w:hAnsi="Times New Roman"/>
          <w:iCs/>
          <w:lang w:val="en-US"/>
        </w:rPr>
        <w:t xml:space="preserve">by the Bank on balance sheet accounts of the account group </w:t>
      </w:r>
      <w:r w:rsidR="00802136" w:rsidRPr="007D770B">
        <w:rPr>
          <w:rFonts w:ascii="Times New Roman" w:hAnsi="Times New Roman"/>
          <w:iCs/>
          <w:lang w:val="en-US"/>
        </w:rPr>
        <w:t>"</w:t>
      </w:r>
      <w:r w:rsidRPr="007D770B">
        <w:rPr>
          <w:rFonts w:ascii="Times New Roman" w:hAnsi="Times New Roman"/>
          <w:iCs/>
          <w:lang w:val="en-US"/>
        </w:rPr>
        <w:t>Claims on the NBRK</w:t>
      </w:r>
      <w:r w:rsidR="00802136" w:rsidRPr="007D770B">
        <w:rPr>
          <w:rFonts w:ascii="Times New Roman" w:hAnsi="Times New Roman"/>
          <w:iCs/>
          <w:lang w:val="en-US"/>
        </w:rPr>
        <w:t xml:space="preserve">" </w:t>
      </w:r>
      <w:r w:rsidRPr="007D770B">
        <w:rPr>
          <w:rFonts w:ascii="Times New Roman" w:hAnsi="Times New Roman"/>
          <w:iCs/>
          <w:lang w:val="en-US"/>
        </w:rPr>
        <w:t xml:space="preserve">or, respectively, </w:t>
      </w:r>
      <w:r w:rsidR="00802136" w:rsidRPr="007D770B">
        <w:rPr>
          <w:rFonts w:ascii="Times New Roman" w:hAnsi="Times New Roman"/>
          <w:iCs/>
          <w:lang w:val="en-US"/>
        </w:rPr>
        <w:t>"</w:t>
      </w:r>
      <w:r w:rsidRPr="007D770B">
        <w:rPr>
          <w:rFonts w:ascii="Times New Roman" w:hAnsi="Times New Roman"/>
          <w:iCs/>
          <w:lang w:val="en-US"/>
        </w:rPr>
        <w:t>Deposits placed with other banks</w:t>
      </w:r>
      <w:r w:rsidR="00802136" w:rsidRPr="007D770B">
        <w:rPr>
          <w:rFonts w:ascii="Times New Roman" w:hAnsi="Times New Roman"/>
          <w:iCs/>
          <w:lang w:val="en-US"/>
        </w:rPr>
        <w:t xml:space="preserve">" </w:t>
      </w:r>
      <w:r w:rsidRPr="007D770B">
        <w:rPr>
          <w:rFonts w:ascii="Times New Roman" w:hAnsi="Times New Roman"/>
          <w:iCs/>
          <w:lang w:val="en-US"/>
        </w:rPr>
        <w:t>on separate accounts by maturity and type of deposits placed in the currency of the deposit on the basis of the concluded bank deposit agreement.</w:t>
      </w:r>
    </w:p>
    <w:p w14:paraId="399F4813" w14:textId="77777777" w:rsidR="00331FED" w:rsidRPr="007D770B" w:rsidRDefault="00331FED" w:rsidP="00331FED">
      <w:pPr>
        <w:widowControl w:val="0"/>
        <w:tabs>
          <w:tab w:val="left" w:pos="0"/>
        </w:tabs>
        <w:ind w:left="0"/>
        <w:rPr>
          <w:rFonts w:ascii="Times New Roman" w:hAnsi="Times New Roman"/>
          <w:iCs/>
          <w:lang w:val="en-US"/>
        </w:rPr>
      </w:pPr>
      <w:r w:rsidRPr="007D770B">
        <w:rPr>
          <w:rFonts w:ascii="Times New Roman" w:hAnsi="Times New Roman"/>
          <w:iCs/>
          <w:lang w:val="en-US"/>
        </w:rPr>
        <w:t>Depending on the terms and types, the Bank's deposits are subdivided into:</w:t>
      </w:r>
    </w:p>
    <w:p w14:paraId="2E9CD5B9" w14:textId="77777777" w:rsidR="00331FED" w:rsidRPr="007D770B" w:rsidRDefault="00331FED" w:rsidP="00AE698A">
      <w:pPr>
        <w:widowControl w:val="0"/>
        <w:numPr>
          <w:ilvl w:val="0"/>
          <w:numId w:val="266"/>
        </w:numPr>
        <w:rPr>
          <w:rFonts w:ascii="Times New Roman" w:hAnsi="Times New Roman"/>
          <w:lang w:val="en-US"/>
        </w:rPr>
      </w:pPr>
      <w:r w:rsidRPr="007D770B">
        <w:rPr>
          <w:rFonts w:ascii="Times New Roman" w:hAnsi="Times New Roman"/>
          <w:lang w:val="en-US"/>
        </w:rPr>
        <w:t>deposits placed for one night;</w:t>
      </w:r>
    </w:p>
    <w:p w14:paraId="51BFE55C" w14:textId="77777777" w:rsidR="00331FED" w:rsidRPr="00F41327" w:rsidRDefault="00331FED" w:rsidP="00AE698A">
      <w:pPr>
        <w:widowControl w:val="0"/>
        <w:numPr>
          <w:ilvl w:val="0"/>
          <w:numId w:val="266"/>
        </w:numPr>
        <w:rPr>
          <w:rFonts w:ascii="Times New Roman" w:hAnsi="Times New Roman"/>
        </w:rPr>
      </w:pPr>
      <w:r w:rsidRPr="00F41327">
        <w:rPr>
          <w:rFonts w:ascii="Times New Roman" w:hAnsi="Times New Roman"/>
        </w:rPr>
        <w:t>demand deposits;</w:t>
      </w:r>
    </w:p>
    <w:p w14:paraId="49CEDB61" w14:textId="77777777" w:rsidR="00331FED" w:rsidRPr="007D770B" w:rsidRDefault="00331FED" w:rsidP="00AE698A">
      <w:pPr>
        <w:widowControl w:val="0"/>
        <w:numPr>
          <w:ilvl w:val="0"/>
          <w:numId w:val="266"/>
        </w:numPr>
        <w:rPr>
          <w:rFonts w:ascii="Times New Roman" w:hAnsi="Times New Roman"/>
          <w:lang w:val="en-US"/>
        </w:rPr>
      </w:pPr>
      <w:r w:rsidRPr="007D770B">
        <w:rPr>
          <w:rFonts w:ascii="Times New Roman" w:hAnsi="Times New Roman"/>
          <w:lang w:val="en-US"/>
        </w:rPr>
        <w:t>short-term deposits (up to one month);</w:t>
      </w:r>
    </w:p>
    <w:p w14:paraId="1FC2F3BA" w14:textId="77777777" w:rsidR="00331FED" w:rsidRPr="007D770B" w:rsidRDefault="00331FED" w:rsidP="00AE698A">
      <w:pPr>
        <w:widowControl w:val="0"/>
        <w:numPr>
          <w:ilvl w:val="0"/>
          <w:numId w:val="266"/>
        </w:numPr>
        <w:rPr>
          <w:rFonts w:ascii="Times New Roman" w:hAnsi="Times New Roman"/>
          <w:lang w:val="en-US"/>
        </w:rPr>
      </w:pPr>
      <w:r w:rsidRPr="007D770B">
        <w:rPr>
          <w:rFonts w:ascii="Times New Roman" w:hAnsi="Times New Roman"/>
          <w:lang w:val="en-US"/>
        </w:rPr>
        <w:t>short-term deposits (up to one year);</w:t>
      </w:r>
    </w:p>
    <w:p w14:paraId="150CF818" w14:textId="77777777" w:rsidR="00331FED" w:rsidRPr="007D770B" w:rsidRDefault="00331FED" w:rsidP="00AE698A">
      <w:pPr>
        <w:widowControl w:val="0"/>
        <w:numPr>
          <w:ilvl w:val="0"/>
          <w:numId w:val="266"/>
        </w:numPr>
        <w:rPr>
          <w:rFonts w:ascii="Times New Roman" w:hAnsi="Times New Roman"/>
          <w:lang w:val="en-US"/>
        </w:rPr>
      </w:pPr>
      <w:r w:rsidRPr="007D770B">
        <w:rPr>
          <w:rFonts w:ascii="Times New Roman" w:hAnsi="Times New Roman"/>
          <w:lang w:val="en-US"/>
        </w:rPr>
        <w:t>long-term deposits (over one year);</w:t>
      </w:r>
    </w:p>
    <w:p w14:paraId="2D967C2C" w14:textId="77777777" w:rsidR="00331FED" w:rsidRPr="00F41327" w:rsidRDefault="00331FED" w:rsidP="00AE698A">
      <w:pPr>
        <w:widowControl w:val="0"/>
        <w:numPr>
          <w:ilvl w:val="0"/>
          <w:numId w:val="266"/>
        </w:numPr>
        <w:rPr>
          <w:rFonts w:ascii="Times New Roman" w:hAnsi="Times New Roman"/>
        </w:rPr>
      </w:pPr>
      <w:r w:rsidRPr="00F41327">
        <w:rPr>
          <w:rFonts w:ascii="Times New Roman" w:hAnsi="Times New Roman"/>
        </w:rPr>
        <w:t>contingent contributions;</w:t>
      </w:r>
    </w:p>
    <w:p w14:paraId="01267A75" w14:textId="77777777" w:rsidR="00331FED" w:rsidRPr="007D770B" w:rsidRDefault="00331FED" w:rsidP="00AE698A">
      <w:pPr>
        <w:widowControl w:val="0"/>
        <w:numPr>
          <w:ilvl w:val="0"/>
          <w:numId w:val="266"/>
        </w:numPr>
        <w:rPr>
          <w:rFonts w:ascii="Times New Roman" w:hAnsi="Times New Roman"/>
          <w:lang w:val="en-US"/>
        </w:rPr>
      </w:pPr>
      <w:r w:rsidRPr="007D770B">
        <w:rPr>
          <w:rFonts w:ascii="Times New Roman" w:hAnsi="Times New Roman"/>
          <w:lang w:val="en-US"/>
        </w:rPr>
        <w:t>deposits that are collateral for the Bank's liabilities.</w:t>
      </w:r>
    </w:p>
    <w:p w14:paraId="3C347F25" w14:textId="77777777" w:rsidR="00331FED" w:rsidRPr="007D770B" w:rsidRDefault="00331FED" w:rsidP="00331FED">
      <w:pPr>
        <w:pStyle w:val="affff3"/>
        <w:spacing w:after="240" w:line="240" w:lineRule="atLeast"/>
        <w:ind w:right="108"/>
        <w:jc w:val="both"/>
        <w:rPr>
          <w:rFonts w:eastAsia="Calibri"/>
          <w:iCs/>
          <w:sz w:val="20"/>
          <w:szCs w:val="20"/>
          <w:lang w:val="en-US" w:eastAsia="en-US"/>
        </w:rPr>
      </w:pPr>
      <w:r w:rsidRPr="007D770B">
        <w:rPr>
          <w:rFonts w:eastAsia="Calibri"/>
          <w:iCs/>
          <w:sz w:val="20"/>
          <w:szCs w:val="20"/>
          <w:lang w:val="en-US" w:eastAsia="en-US"/>
        </w:rPr>
        <w:t xml:space="preserve">The Bank accrues interest on the Bank's deposit accounts and records it on a monthly basis in accordance with the accrual method and terms of the agreements concluded. </w:t>
      </w:r>
    </w:p>
    <w:p w14:paraId="44FE8177" w14:textId="47B888FC" w:rsidR="00331FED" w:rsidRPr="007D770B" w:rsidRDefault="00331FED" w:rsidP="00331FED">
      <w:pPr>
        <w:widowControl w:val="0"/>
        <w:tabs>
          <w:tab w:val="left" w:pos="0"/>
        </w:tabs>
        <w:ind w:left="0"/>
        <w:rPr>
          <w:rFonts w:ascii="Times New Roman" w:hAnsi="Times New Roman"/>
          <w:iCs/>
          <w:lang w:val="en-US"/>
        </w:rPr>
      </w:pPr>
      <w:r w:rsidRPr="007D770B">
        <w:rPr>
          <w:rFonts w:ascii="Times New Roman" w:hAnsi="Times New Roman"/>
          <w:iCs/>
          <w:lang w:val="en-US"/>
        </w:rPr>
        <w:t xml:space="preserve">The amount of accrued but unpaid interest is part of the amortized cost of cash and deposits placed. </w:t>
      </w:r>
    </w:p>
    <w:p w14:paraId="72B97B0F" w14:textId="77777777" w:rsidR="00331FED" w:rsidRPr="007D770B" w:rsidRDefault="00331FED" w:rsidP="00331FED">
      <w:pPr>
        <w:widowControl w:val="0"/>
        <w:tabs>
          <w:tab w:val="left" w:pos="0"/>
        </w:tabs>
        <w:ind w:left="0"/>
        <w:rPr>
          <w:rFonts w:ascii="Times New Roman" w:hAnsi="Times New Roman"/>
          <w:iCs/>
          <w:u w:val="single"/>
          <w:lang w:val="en-US"/>
        </w:rPr>
      </w:pPr>
      <w:r w:rsidRPr="007D770B">
        <w:rPr>
          <w:rFonts w:ascii="Times New Roman" w:hAnsi="Times New Roman"/>
          <w:iCs/>
          <w:lang w:val="en-US"/>
        </w:rPr>
        <w:t>Prepaid interest on the Bank's deposit placed by the counterparty bank shall be recorded on the account for prepaid interest on deposits placed</w:t>
      </w:r>
    </w:p>
    <w:p w14:paraId="50B2DD91" w14:textId="77777777" w:rsidR="00331FED" w:rsidRPr="007D770B" w:rsidRDefault="00331FED" w:rsidP="00331FED">
      <w:pPr>
        <w:widowControl w:val="0"/>
        <w:tabs>
          <w:tab w:val="left" w:pos="0"/>
        </w:tabs>
        <w:ind w:left="0"/>
        <w:rPr>
          <w:rFonts w:ascii="Times New Roman" w:hAnsi="Times New Roman"/>
          <w:iCs/>
          <w:lang w:val="en-US"/>
        </w:rPr>
      </w:pPr>
      <w:r w:rsidRPr="007D770B">
        <w:rPr>
          <w:rFonts w:ascii="Times New Roman" w:hAnsi="Times New Roman"/>
          <w:iCs/>
          <w:lang w:val="en-US"/>
        </w:rPr>
        <w:t>During the term of the deposit with the counterparty bank, the amount of prepaid interest is charged to the Bank's income on an accrual basis.</w:t>
      </w:r>
    </w:p>
    <w:p w14:paraId="78EAEBE6" w14:textId="77777777" w:rsidR="00331FED" w:rsidRPr="007D770B" w:rsidRDefault="00331FED" w:rsidP="00331FED">
      <w:pPr>
        <w:widowControl w:val="0"/>
        <w:tabs>
          <w:tab w:val="left" w:pos="0"/>
        </w:tabs>
        <w:ind w:left="0"/>
        <w:rPr>
          <w:rFonts w:ascii="Times New Roman" w:hAnsi="Times New Roman"/>
          <w:iCs/>
          <w:lang w:val="en-US"/>
        </w:rPr>
      </w:pPr>
      <w:r w:rsidRPr="007D770B">
        <w:rPr>
          <w:rFonts w:ascii="Times New Roman" w:hAnsi="Times New Roman"/>
          <w:iCs/>
          <w:lang w:val="en-US"/>
        </w:rPr>
        <w:t xml:space="preserve">Remuneration is accrued on the basis of 360 days in a year and the number of days in a month is taken as 30 days, unless </w:t>
      </w:r>
      <w:r w:rsidRPr="007D770B">
        <w:rPr>
          <w:rFonts w:ascii="Times New Roman" w:hAnsi="Times New Roman"/>
          <w:iCs/>
          <w:lang w:val="en-US"/>
        </w:rPr>
        <w:lastRenderedPageBreak/>
        <w:t>otherwise stipulated by the condition of the concluded contract.</w:t>
      </w:r>
    </w:p>
    <w:p w14:paraId="6768C9CB" w14:textId="7AECC48D" w:rsidR="00331FED" w:rsidRPr="007D770B" w:rsidRDefault="00331FED" w:rsidP="00E61D21">
      <w:pPr>
        <w:pStyle w:val="3"/>
        <w:rPr>
          <w:lang w:val="en-US"/>
        </w:rPr>
      </w:pPr>
      <w:bookmarkStart w:id="106" w:name="_Toc168502033"/>
      <w:bookmarkStart w:id="107" w:name="_Toc332982921"/>
      <w:bookmarkStart w:id="108" w:name="_Toc333830878"/>
      <w:bookmarkStart w:id="109" w:name="_Toc335757705"/>
      <w:bookmarkStart w:id="110" w:name="_Toc374457876"/>
      <w:r w:rsidRPr="007D770B">
        <w:rPr>
          <w:lang w:val="en-US"/>
        </w:rPr>
        <w:t>3.5 Analyzing business models</w:t>
      </w:r>
      <w:bookmarkEnd w:id="106"/>
    </w:p>
    <w:p w14:paraId="3A1258AC" w14:textId="77777777" w:rsidR="00331FED" w:rsidRPr="007D770B" w:rsidRDefault="00331FED" w:rsidP="00331FED">
      <w:pPr>
        <w:ind w:left="0"/>
        <w:rPr>
          <w:rFonts w:ascii="Times New Roman" w:hAnsi="Times New Roman"/>
          <w:lang w:val="en-US"/>
        </w:rPr>
      </w:pPr>
      <w:r w:rsidRPr="007D770B">
        <w:rPr>
          <w:rFonts w:ascii="Times New Roman" w:hAnsi="Times New Roman"/>
          <w:lang w:val="en-US"/>
        </w:rPr>
        <w:t>The classification of debt financial instruments is determined by the Bank's business model for managing financial assets and the specific features of their contractual cash flows.</w:t>
      </w:r>
    </w:p>
    <w:p w14:paraId="6CE095D9" w14:textId="77777777" w:rsidR="00331FED" w:rsidRPr="007D770B" w:rsidRDefault="00331FED" w:rsidP="00331FED">
      <w:pPr>
        <w:ind w:left="0"/>
        <w:rPr>
          <w:rFonts w:ascii="Times New Roman" w:hAnsi="Times New Roman"/>
          <w:lang w:val="en-US"/>
        </w:rPr>
      </w:pPr>
      <w:r w:rsidRPr="007D770B">
        <w:rPr>
          <w:rFonts w:ascii="Times New Roman" w:hAnsi="Times New Roman"/>
          <w:lang w:val="en-US"/>
        </w:rPr>
        <w:t>All financial assets are required to be subsequently measured at amortized cost, FVTPL or FVTPL based on a business model for managing the financial assets and the cash flow characteristics of their contractual cash flows.</w:t>
      </w:r>
    </w:p>
    <w:p w14:paraId="7EE19E17" w14:textId="39661393" w:rsidR="00331FED" w:rsidRPr="007D770B" w:rsidRDefault="00331FED" w:rsidP="00331FED">
      <w:pPr>
        <w:spacing w:line="259" w:lineRule="auto"/>
        <w:ind w:left="0"/>
        <w:rPr>
          <w:rFonts w:ascii="Times New Roman" w:hAnsi="Times New Roman"/>
          <w:lang w:val="en-US"/>
        </w:rPr>
      </w:pPr>
      <w:r w:rsidRPr="007D770B">
        <w:rPr>
          <w:rFonts w:ascii="Times New Roman" w:hAnsi="Times New Roman"/>
          <w:lang w:val="en-US"/>
        </w:rPr>
        <w:t xml:space="preserve">The business model reflects how the Bank manages its assets to generate cash flows. That is, whether the Bank's objective is only to collect contractual cash flows from the assets or to collect both contractual cash flows and cash flows from the sale of the assets.  If neither of these cases is applicable (e.g., financial assets are held for trading purposes), then the financial assets are classified as part of the </w:t>
      </w:r>
      <w:r w:rsidR="00802136" w:rsidRPr="007D770B">
        <w:rPr>
          <w:rFonts w:ascii="Times New Roman" w:hAnsi="Times New Roman"/>
          <w:lang w:val="en-US"/>
        </w:rPr>
        <w:t>"</w:t>
      </w:r>
      <w:r w:rsidRPr="007D770B">
        <w:rPr>
          <w:rFonts w:ascii="Times New Roman" w:hAnsi="Times New Roman"/>
          <w:lang w:val="en-US"/>
        </w:rPr>
        <w:t>other</w:t>
      </w:r>
      <w:r w:rsidR="00802136" w:rsidRPr="007D770B">
        <w:rPr>
          <w:rFonts w:ascii="Times New Roman" w:hAnsi="Times New Roman"/>
          <w:lang w:val="en-US"/>
        </w:rPr>
        <w:t xml:space="preserve">" </w:t>
      </w:r>
      <w:r w:rsidRPr="007D770B">
        <w:rPr>
          <w:rFonts w:ascii="Times New Roman" w:hAnsi="Times New Roman"/>
          <w:lang w:val="en-US"/>
        </w:rPr>
        <w:t xml:space="preserve">business model and are measured using the SLCP. Factors considered by the Bank in determining the business model for a group of assets include past experience with how cash flows from these assets have been generated, how the returns on these assets are measured and communicated to key management, how risks are assessed and managed, and how managers are compensated. For example, the Bank's business model for its book of mortgage loans is to hold them to generate contractual cash flows. Another example is the asset liquidity portfolio, which is held by the Group as part of its liquidity management and is generally categorized in the </w:t>
      </w:r>
      <w:r w:rsidR="00802136" w:rsidRPr="007D770B">
        <w:rPr>
          <w:rFonts w:ascii="Times New Roman" w:hAnsi="Times New Roman"/>
          <w:lang w:val="en-US"/>
        </w:rPr>
        <w:t>"</w:t>
      </w:r>
      <w:r w:rsidRPr="007D770B">
        <w:rPr>
          <w:rFonts w:ascii="Times New Roman" w:hAnsi="Times New Roman"/>
          <w:lang w:val="en-US"/>
        </w:rPr>
        <w:t>held for receipt and sale</w:t>
      </w:r>
      <w:r w:rsidR="00802136" w:rsidRPr="007D770B">
        <w:rPr>
          <w:rFonts w:ascii="Times New Roman" w:hAnsi="Times New Roman"/>
          <w:lang w:val="en-US"/>
        </w:rPr>
        <w:t xml:space="preserve">" </w:t>
      </w:r>
      <w:r w:rsidRPr="007D770B">
        <w:rPr>
          <w:rFonts w:ascii="Times New Roman" w:hAnsi="Times New Roman"/>
          <w:lang w:val="en-US"/>
        </w:rPr>
        <w:t xml:space="preserve">business model. Securities held for trading are held primarily for the purpose of selling in the near term or are part of a portfolio of financial instruments that are managed together and for which there is recent evidence of short-term profit-taking activity. These securities are categorized within the </w:t>
      </w:r>
      <w:r w:rsidR="00802136" w:rsidRPr="007D770B">
        <w:rPr>
          <w:rFonts w:ascii="Times New Roman" w:hAnsi="Times New Roman"/>
          <w:lang w:val="en-US"/>
        </w:rPr>
        <w:t>"</w:t>
      </w:r>
      <w:r w:rsidRPr="007D770B">
        <w:rPr>
          <w:rFonts w:ascii="Times New Roman" w:hAnsi="Times New Roman"/>
          <w:lang w:val="en-US"/>
        </w:rPr>
        <w:t>other</w:t>
      </w:r>
      <w:r w:rsidR="00802136" w:rsidRPr="007D770B">
        <w:rPr>
          <w:rFonts w:ascii="Times New Roman" w:hAnsi="Times New Roman"/>
          <w:lang w:val="en-US"/>
        </w:rPr>
        <w:t xml:space="preserve">" </w:t>
      </w:r>
      <w:r w:rsidRPr="007D770B">
        <w:rPr>
          <w:rFonts w:ascii="Times New Roman" w:hAnsi="Times New Roman"/>
          <w:lang w:val="en-US"/>
        </w:rPr>
        <w:t>business model and are measured at FVTPL.</w:t>
      </w:r>
    </w:p>
    <w:p w14:paraId="307AC6BA" w14:textId="3F59586D" w:rsidR="00331FED" w:rsidRPr="007D770B" w:rsidRDefault="00331FED" w:rsidP="00331FED">
      <w:pPr>
        <w:spacing w:line="259" w:lineRule="auto"/>
        <w:ind w:left="0"/>
        <w:rPr>
          <w:rFonts w:ascii="Times New Roman" w:hAnsi="Times New Roman"/>
          <w:lang w:val="en-US"/>
        </w:rPr>
      </w:pPr>
      <w:r w:rsidRPr="007D770B">
        <w:rPr>
          <w:rFonts w:ascii="Times New Roman" w:hAnsi="Times New Roman"/>
          <w:lang w:val="en-US"/>
        </w:rPr>
        <w:t>The Bank analyzes business models in accordance with internal documents regulating the procedure, criteria and methods of analyzing the Bank's current models (</w:t>
      </w:r>
      <w:r w:rsidR="00802136" w:rsidRPr="007D770B">
        <w:rPr>
          <w:rFonts w:ascii="Times New Roman" w:hAnsi="Times New Roman"/>
          <w:lang w:val="en-US"/>
        </w:rPr>
        <w:t>"</w:t>
      </w:r>
      <w:r w:rsidRPr="007D770B">
        <w:rPr>
          <w:rFonts w:ascii="Times New Roman" w:hAnsi="Times New Roman"/>
          <w:lang w:val="en-US"/>
        </w:rPr>
        <w:t>Methodology of aggregation of financial assets and liabilities by business models</w:t>
      </w:r>
      <w:r w:rsidR="00802136" w:rsidRPr="007D770B">
        <w:rPr>
          <w:rFonts w:ascii="Times New Roman" w:hAnsi="Times New Roman"/>
          <w:lang w:val="en-US"/>
        </w:rPr>
        <w:t>"</w:t>
      </w:r>
      <w:r w:rsidRPr="007D770B">
        <w:rPr>
          <w:rFonts w:ascii="Times New Roman" w:hAnsi="Times New Roman"/>
          <w:lang w:val="en-US"/>
        </w:rPr>
        <w:t>).</w:t>
      </w:r>
    </w:p>
    <w:p w14:paraId="71269679" w14:textId="77777777" w:rsidR="00331FED" w:rsidRPr="007D770B" w:rsidRDefault="00331FED" w:rsidP="00331FED">
      <w:pPr>
        <w:keepNext/>
        <w:spacing w:line="259" w:lineRule="auto"/>
        <w:ind w:left="0"/>
        <w:outlineLvl w:val="3"/>
        <w:rPr>
          <w:rFonts w:ascii="Times New Roman" w:hAnsi="Times New Roman"/>
          <w:b/>
          <w:i/>
          <w:lang w:val="en-US"/>
        </w:rPr>
      </w:pPr>
      <w:r w:rsidRPr="007D770B">
        <w:rPr>
          <w:rFonts w:ascii="Times New Roman" w:hAnsi="Times New Roman"/>
          <w:b/>
          <w:i/>
          <w:lang w:val="en-US"/>
        </w:rPr>
        <w:t>Business model of holding assets to generate contractual cash flows</w:t>
      </w:r>
    </w:p>
    <w:p w14:paraId="7067960B" w14:textId="77777777" w:rsidR="00331FED" w:rsidRPr="007D770B" w:rsidRDefault="00331FED" w:rsidP="00331FED">
      <w:pPr>
        <w:ind w:left="0"/>
        <w:rPr>
          <w:rFonts w:ascii="Times New Roman" w:hAnsi="Times New Roman"/>
          <w:lang w:val="en-US"/>
        </w:rPr>
      </w:pPr>
      <w:r w:rsidRPr="007D770B">
        <w:rPr>
          <w:rFonts w:ascii="Times New Roman" w:hAnsi="Times New Roman"/>
          <w:lang w:val="en-US"/>
        </w:rPr>
        <w:t>If the Bank's objective is to hold an asset (or portfolio of assets) to collect contractual cash flows, the asset (or portfolio) is classified into the business model of holding assets to collect contractual cash flows and will need to be assessed for contractual cash flows (meet the SPPI test). If the SPPI test is met, the asset (or portfolio) may be measured at amortized cost; otherwise, it may be measured at FVTPL.</w:t>
      </w:r>
    </w:p>
    <w:p w14:paraId="50F40806" w14:textId="77777777" w:rsidR="00331FED" w:rsidRPr="007D770B" w:rsidRDefault="00331FED" w:rsidP="00331FED">
      <w:pPr>
        <w:ind w:left="0"/>
        <w:rPr>
          <w:rFonts w:ascii="Times New Roman" w:hAnsi="Times New Roman"/>
          <w:lang w:val="en-US"/>
        </w:rPr>
      </w:pPr>
      <w:r w:rsidRPr="007D770B">
        <w:rPr>
          <w:rFonts w:ascii="Times New Roman" w:hAnsi="Times New Roman"/>
          <w:lang w:val="en-US"/>
        </w:rPr>
        <w:t>Although the objective of the Bank's business model could be to hold financial assets to collect contractual cash flows, the Bank does not need to hold all of these instruments to maturity. Therefore, the Bank's business model may be to hold financial assets to collect contractual cash flows even when sales of financial assets occur or are expected to occur in the future.</w:t>
      </w:r>
    </w:p>
    <w:p w14:paraId="3CE4BAE7" w14:textId="77777777" w:rsidR="00331FED" w:rsidRPr="007D770B" w:rsidRDefault="00331FED" w:rsidP="00331FED">
      <w:pPr>
        <w:ind w:left="0"/>
        <w:rPr>
          <w:rFonts w:ascii="Times New Roman" w:hAnsi="Times New Roman"/>
          <w:lang w:val="en-US"/>
        </w:rPr>
      </w:pPr>
      <w:r w:rsidRPr="007D770B">
        <w:rPr>
          <w:rFonts w:ascii="Times New Roman" w:hAnsi="Times New Roman"/>
          <w:lang w:val="en-US"/>
        </w:rPr>
        <w:t>The following factors should be considered when evaluating asset sales from the retention business model to generate contractual cash flows:</w:t>
      </w:r>
    </w:p>
    <w:p w14:paraId="2DE2F8E6" w14:textId="77777777" w:rsidR="00331FED" w:rsidRPr="007D770B" w:rsidRDefault="00331FED" w:rsidP="00AE698A">
      <w:pPr>
        <w:pStyle w:val="21"/>
        <w:widowControl w:val="0"/>
        <w:numPr>
          <w:ilvl w:val="0"/>
          <w:numId w:val="264"/>
        </w:numPr>
        <w:spacing w:after="240"/>
        <w:rPr>
          <w:sz w:val="20"/>
          <w:szCs w:val="20"/>
          <w:lang w:val="en-US"/>
        </w:rPr>
      </w:pPr>
      <w:r w:rsidRPr="007D770B">
        <w:rPr>
          <w:sz w:val="20"/>
          <w:szCs w:val="20"/>
          <w:lang w:val="en-US"/>
        </w:rPr>
        <w:t>Historical frequency, timing, and significance of sales.</w:t>
      </w:r>
    </w:p>
    <w:p w14:paraId="7773663E" w14:textId="77777777" w:rsidR="00331FED" w:rsidRPr="007D770B" w:rsidRDefault="00331FED" w:rsidP="00AE698A">
      <w:pPr>
        <w:pStyle w:val="21"/>
        <w:widowControl w:val="0"/>
        <w:numPr>
          <w:ilvl w:val="0"/>
          <w:numId w:val="264"/>
        </w:numPr>
        <w:spacing w:after="240"/>
        <w:rPr>
          <w:sz w:val="20"/>
          <w:szCs w:val="20"/>
          <w:lang w:val="en-US"/>
        </w:rPr>
      </w:pPr>
      <w:r w:rsidRPr="007D770B">
        <w:rPr>
          <w:sz w:val="20"/>
          <w:szCs w:val="20"/>
          <w:lang w:val="en-US"/>
        </w:rPr>
        <w:t>Reasons for sales (such as credit risk deterioration).</w:t>
      </w:r>
    </w:p>
    <w:p w14:paraId="21265ECC" w14:textId="77777777" w:rsidR="00331FED" w:rsidRPr="007D770B" w:rsidRDefault="00331FED" w:rsidP="00AE698A">
      <w:pPr>
        <w:pStyle w:val="21"/>
        <w:widowControl w:val="0"/>
        <w:numPr>
          <w:ilvl w:val="0"/>
          <w:numId w:val="264"/>
        </w:numPr>
        <w:spacing w:after="240"/>
        <w:rPr>
          <w:sz w:val="20"/>
          <w:szCs w:val="20"/>
          <w:lang w:val="en-US"/>
        </w:rPr>
      </w:pPr>
      <w:r w:rsidRPr="007D770B">
        <w:rPr>
          <w:sz w:val="20"/>
          <w:szCs w:val="20"/>
          <w:lang w:val="en-US"/>
        </w:rPr>
        <w:t>Expectations/forecasts of future sales.</w:t>
      </w:r>
    </w:p>
    <w:p w14:paraId="580F7EC4" w14:textId="77777777" w:rsidR="00331FED" w:rsidRPr="007D770B" w:rsidRDefault="00331FED" w:rsidP="00331FED">
      <w:pPr>
        <w:ind w:left="0"/>
        <w:rPr>
          <w:rFonts w:ascii="Times New Roman" w:hAnsi="Times New Roman"/>
          <w:lang w:val="en-US"/>
        </w:rPr>
      </w:pPr>
      <w:r w:rsidRPr="007D770B">
        <w:rPr>
          <w:rFonts w:ascii="Times New Roman" w:hAnsi="Times New Roman"/>
          <w:lang w:val="en-US"/>
        </w:rPr>
        <w:t>Sales alone do not define the business model and therefore cannot be considered in isolation. Rather, information on past sales and sales expected in the future provides supporting evidence for the Bank's objective of managing financial assets, particularly in how cash flows are realized and value is created. Credit risk management actions aimed at mitigating potential losses due to credit deterioration are not inconsistent with the business model of holding assets to collect contractual cash flows. The sale of a financial asset because it no longer meets the credit criteria defined in the Bank's documented investment policy is an example of a sale that occurred because of an increase in credit risk. In the absence of such a policy, the Bank may demonstrate by other means that the sale was due to an increase in credit risk.</w:t>
      </w:r>
    </w:p>
    <w:p w14:paraId="657F0A0E" w14:textId="77777777" w:rsidR="00331FED" w:rsidRPr="007D770B" w:rsidRDefault="00331FED" w:rsidP="00331FED">
      <w:pPr>
        <w:ind w:left="0"/>
        <w:rPr>
          <w:rFonts w:ascii="Times New Roman" w:hAnsi="Times New Roman"/>
          <w:lang w:val="en-US"/>
        </w:rPr>
      </w:pPr>
      <w:r w:rsidRPr="007D770B">
        <w:rPr>
          <w:rFonts w:ascii="Times New Roman" w:hAnsi="Times New Roman"/>
          <w:lang w:val="en-US"/>
        </w:rPr>
        <w:t>Certain sales or transfers of financial instruments before maturity that are unrelated to credit risk management activities may not be inconsistent with the business model of holding assets to collect contractual cash flows if they are infrequent (even if significant in value) or immaterial in value, either individually or in aggregate (even if frequent).</w:t>
      </w:r>
    </w:p>
    <w:p w14:paraId="55B1A7A8" w14:textId="77777777" w:rsidR="00331FED" w:rsidRPr="007D770B" w:rsidRDefault="00331FED" w:rsidP="00331FED">
      <w:pPr>
        <w:ind w:left="0"/>
        <w:rPr>
          <w:rFonts w:ascii="Times New Roman" w:hAnsi="Times New Roman"/>
          <w:lang w:val="en-US"/>
        </w:rPr>
      </w:pPr>
      <w:r w:rsidRPr="007D770B">
        <w:rPr>
          <w:rFonts w:ascii="Times New Roman" w:hAnsi="Times New Roman"/>
          <w:lang w:val="en-US"/>
        </w:rPr>
        <w:t xml:space="preserve">The Bank applies judgment based on facts and circumstances to determine whether sales are frequent or significant. An increase in the frequency or significance of sales in a particular period is not necessarily inconsistent with the objective of holding financial assets to collect contractual cash flows if the Bank is able to explain the reasons for the sales and demonstrate why </w:t>
      </w:r>
      <w:r w:rsidRPr="007D770B">
        <w:rPr>
          <w:rFonts w:ascii="Times New Roman" w:hAnsi="Times New Roman"/>
          <w:lang w:val="en-US"/>
        </w:rPr>
        <w:lastRenderedPageBreak/>
        <w:t xml:space="preserve">the sales do not reflect a change in business model. In addition, sales may not conflict with the objective of holding financial assets to collect contractual cash flows if the sales occurred close to the maturity of the financial assets and the proceeds from the sales approximate the remaining contractual cash flows. . </w:t>
      </w:r>
    </w:p>
    <w:p w14:paraId="1B79B971" w14:textId="77777777" w:rsidR="00331FED" w:rsidRPr="007D770B" w:rsidRDefault="00331FED" w:rsidP="00331FED">
      <w:pPr>
        <w:keepNext/>
        <w:spacing w:line="259" w:lineRule="auto"/>
        <w:ind w:left="0"/>
        <w:outlineLvl w:val="3"/>
        <w:rPr>
          <w:rFonts w:ascii="Times New Roman" w:hAnsi="Times New Roman"/>
          <w:b/>
          <w:i/>
          <w:lang w:val="en-US"/>
        </w:rPr>
      </w:pPr>
      <w:r w:rsidRPr="007D770B">
        <w:rPr>
          <w:rFonts w:ascii="Times New Roman" w:hAnsi="Times New Roman"/>
          <w:b/>
          <w:i/>
          <w:lang w:val="en-US"/>
        </w:rPr>
        <w:t xml:space="preserve">Business model of holding assets to collect contractual cash flows and selling financial assets </w:t>
      </w:r>
    </w:p>
    <w:p w14:paraId="27CBDCA0" w14:textId="2489D2DA" w:rsidR="00331FED" w:rsidRPr="007D770B" w:rsidRDefault="00331FED" w:rsidP="00331FED">
      <w:pPr>
        <w:ind w:left="0"/>
        <w:rPr>
          <w:rFonts w:ascii="Times New Roman" w:hAnsi="Times New Roman"/>
          <w:lang w:val="en-US"/>
        </w:rPr>
      </w:pPr>
      <w:r w:rsidRPr="007D770B">
        <w:rPr>
          <w:rFonts w:ascii="Times New Roman" w:hAnsi="Times New Roman"/>
          <w:lang w:val="en-US"/>
        </w:rPr>
        <w:t>The Bank holds an asset to both collect the contractual cash flows and sell the asset; this would lead to the possibility of classification into the business model of holding assets to collect contractual cash flows and selling financial assets. The objective of this model can be achieved by receiving the contractual cash flows and selling the asset, unlike the business model of holding assets to collect the contractual cash flows, which only has the objective of receiving the contractual cash flows. Once a financial asset has been designated as a financial asset in the business model of holding assets to collect contractual cash flows and selling financial assets, the financial asset will be required to undergo a contractual cash flow assessment (meet the SPPI test). If the SPPI test is met, the financial asset may be classified as an SPPI, otherwise it may be classified as an SPPI.</w:t>
      </w:r>
    </w:p>
    <w:p w14:paraId="52DB9EEB" w14:textId="566AABE4" w:rsidR="00331FED" w:rsidRPr="007D770B" w:rsidRDefault="00331FED" w:rsidP="00331FED">
      <w:pPr>
        <w:ind w:left="0"/>
        <w:rPr>
          <w:rFonts w:ascii="Times New Roman" w:hAnsi="Times New Roman"/>
          <w:lang w:val="en-US"/>
        </w:rPr>
      </w:pPr>
      <w:r w:rsidRPr="007D770B">
        <w:rPr>
          <w:rFonts w:ascii="Times New Roman" w:hAnsi="Times New Roman"/>
          <w:lang w:val="en-US"/>
        </w:rPr>
        <w:t xml:space="preserve">This business model involves a greater frequency and volume of sales than the retention business model to generate contractual cash flows. </w:t>
      </w:r>
    </w:p>
    <w:p w14:paraId="4E6C916F" w14:textId="6B7F16E7" w:rsidR="00331FED" w:rsidRPr="007D770B" w:rsidRDefault="00331FED" w:rsidP="00331FED">
      <w:pPr>
        <w:spacing w:line="259" w:lineRule="auto"/>
        <w:ind w:left="0"/>
        <w:rPr>
          <w:rFonts w:ascii="Times New Roman" w:hAnsi="Times New Roman"/>
          <w:lang w:val="en-US"/>
        </w:rPr>
      </w:pPr>
      <w:r w:rsidRPr="007D770B">
        <w:rPr>
          <w:rFonts w:ascii="Times New Roman" w:hAnsi="Times New Roman"/>
          <w:lang w:val="en-US"/>
        </w:rPr>
        <w:t>Examples of business model objectives that fit the business model of holding assets to collect contractual cash flows and selling financial assets are:</w:t>
      </w:r>
    </w:p>
    <w:p w14:paraId="36143707" w14:textId="77777777" w:rsidR="00331FED" w:rsidRPr="00E002C8" w:rsidRDefault="00331FED" w:rsidP="00AE698A">
      <w:pPr>
        <w:pStyle w:val="21"/>
        <w:widowControl w:val="0"/>
        <w:numPr>
          <w:ilvl w:val="0"/>
          <w:numId w:val="264"/>
        </w:numPr>
        <w:spacing w:after="240"/>
        <w:rPr>
          <w:sz w:val="20"/>
          <w:szCs w:val="20"/>
        </w:rPr>
      </w:pPr>
      <w:r w:rsidRPr="00E002C8">
        <w:rPr>
          <w:sz w:val="20"/>
          <w:szCs w:val="20"/>
        </w:rPr>
        <w:t xml:space="preserve">Daily liquidity management; </w:t>
      </w:r>
    </w:p>
    <w:p w14:paraId="408FCA01" w14:textId="77777777" w:rsidR="00331FED" w:rsidRPr="007D770B" w:rsidRDefault="00331FED" w:rsidP="00AE698A">
      <w:pPr>
        <w:pStyle w:val="21"/>
        <w:widowControl w:val="0"/>
        <w:numPr>
          <w:ilvl w:val="0"/>
          <w:numId w:val="264"/>
        </w:numPr>
        <w:spacing w:after="240"/>
        <w:rPr>
          <w:sz w:val="20"/>
          <w:szCs w:val="20"/>
          <w:lang w:val="en-US"/>
        </w:rPr>
      </w:pPr>
      <w:r w:rsidRPr="007D770B">
        <w:rPr>
          <w:sz w:val="20"/>
          <w:szCs w:val="20"/>
          <w:lang w:val="en-US"/>
        </w:rPr>
        <w:t>Retention of a certain level of current yield, and</w:t>
      </w:r>
    </w:p>
    <w:p w14:paraId="6745669F" w14:textId="77777777" w:rsidR="00331FED" w:rsidRPr="007D770B" w:rsidRDefault="00331FED" w:rsidP="00AE698A">
      <w:pPr>
        <w:pStyle w:val="21"/>
        <w:widowControl w:val="0"/>
        <w:numPr>
          <w:ilvl w:val="0"/>
          <w:numId w:val="264"/>
        </w:numPr>
        <w:spacing w:after="240"/>
        <w:rPr>
          <w:sz w:val="20"/>
          <w:szCs w:val="20"/>
          <w:lang w:val="en-US"/>
        </w:rPr>
      </w:pPr>
      <w:r w:rsidRPr="007D770B">
        <w:rPr>
          <w:sz w:val="20"/>
          <w:szCs w:val="20"/>
          <w:lang w:val="en-US"/>
        </w:rPr>
        <w:t>The matching of the lives of financial assets to the lives of the financial circumstances by which the assets were funded.</w:t>
      </w:r>
    </w:p>
    <w:p w14:paraId="6C7ECEEE" w14:textId="77777777" w:rsidR="00331FED" w:rsidRPr="007D770B" w:rsidRDefault="00331FED" w:rsidP="00331FED">
      <w:pPr>
        <w:keepNext/>
        <w:spacing w:line="259" w:lineRule="auto"/>
        <w:ind w:left="0"/>
        <w:outlineLvl w:val="3"/>
        <w:rPr>
          <w:rFonts w:ascii="Times New Roman" w:hAnsi="Times New Roman"/>
          <w:b/>
          <w:i/>
          <w:lang w:val="en-US"/>
        </w:rPr>
      </w:pPr>
      <w:r w:rsidRPr="007D770B">
        <w:rPr>
          <w:rFonts w:ascii="Times New Roman" w:hAnsi="Times New Roman"/>
          <w:b/>
          <w:i/>
          <w:lang w:val="en-US"/>
        </w:rPr>
        <w:t>CCOPU business model</w:t>
      </w:r>
    </w:p>
    <w:p w14:paraId="57D57340" w14:textId="77777777" w:rsidR="00331FED" w:rsidRPr="007D770B" w:rsidRDefault="00331FED" w:rsidP="00331FED">
      <w:pPr>
        <w:ind w:left="0"/>
        <w:rPr>
          <w:rFonts w:ascii="Times New Roman" w:hAnsi="Times New Roman"/>
          <w:lang w:val="en-US"/>
        </w:rPr>
      </w:pPr>
      <w:r w:rsidRPr="007D770B">
        <w:rPr>
          <w:rFonts w:ascii="Times New Roman" w:hAnsi="Times New Roman"/>
          <w:lang w:val="en-US"/>
        </w:rPr>
        <w:t>If a financial asset or group of assets is not held within the business model of holding assets to collect the contractual cash flows and the business model of holding assets to collect the contractual cash flows and selling the financial assets, it shall be accounted for at fair value through profit or loss (FVTPL). FVTPL is a residual category within the scope of IFRS 9. The objective of the SSOPU business model is to generate cash flows from the sale of financial assets. Asset sales decisions are applied based on the fair value of the assets and are managed to realize their fair value (e.g. trading portfolio of securities). Although the Bank may receive contractual cash flows as it holds financial assets, the objective of this business model is not achieved by both generating contractual cash flows and selling financial assets. This is because the receipt of contractual cash flows is not integral to achieving the objective of the business model; rather, it is incidental.</w:t>
      </w:r>
    </w:p>
    <w:p w14:paraId="32B34295" w14:textId="77777777" w:rsidR="00331FED" w:rsidRPr="007D770B" w:rsidRDefault="00331FED" w:rsidP="005F3958">
      <w:pPr>
        <w:keepNext/>
        <w:spacing w:line="259" w:lineRule="auto"/>
        <w:ind w:left="0"/>
        <w:outlineLvl w:val="3"/>
        <w:rPr>
          <w:rFonts w:ascii="Times New Roman" w:hAnsi="Times New Roman"/>
          <w:b/>
          <w:i/>
          <w:lang w:val="en-US"/>
        </w:rPr>
      </w:pPr>
      <w:r w:rsidRPr="007D770B">
        <w:rPr>
          <w:rFonts w:ascii="Times New Roman" w:hAnsi="Times New Roman"/>
          <w:b/>
          <w:i/>
          <w:lang w:val="en-US"/>
        </w:rPr>
        <w:t>Subsequent possible changes to the business model</w:t>
      </w:r>
    </w:p>
    <w:p w14:paraId="220E09ED" w14:textId="2327476D" w:rsidR="00331FED" w:rsidRPr="007D770B" w:rsidRDefault="00331FED" w:rsidP="00331FED">
      <w:pPr>
        <w:ind w:left="0"/>
        <w:rPr>
          <w:rFonts w:ascii="Times New Roman" w:hAnsi="Times New Roman"/>
          <w:lang w:val="en-US"/>
        </w:rPr>
      </w:pPr>
      <w:r w:rsidRPr="007D770B">
        <w:rPr>
          <w:rFonts w:ascii="Times New Roman" w:hAnsi="Times New Roman"/>
          <w:lang w:val="en-US"/>
        </w:rPr>
        <w:t xml:space="preserve">Where cash flows are realized in a manner and amount that differs from the Bank's expectations at the date the Bank performed the business model assessment (for example, where the Bank sells more or less financial assets than expected when the Bank classifies the assets), this does not give rise to a prior period error in the Bank's financial statements, provided that the Bank has considered all relevant information that was reasonably available at the time the business model assessment was performed. </w:t>
      </w:r>
    </w:p>
    <w:p w14:paraId="0F9F7AA1" w14:textId="77777777" w:rsidR="00331FED" w:rsidRPr="007D770B" w:rsidRDefault="00331FED" w:rsidP="00AE698A">
      <w:pPr>
        <w:pStyle w:val="aa"/>
        <w:keepNext/>
        <w:numPr>
          <w:ilvl w:val="1"/>
          <w:numId w:val="316"/>
        </w:numPr>
        <w:tabs>
          <w:tab w:val="left" w:pos="284"/>
        </w:tabs>
        <w:spacing w:line="259" w:lineRule="auto"/>
        <w:outlineLvl w:val="2"/>
        <w:rPr>
          <w:rFonts w:ascii="Times New Roman" w:hAnsi="Times New Roman"/>
          <w:b/>
          <w:lang w:val="en-US"/>
        </w:rPr>
      </w:pPr>
      <w:bookmarkStart w:id="111" w:name="_Toc168502034"/>
      <w:r w:rsidRPr="007D770B">
        <w:rPr>
          <w:rFonts w:ascii="Times New Roman" w:hAnsi="Times New Roman"/>
          <w:b/>
          <w:lang w:val="en-US"/>
        </w:rPr>
        <w:t>Assessment of contractual cash flows - SPPI testing</w:t>
      </w:r>
      <w:bookmarkEnd w:id="111"/>
    </w:p>
    <w:p w14:paraId="7430286F" w14:textId="77777777" w:rsidR="00331FED" w:rsidRPr="007D770B" w:rsidRDefault="00331FED" w:rsidP="00331FED">
      <w:pPr>
        <w:ind w:left="0"/>
        <w:rPr>
          <w:rFonts w:ascii="Times New Roman" w:hAnsi="Times New Roman"/>
          <w:lang w:val="en-US"/>
        </w:rPr>
      </w:pPr>
      <w:r w:rsidRPr="007D770B">
        <w:rPr>
          <w:rFonts w:ascii="Times New Roman" w:hAnsi="Times New Roman"/>
          <w:lang w:val="en-US"/>
        </w:rPr>
        <w:t>After assessing the business model, the Bank performs the SPPI test. This test is only applicable to financial assets or a group of financial assets that are classified at amortized cost or SPPI.</w:t>
      </w:r>
    </w:p>
    <w:p w14:paraId="768C2222" w14:textId="77777777" w:rsidR="00331FED" w:rsidRPr="007D770B" w:rsidRDefault="00331FED" w:rsidP="00331FED">
      <w:pPr>
        <w:ind w:left="0"/>
        <w:rPr>
          <w:rFonts w:ascii="Times New Roman" w:hAnsi="Times New Roman"/>
          <w:lang w:val="en-US"/>
        </w:rPr>
      </w:pPr>
      <w:r w:rsidRPr="007D770B">
        <w:rPr>
          <w:rFonts w:ascii="Times New Roman" w:hAnsi="Times New Roman"/>
          <w:lang w:val="en-US"/>
        </w:rPr>
        <w:t>The SPPI test is designed to determine whether the contractual terms of a financial asset provide for cash flows that are solely payments of principal and interest at specified maturities. In making this assessment, the Bank considers whether the cash flows are consistent with the underlying loan agreement, i.e., interest includes only consideration for the time value of money, credit risk, other underlying credit risks, and overall profitability, which is consistent with the underlying loan agreement. When the contractual terms introduce risk exposures or volatility that are not consistent with the underlying credit agreement, the related financial asset is classified and measured at fair value through profit or loss.</w:t>
      </w:r>
    </w:p>
    <w:p w14:paraId="79065D45" w14:textId="77777777" w:rsidR="00331FED" w:rsidRPr="007D770B" w:rsidRDefault="00331FED" w:rsidP="00331FED">
      <w:pPr>
        <w:ind w:left="0"/>
        <w:rPr>
          <w:rFonts w:ascii="Times New Roman" w:hAnsi="Times New Roman"/>
          <w:lang w:val="en-US"/>
        </w:rPr>
      </w:pPr>
      <w:r w:rsidRPr="007D770B">
        <w:rPr>
          <w:rFonts w:ascii="Times New Roman" w:hAnsi="Times New Roman"/>
          <w:lang w:val="en-US"/>
        </w:rPr>
        <w:t>The Bank determines principal and interest as follows:</w:t>
      </w:r>
    </w:p>
    <w:p w14:paraId="04352811" w14:textId="77777777" w:rsidR="00331FED" w:rsidRPr="007D770B" w:rsidRDefault="00331FED" w:rsidP="00AE698A">
      <w:pPr>
        <w:pStyle w:val="21"/>
        <w:widowControl w:val="0"/>
        <w:numPr>
          <w:ilvl w:val="0"/>
          <w:numId w:val="264"/>
        </w:numPr>
        <w:spacing w:after="240"/>
        <w:rPr>
          <w:sz w:val="20"/>
          <w:szCs w:val="20"/>
          <w:lang w:val="en-US"/>
        </w:rPr>
      </w:pPr>
      <w:r w:rsidRPr="007D770B">
        <w:rPr>
          <w:sz w:val="20"/>
          <w:szCs w:val="20"/>
          <w:lang w:val="en-US"/>
        </w:rPr>
        <w:t>Principal debt is determined as the fair value of the financial asset at initial recognition;</w:t>
      </w:r>
    </w:p>
    <w:p w14:paraId="064EBB5E" w14:textId="77777777" w:rsidR="00331FED" w:rsidRPr="007D770B" w:rsidRDefault="00331FED" w:rsidP="00AE698A">
      <w:pPr>
        <w:pStyle w:val="21"/>
        <w:widowControl w:val="0"/>
        <w:numPr>
          <w:ilvl w:val="0"/>
          <w:numId w:val="264"/>
        </w:numPr>
        <w:spacing w:after="240"/>
        <w:rPr>
          <w:sz w:val="20"/>
          <w:szCs w:val="20"/>
          <w:lang w:val="en-US"/>
        </w:rPr>
      </w:pPr>
      <w:r w:rsidRPr="007D770B">
        <w:rPr>
          <w:sz w:val="20"/>
          <w:szCs w:val="20"/>
          <w:lang w:val="en-US"/>
        </w:rPr>
        <w:lastRenderedPageBreak/>
        <w:t>Interest is defined as compensation for the time value of money, the credit risk associated with outstanding principal debt and the cost of holding a financial asset for a specified period, and profitability.</w:t>
      </w:r>
    </w:p>
    <w:p w14:paraId="1576B88D" w14:textId="77777777" w:rsidR="00331FED" w:rsidRPr="007D770B" w:rsidRDefault="00331FED" w:rsidP="00331FED">
      <w:pPr>
        <w:ind w:left="0"/>
        <w:rPr>
          <w:rFonts w:ascii="Times New Roman" w:hAnsi="Times New Roman"/>
          <w:lang w:val="en-US"/>
        </w:rPr>
      </w:pPr>
      <w:r w:rsidRPr="007D770B">
        <w:rPr>
          <w:rFonts w:ascii="Times New Roman" w:hAnsi="Times New Roman"/>
          <w:lang w:val="en-US"/>
        </w:rPr>
        <w:t>Management assesses whether the contractual cash flows are SPPI in the currency in which the financial asset is denominated.</w:t>
      </w:r>
    </w:p>
    <w:p w14:paraId="0692C3EE" w14:textId="5B6F324F" w:rsidR="00331FED" w:rsidRPr="007D770B" w:rsidRDefault="00331FED" w:rsidP="00331FED">
      <w:pPr>
        <w:ind w:left="0"/>
        <w:rPr>
          <w:rFonts w:ascii="Times New Roman" w:hAnsi="Times New Roman"/>
          <w:lang w:val="en-US"/>
        </w:rPr>
      </w:pPr>
      <w:r w:rsidRPr="007D770B">
        <w:rPr>
          <w:rFonts w:ascii="Times New Roman" w:hAnsi="Times New Roman"/>
          <w:lang w:val="en-US"/>
        </w:rPr>
        <w:t>Contractual terms that give rise to risks or changes in expected contractual cash flows unrelated to the underlying credit terms, such as exposure to changes in the value of capital instruments or commodity prices, do not give rise to contractual cash flows that are SPPI.</w:t>
      </w:r>
    </w:p>
    <w:p w14:paraId="4773389C" w14:textId="77777777" w:rsidR="00331FED" w:rsidRPr="007D770B" w:rsidRDefault="00331FED" w:rsidP="00331FED">
      <w:pPr>
        <w:ind w:left="0"/>
        <w:rPr>
          <w:rFonts w:ascii="Times New Roman" w:hAnsi="Times New Roman"/>
          <w:lang w:val="en-US"/>
        </w:rPr>
      </w:pPr>
      <w:r w:rsidRPr="007D770B">
        <w:rPr>
          <w:rFonts w:ascii="Times New Roman" w:hAnsi="Times New Roman"/>
          <w:lang w:val="en-US"/>
        </w:rPr>
        <w:t>If a financial asset contains a contractual provision that modifies the terms or cash flows of the contract (for example, if the asset may be redeemed before maturity or its maturity may be extended), the Bank determines whether the cash flows that may arise over the life of the instrument from the contractual provision are solely payments of principal and interest on the principal outstanding.</w:t>
      </w:r>
    </w:p>
    <w:p w14:paraId="2A4F8686" w14:textId="1D8966EE" w:rsidR="00331FED" w:rsidRPr="007D770B" w:rsidRDefault="00331FED" w:rsidP="00331FED">
      <w:pPr>
        <w:ind w:left="0"/>
        <w:rPr>
          <w:rFonts w:ascii="Times New Roman" w:hAnsi="Times New Roman"/>
          <w:lang w:val="en-US"/>
        </w:rPr>
      </w:pPr>
      <w:r w:rsidRPr="007D770B">
        <w:rPr>
          <w:rFonts w:ascii="Times New Roman" w:hAnsi="Times New Roman"/>
          <w:lang w:val="en-US"/>
        </w:rPr>
        <w:t>To make that judgment, the Bank estimates the contractual cash flows that could occur both before and after the modification arising from the terms of the contract. The Bank may also assess the nature of a contingent event (i.e., a triggering event) that would result in a change in the timing or amount arising from the contract. This assessment may serve as a measurement criterion but is not conclusive.</w:t>
      </w:r>
    </w:p>
    <w:p w14:paraId="47E891F4" w14:textId="785DA063" w:rsidR="00331FED" w:rsidRPr="007D770B" w:rsidRDefault="00331FED" w:rsidP="00331FED">
      <w:pPr>
        <w:ind w:left="0"/>
        <w:rPr>
          <w:rFonts w:ascii="Times New Roman" w:hAnsi="Times New Roman"/>
          <w:lang w:val="en-US"/>
        </w:rPr>
      </w:pPr>
      <w:r w:rsidRPr="007D770B">
        <w:rPr>
          <w:rFonts w:ascii="Times New Roman" w:hAnsi="Times New Roman"/>
          <w:lang w:val="en-US"/>
        </w:rPr>
        <w:t>Financial assets with embedded derivatives are considered in the aggregate when determining whether cash flows are solely payments of principal and interest.</w:t>
      </w:r>
    </w:p>
    <w:p w14:paraId="40341E39" w14:textId="26091744" w:rsidR="00331FED" w:rsidRPr="007D770B" w:rsidRDefault="00331FED" w:rsidP="00331FED">
      <w:pPr>
        <w:ind w:left="0"/>
        <w:rPr>
          <w:rFonts w:ascii="Times New Roman" w:hAnsi="Times New Roman"/>
          <w:lang w:val="en-US"/>
        </w:rPr>
      </w:pPr>
      <w:r w:rsidRPr="007D770B">
        <w:rPr>
          <w:rFonts w:ascii="Times New Roman" w:hAnsi="Times New Roman"/>
          <w:lang w:val="en-US"/>
        </w:rPr>
        <w:t xml:space="preserve">The Bank conducts the </w:t>
      </w:r>
      <w:r>
        <w:rPr>
          <w:rFonts w:ascii="Times New Roman" w:hAnsi="Times New Roman"/>
          <w:lang w:val="en-GB"/>
        </w:rPr>
        <w:t xml:space="preserve">SPPI </w:t>
      </w:r>
      <w:r w:rsidRPr="007D770B">
        <w:rPr>
          <w:rFonts w:ascii="Times New Roman" w:hAnsi="Times New Roman"/>
          <w:lang w:val="en-US"/>
        </w:rPr>
        <w:t>test according to internal documents regulating the procedure, frequency, criteria and methods of the test (</w:t>
      </w:r>
      <w:r w:rsidR="00802136" w:rsidRPr="007D770B">
        <w:rPr>
          <w:rFonts w:ascii="Times New Roman" w:hAnsi="Times New Roman"/>
          <w:lang w:val="en-US"/>
        </w:rPr>
        <w:t>"</w:t>
      </w:r>
      <w:r w:rsidRPr="007D770B">
        <w:rPr>
          <w:rFonts w:ascii="Times New Roman" w:hAnsi="Times New Roman"/>
          <w:lang w:val="en-US"/>
        </w:rPr>
        <w:t>SPPI Methodology</w:t>
      </w:r>
      <w:r w:rsidR="00802136" w:rsidRPr="007D770B">
        <w:rPr>
          <w:rFonts w:ascii="Times New Roman" w:hAnsi="Times New Roman"/>
          <w:lang w:val="en-US"/>
        </w:rPr>
        <w:t>"</w:t>
      </w:r>
      <w:r w:rsidRPr="007D770B">
        <w:rPr>
          <w:rFonts w:ascii="Times New Roman" w:hAnsi="Times New Roman"/>
          <w:lang w:val="en-US"/>
        </w:rPr>
        <w:t>).</w:t>
      </w:r>
    </w:p>
    <w:p w14:paraId="2A784FB8" w14:textId="77777777" w:rsidR="00331FED" w:rsidRPr="007D770B" w:rsidRDefault="00331FED" w:rsidP="00E61D21">
      <w:pPr>
        <w:pStyle w:val="3"/>
        <w:rPr>
          <w:lang w:val="en-US"/>
        </w:rPr>
      </w:pPr>
      <w:bookmarkStart w:id="112" w:name="_Toc168502035"/>
      <w:r w:rsidRPr="007D770B">
        <w:rPr>
          <w:lang w:val="en-US"/>
        </w:rPr>
        <w:t xml:space="preserve">3.7 Reclassification of financial assets to another category </w:t>
      </w:r>
      <w:bookmarkEnd w:id="107"/>
      <w:bookmarkEnd w:id="108"/>
      <w:bookmarkEnd w:id="109"/>
      <w:bookmarkEnd w:id="110"/>
      <w:bookmarkEnd w:id="112"/>
    </w:p>
    <w:p w14:paraId="6497059B" w14:textId="13C801B4" w:rsidR="00331FED" w:rsidRPr="007D770B" w:rsidRDefault="00331FED" w:rsidP="00331FED">
      <w:pPr>
        <w:pStyle w:val="af4"/>
        <w:spacing w:after="240"/>
        <w:ind w:firstLine="0"/>
        <w:rPr>
          <w:sz w:val="20"/>
          <w:szCs w:val="20"/>
          <w:lang w:val="en-US"/>
        </w:rPr>
      </w:pPr>
      <w:r w:rsidRPr="007D770B">
        <w:rPr>
          <w:sz w:val="20"/>
          <w:szCs w:val="20"/>
          <w:lang w:val="en-US"/>
        </w:rPr>
        <w:t>Once the initial classification has been determined, subsequent reclassifications are permitted only if the Bank changes its business model for managing financial assets. A change in the business model is determined by the Bank's Management as a result of external or internal changes and must be significant to the Bank's operations and demonstrable to external parties. A change in the Bank's business model will occur when the Bank either commences or ceases to perform activities that are significant to its operations.</w:t>
      </w:r>
    </w:p>
    <w:p w14:paraId="10BEFB41" w14:textId="77777777" w:rsidR="00331FED" w:rsidRPr="007D770B" w:rsidRDefault="00331FED" w:rsidP="00331FED">
      <w:pPr>
        <w:pStyle w:val="af4"/>
        <w:spacing w:after="240"/>
        <w:ind w:firstLine="0"/>
        <w:rPr>
          <w:sz w:val="20"/>
          <w:szCs w:val="20"/>
          <w:lang w:val="en-US"/>
        </w:rPr>
      </w:pPr>
      <w:r w:rsidRPr="007D770B">
        <w:rPr>
          <w:sz w:val="20"/>
          <w:szCs w:val="20"/>
          <w:lang w:val="en-US"/>
        </w:rPr>
        <w:t>Reclassifications are to be accounted for prospectively from the date of reclassification. The reclassification date is the first day of the first reporting period after a change in business model that results in the Bank reclassifying financial assets. The Bank shall not restate previously recognized gains or losses (including impairment gains or losses) or interest.</w:t>
      </w:r>
    </w:p>
    <w:p w14:paraId="09B9AE54" w14:textId="77777777" w:rsidR="00331FED" w:rsidRPr="007D770B" w:rsidRDefault="00331FED" w:rsidP="00331FED">
      <w:pPr>
        <w:pStyle w:val="af4"/>
        <w:spacing w:after="240"/>
        <w:ind w:firstLine="0"/>
        <w:rPr>
          <w:sz w:val="20"/>
          <w:szCs w:val="20"/>
          <w:lang w:val="en-US"/>
        </w:rPr>
      </w:pPr>
      <w:r w:rsidRPr="007D770B">
        <w:rPr>
          <w:sz w:val="20"/>
          <w:szCs w:val="20"/>
          <w:lang w:val="en-US"/>
        </w:rPr>
        <w:t>The table below illustrates various reclassification scenarios and their accounting implications.</w:t>
      </w:r>
    </w:p>
    <w:tbl>
      <w:tblPr>
        <w:tblStyle w:val="-421"/>
        <w:tblW w:w="4952" w:type="pct"/>
        <w:tblLook w:val="04A0" w:firstRow="1" w:lastRow="0" w:firstColumn="1" w:lastColumn="0" w:noHBand="0" w:noVBand="1"/>
      </w:tblPr>
      <w:tblGrid>
        <w:gridCol w:w="2602"/>
        <w:gridCol w:w="2634"/>
        <w:gridCol w:w="4748"/>
      </w:tblGrid>
      <w:tr w:rsidR="00331FED" w:rsidRPr="00E60FFF" w14:paraId="62091A95" w14:textId="77777777" w:rsidTr="00612E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3" w:type="pct"/>
            <w:vAlign w:val="center"/>
            <w:hideMark/>
          </w:tcPr>
          <w:p w14:paraId="33618B75" w14:textId="77777777" w:rsidR="00331FED" w:rsidRPr="005C45F6" w:rsidRDefault="00331FED" w:rsidP="00612EB5">
            <w:pPr>
              <w:spacing w:line="259" w:lineRule="auto"/>
              <w:ind w:left="247"/>
              <w:jc w:val="center"/>
              <w:rPr>
                <w:rFonts w:ascii="Times New Roman" w:hAnsi="Times New Roman"/>
                <w:b w:val="0"/>
                <w:sz w:val="20"/>
                <w:szCs w:val="20"/>
              </w:rPr>
            </w:pPr>
            <w:r w:rsidRPr="005C45F6">
              <w:rPr>
                <w:rStyle w:val="afffd"/>
                <w:rFonts w:ascii="Times New Roman" w:hAnsi="Times New Roman"/>
                <w:sz w:val="20"/>
                <w:szCs w:val="20"/>
                <w:bdr w:val="none" w:sz="0" w:space="0" w:color="auto" w:frame="1"/>
              </w:rPr>
              <w:t>Original category</w:t>
            </w:r>
          </w:p>
        </w:tc>
        <w:tc>
          <w:tcPr>
            <w:tcW w:w="1319" w:type="pct"/>
            <w:vAlign w:val="center"/>
            <w:hideMark/>
          </w:tcPr>
          <w:p w14:paraId="402FD129" w14:textId="77777777" w:rsidR="00331FED" w:rsidRPr="005C45F6" w:rsidRDefault="00331FED" w:rsidP="00612EB5">
            <w:pPr>
              <w:spacing w:line="259" w:lineRule="auto"/>
              <w:ind w:left="455"/>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rPr>
            </w:pPr>
            <w:r w:rsidRPr="005C45F6">
              <w:rPr>
                <w:rStyle w:val="afffd"/>
                <w:rFonts w:ascii="Times New Roman" w:hAnsi="Times New Roman"/>
                <w:sz w:val="20"/>
                <w:szCs w:val="20"/>
                <w:bdr w:val="none" w:sz="0" w:space="0" w:color="auto" w:frame="1"/>
              </w:rPr>
              <w:t>Subsequent category</w:t>
            </w:r>
          </w:p>
        </w:tc>
        <w:tc>
          <w:tcPr>
            <w:tcW w:w="2378" w:type="pct"/>
            <w:vAlign w:val="center"/>
            <w:hideMark/>
          </w:tcPr>
          <w:p w14:paraId="0577DA94" w14:textId="77777777" w:rsidR="00331FED" w:rsidRPr="005C45F6" w:rsidRDefault="00331FED" w:rsidP="00612EB5">
            <w:pPr>
              <w:spacing w:line="259" w:lineRule="auto"/>
              <w:ind w:left="40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rPr>
            </w:pPr>
            <w:r w:rsidRPr="005C45F6">
              <w:rPr>
                <w:rStyle w:val="afffd"/>
                <w:rFonts w:ascii="Times New Roman" w:hAnsi="Times New Roman"/>
                <w:sz w:val="20"/>
                <w:szCs w:val="20"/>
                <w:bdr w:val="none" w:sz="0" w:space="0" w:color="auto" w:frame="1"/>
              </w:rPr>
              <w:t>Change in accounting for a financial instrument</w:t>
            </w:r>
          </w:p>
        </w:tc>
      </w:tr>
      <w:tr w:rsidR="00331FED" w:rsidRPr="00E60FFF" w14:paraId="30CD687A" w14:textId="77777777" w:rsidTr="00612E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3" w:type="pct"/>
            <w:hideMark/>
          </w:tcPr>
          <w:p w14:paraId="124DB686" w14:textId="77777777" w:rsidR="00331FED" w:rsidRPr="005C45F6" w:rsidRDefault="00331FED" w:rsidP="00612EB5">
            <w:pPr>
              <w:spacing w:line="259" w:lineRule="auto"/>
              <w:ind w:left="337"/>
              <w:rPr>
                <w:rFonts w:ascii="Times New Roman" w:hAnsi="Times New Roman"/>
                <w:sz w:val="20"/>
                <w:szCs w:val="20"/>
              </w:rPr>
            </w:pPr>
            <w:r w:rsidRPr="005C45F6">
              <w:rPr>
                <w:rFonts w:ascii="Times New Roman" w:hAnsi="Times New Roman"/>
                <w:sz w:val="20"/>
                <w:szCs w:val="20"/>
              </w:rPr>
              <w:t>Amortized cost</w:t>
            </w:r>
          </w:p>
        </w:tc>
        <w:tc>
          <w:tcPr>
            <w:tcW w:w="1319" w:type="pct"/>
            <w:hideMark/>
          </w:tcPr>
          <w:p w14:paraId="4A5FF7D7" w14:textId="77777777" w:rsidR="00331FED" w:rsidRPr="005C45F6" w:rsidRDefault="00331FED" w:rsidP="00612EB5">
            <w:pPr>
              <w:spacing w:line="259" w:lineRule="auto"/>
              <w:ind w:left="455"/>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5C45F6">
              <w:rPr>
                <w:rFonts w:ascii="Times New Roman" w:hAnsi="Times New Roman"/>
                <w:sz w:val="20"/>
                <w:szCs w:val="20"/>
              </w:rPr>
              <w:t>SSOPU</w:t>
            </w:r>
          </w:p>
        </w:tc>
        <w:tc>
          <w:tcPr>
            <w:tcW w:w="2378" w:type="pct"/>
            <w:hideMark/>
          </w:tcPr>
          <w:p w14:paraId="5EB3BFAE" w14:textId="7AF60AD6" w:rsidR="00331FED" w:rsidRPr="007D770B" w:rsidRDefault="00331FED" w:rsidP="00612EB5">
            <w:pPr>
              <w:spacing w:after="120" w:line="259" w:lineRule="auto"/>
              <w:ind w:left="404"/>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7D770B">
              <w:rPr>
                <w:rFonts w:ascii="Times New Roman" w:hAnsi="Times New Roman"/>
                <w:sz w:val="20"/>
                <w:szCs w:val="20"/>
              </w:rPr>
              <w:t>Fair value is determined at the date of reclassification. Any difference between the previous amortized cost and fair value at the date of reclassification is recognized in the income statement.</w:t>
            </w:r>
          </w:p>
        </w:tc>
      </w:tr>
      <w:tr w:rsidR="00331FED" w:rsidRPr="00E60FFF" w14:paraId="441A269B" w14:textId="77777777" w:rsidTr="00612EB5">
        <w:tc>
          <w:tcPr>
            <w:cnfStyle w:val="001000000000" w:firstRow="0" w:lastRow="0" w:firstColumn="1" w:lastColumn="0" w:oddVBand="0" w:evenVBand="0" w:oddHBand="0" w:evenHBand="0" w:firstRowFirstColumn="0" w:firstRowLastColumn="0" w:lastRowFirstColumn="0" w:lastRowLastColumn="0"/>
            <w:tcW w:w="1303" w:type="pct"/>
            <w:hideMark/>
          </w:tcPr>
          <w:p w14:paraId="532DEA3C" w14:textId="77777777" w:rsidR="00331FED" w:rsidRPr="005C45F6" w:rsidRDefault="00331FED" w:rsidP="00612EB5">
            <w:pPr>
              <w:spacing w:line="259" w:lineRule="auto"/>
              <w:ind w:left="337"/>
              <w:rPr>
                <w:rFonts w:ascii="Times New Roman" w:hAnsi="Times New Roman"/>
                <w:sz w:val="20"/>
                <w:szCs w:val="20"/>
              </w:rPr>
            </w:pPr>
            <w:r w:rsidRPr="005C45F6">
              <w:rPr>
                <w:rFonts w:ascii="Times New Roman" w:hAnsi="Times New Roman"/>
                <w:sz w:val="20"/>
                <w:szCs w:val="20"/>
              </w:rPr>
              <w:t>SSOPU</w:t>
            </w:r>
          </w:p>
        </w:tc>
        <w:tc>
          <w:tcPr>
            <w:tcW w:w="1319" w:type="pct"/>
            <w:hideMark/>
          </w:tcPr>
          <w:p w14:paraId="237FD870" w14:textId="77777777" w:rsidR="00331FED" w:rsidRPr="005C45F6" w:rsidRDefault="00331FED" w:rsidP="00612EB5">
            <w:pPr>
              <w:spacing w:line="259" w:lineRule="auto"/>
              <w:ind w:left="455"/>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C45F6">
              <w:rPr>
                <w:rFonts w:ascii="Times New Roman" w:hAnsi="Times New Roman"/>
                <w:sz w:val="20"/>
                <w:szCs w:val="20"/>
              </w:rPr>
              <w:t>Amortized cost</w:t>
            </w:r>
          </w:p>
        </w:tc>
        <w:tc>
          <w:tcPr>
            <w:tcW w:w="2378" w:type="pct"/>
            <w:hideMark/>
          </w:tcPr>
          <w:p w14:paraId="7A9F15F4" w14:textId="77777777" w:rsidR="00331FED" w:rsidRPr="007D770B" w:rsidRDefault="00331FED" w:rsidP="00612EB5">
            <w:pPr>
              <w:spacing w:after="120" w:line="259" w:lineRule="auto"/>
              <w:ind w:left="404"/>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7D770B">
              <w:rPr>
                <w:rFonts w:ascii="Times New Roman" w:hAnsi="Times New Roman"/>
                <w:sz w:val="20"/>
                <w:szCs w:val="20"/>
              </w:rPr>
              <w:t>The fair value at the date of reclassification becomes its new gross carrying amount. The effective interest rate is determined based on the fair value at the date of reclassification.</w:t>
            </w:r>
          </w:p>
        </w:tc>
      </w:tr>
      <w:tr w:rsidR="00331FED" w:rsidRPr="00E60FFF" w14:paraId="4BD306F8" w14:textId="77777777" w:rsidTr="00612E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3" w:type="pct"/>
            <w:hideMark/>
          </w:tcPr>
          <w:p w14:paraId="3A47D09D" w14:textId="77777777" w:rsidR="00331FED" w:rsidRPr="005C45F6" w:rsidRDefault="00331FED" w:rsidP="00612EB5">
            <w:pPr>
              <w:spacing w:line="259" w:lineRule="auto"/>
              <w:ind w:left="337"/>
              <w:rPr>
                <w:rFonts w:ascii="Times New Roman" w:hAnsi="Times New Roman"/>
                <w:sz w:val="20"/>
                <w:szCs w:val="20"/>
              </w:rPr>
            </w:pPr>
            <w:r w:rsidRPr="005C45F6">
              <w:rPr>
                <w:rFonts w:ascii="Times New Roman" w:hAnsi="Times New Roman"/>
                <w:sz w:val="20"/>
                <w:szCs w:val="20"/>
              </w:rPr>
              <w:t>Amortized cost</w:t>
            </w:r>
          </w:p>
        </w:tc>
        <w:tc>
          <w:tcPr>
            <w:tcW w:w="1319" w:type="pct"/>
            <w:hideMark/>
          </w:tcPr>
          <w:p w14:paraId="701AFBBC" w14:textId="77777777" w:rsidR="00331FED" w:rsidRPr="005C45F6" w:rsidRDefault="00331FED" w:rsidP="00612EB5">
            <w:pPr>
              <w:spacing w:line="259" w:lineRule="auto"/>
              <w:ind w:left="455"/>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5C45F6">
              <w:rPr>
                <w:rFonts w:ascii="Times New Roman" w:hAnsi="Times New Roman"/>
                <w:sz w:val="20"/>
                <w:szCs w:val="20"/>
              </w:rPr>
              <w:t>MTPAS</w:t>
            </w:r>
          </w:p>
        </w:tc>
        <w:tc>
          <w:tcPr>
            <w:tcW w:w="2378" w:type="pct"/>
            <w:hideMark/>
          </w:tcPr>
          <w:p w14:paraId="5638604B" w14:textId="77777777" w:rsidR="00331FED" w:rsidRPr="005C45F6" w:rsidRDefault="00331FED" w:rsidP="00612EB5">
            <w:pPr>
              <w:spacing w:after="120" w:line="259" w:lineRule="auto"/>
              <w:ind w:left="404"/>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7D770B">
              <w:rPr>
                <w:rFonts w:ascii="Times New Roman" w:hAnsi="Times New Roman"/>
                <w:sz w:val="20"/>
                <w:szCs w:val="20"/>
              </w:rPr>
              <w:t xml:space="preserve">Fair value is determined at the date of reclassification. Any difference between the previous amortized cost and the fair value on reclassification is recognized in other comprehensive income (OCI). </w:t>
            </w:r>
            <w:r w:rsidRPr="005C45F6">
              <w:rPr>
                <w:rFonts w:ascii="Times New Roman" w:hAnsi="Times New Roman"/>
                <w:sz w:val="20"/>
                <w:szCs w:val="20"/>
              </w:rPr>
              <w:t>The effective interest rate is not adjusted as a result of the reclassification.</w:t>
            </w:r>
          </w:p>
        </w:tc>
      </w:tr>
      <w:tr w:rsidR="00331FED" w:rsidRPr="00E60FFF" w14:paraId="63EF1BC1" w14:textId="77777777" w:rsidTr="00612EB5">
        <w:tc>
          <w:tcPr>
            <w:cnfStyle w:val="001000000000" w:firstRow="0" w:lastRow="0" w:firstColumn="1" w:lastColumn="0" w:oddVBand="0" w:evenVBand="0" w:oddHBand="0" w:evenHBand="0" w:firstRowFirstColumn="0" w:firstRowLastColumn="0" w:lastRowFirstColumn="0" w:lastRowLastColumn="0"/>
            <w:tcW w:w="1303" w:type="pct"/>
            <w:hideMark/>
          </w:tcPr>
          <w:p w14:paraId="79BF3D3E" w14:textId="77777777" w:rsidR="00331FED" w:rsidRPr="005C45F6" w:rsidRDefault="00331FED" w:rsidP="00612EB5">
            <w:pPr>
              <w:spacing w:line="259" w:lineRule="auto"/>
              <w:ind w:left="337"/>
              <w:rPr>
                <w:rFonts w:ascii="Times New Roman" w:hAnsi="Times New Roman"/>
                <w:sz w:val="20"/>
                <w:szCs w:val="20"/>
              </w:rPr>
            </w:pPr>
            <w:r w:rsidRPr="005C45F6">
              <w:rPr>
                <w:rFonts w:ascii="Times New Roman" w:hAnsi="Times New Roman"/>
                <w:sz w:val="20"/>
                <w:szCs w:val="20"/>
              </w:rPr>
              <w:t>MTPAS</w:t>
            </w:r>
          </w:p>
        </w:tc>
        <w:tc>
          <w:tcPr>
            <w:tcW w:w="1319" w:type="pct"/>
            <w:hideMark/>
          </w:tcPr>
          <w:p w14:paraId="389D7BF8" w14:textId="77777777" w:rsidR="00331FED" w:rsidRPr="005C45F6" w:rsidRDefault="00331FED" w:rsidP="00612EB5">
            <w:pPr>
              <w:spacing w:line="259" w:lineRule="auto"/>
              <w:ind w:left="455"/>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C45F6">
              <w:rPr>
                <w:rFonts w:ascii="Times New Roman" w:hAnsi="Times New Roman"/>
                <w:sz w:val="20"/>
                <w:szCs w:val="20"/>
              </w:rPr>
              <w:t>Amortized cost</w:t>
            </w:r>
          </w:p>
        </w:tc>
        <w:tc>
          <w:tcPr>
            <w:tcW w:w="2378" w:type="pct"/>
            <w:hideMark/>
          </w:tcPr>
          <w:p w14:paraId="0CA9AA18" w14:textId="298DCF72" w:rsidR="00331FED" w:rsidRPr="005C45F6" w:rsidRDefault="00331FED" w:rsidP="00612EB5">
            <w:pPr>
              <w:spacing w:after="120" w:line="259" w:lineRule="auto"/>
              <w:ind w:left="404"/>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7D770B">
              <w:rPr>
                <w:rFonts w:ascii="Times New Roman" w:hAnsi="Times New Roman"/>
                <w:sz w:val="20"/>
                <w:szCs w:val="20"/>
              </w:rPr>
              <w:t xml:space="preserve">The fair value at the date of reclassification becomes the new carrying amount to be measured at amortized cost. The cumulative gain or loss in OCI </w:t>
            </w:r>
            <w:r w:rsidRPr="007D770B">
              <w:rPr>
                <w:rFonts w:ascii="Times New Roman" w:hAnsi="Times New Roman"/>
                <w:sz w:val="20"/>
                <w:szCs w:val="20"/>
              </w:rPr>
              <w:lastRenderedPageBreak/>
              <w:t xml:space="preserve">is removed from equity and adjusted to the fair value of the financial asset at the date of reclassification. </w:t>
            </w:r>
            <w:r w:rsidRPr="005C45F6">
              <w:rPr>
                <w:rFonts w:ascii="Times New Roman" w:hAnsi="Times New Roman"/>
                <w:sz w:val="20"/>
                <w:szCs w:val="20"/>
              </w:rPr>
              <w:t>The effective interest rate is not adjusted as a result of the reclassification.</w:t>
            </w:r>
          </w:p>
        </w:tc>
      </w:tr>
      <w:tr w:rsidR="00331FED" w:rsidRPr="00E60FFF" w14:paraId="242D494F" w14:textId="77777777" w:rsidTr="00612E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3" w:type="pct"/>
            <w:hideMark/>
          </w:tcPr>
          <w:p w14:paraId="6708AE6D" w14:textId="77777777" w:rsidR="00331FED" w:rsidRPr="005C45F6" w:rsidRDefault="00331FED" w:rsidP="00612EB5">
            <w:pPr>
              <w:spacing w:line="259" w:lineRule="auto"/>
              <w:ind w:left="337"/>
              <w:rPr>
                <w:rFonts w:ascii="Times New Roman" w:hAnsi="Times New Roman"/>
                <w:sz w:val="20"/>
                <w:szCs w:val="20"/>
              </w:rPr>
            </w:pPr>
            <w:r w:rsidRPr="005C45F6">
              <w:rPr>
                <w:rFonts w:ascii="Times New Roman" w:hAnsi="Times New Roman"/>
                <w:sz w:val="20"/>
                <w:szCs w:val="20"/>
              </w:rPr>
              <w:lastRenderedPageBreak/>
              <w:t>SSOPU</w:t>
            </w:r>
          </w:p>
        </w:tc>
        <w:tc>
          <w:tcPr>
            <w:tcW w:w="1319" w:type="pct"/>
            <w:hideMark/>
          </w:tcPr>
          <w:p w14:paraId="53187A57" w14:textId="77777777" w:rsidR="00331FED" w:rsidRPr="005C45F6" w:rsidRDefault="00331FED" w:rsidP="00612EB5">
            <w:pPr>
              <w:spacing w:line="259" w:lineRule="auto"/>
              <w:ind w:left="455"/>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5C45F6">
              <w:rPr>
                <w:rFonts w:ascii="Times New Roman" w:hAnsi="Times New Roman"/>
                <w:sz w:val="20"/>
                <w:szCs w:val="20"/>
              </w:rPr>
              <w:t>MTPAS</w:t>
            </w:r>
          </w:p>
        </w:tc>
        <w:tc>
          <w:tcPr>
            <w:tcW w:w="2378" w:type="pct"/>
            <w:hideMark/>
          </w:tcPr>
          <w:p w14:paraId="6D1A4746" w14:textId="77777777" w:rsidR="00331FED" w:rsidRPr="007D770B" w:rsidRDefault="00331FED" w:rsidP="00612EB5">
            <w:pPr>
              <w:spacing w:after="120" w:line="259" w:lineRule="auto"/>
              <w:ind w:left="404"/>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7D770B">
              <w:rPr>
                <w:rFonts w:ascii="Times New Roman" w:hAnsi="Times New Roman"/>
                <w:sz w:val="20"/>
                <w:szCs w:val="20"/>
              </w:rPr>
              <w:t>The fair value at the date of reclassification becomes the new carrying amount. The effective interest rate is determined based on the fair value at the date of reclassification.</w:t>
            </w:r>
          </w:p>
        </w:tc>
      </w:tr>
      <w:tr w:rsidR="00331FED" w:rsidRPr="00E60FFF" w14:paraId="32731B05" w14:textId="77777777" w:rsidTr="00612EB5">
        <w:tc>
          <w:tcPr>
            <w:cnfStyle w:val="001000000000" w:firstRow="0" w:lastRow="0" w:firstColumn="1" w:lastColumn="0" w:oddVBand="0" w:evenVBand="0" w:oddHBand="0" w:evenHBand="0" w:firstRowFirstColumn="0" w:firstRowLastColumn="0" w:lastRowFirstColumn="0" w:lastRowLastColumn="0"/>
            <w:tcW w:w="1303" w:type="pct"/>
            <w:hideMark/>
          </w:tcPr>
          <w:p w14:paraId="78621F5B" w14:textId="77777777" w:rsidR="00331FED" w:rsidRPr="005C45F6" w:rsidRDefault="00331FED" w:rsidP="00612EB5">
            <w:pPr>
              <w:spacing w:line="259" w:lineRule="auto"/>
              <w:ind w:left="337"/>
              <w:rPr>
                <w:rFonts w:ascii="Times New Roman" w:hAnsi="Times New Roman"/>
                <w:sz w:val="20"/>
                <w:szCs w:val="20"/>
              </w:rPr>
            </w:pPr>
            <w:r w:rsidRPr="005C45F6">
              <w:rPr>
                <w:rFonts w:ascii="Times New Roman" w:hAnsi="Times New Roman"/>
                <w:sz w:val="20"/>
                <w:szCs w:val="20"/>
              </w:rPr>
              <w:t>MTPAS</w:t>
            </w:r>
          </w:p>
        </w:tc>
        <w:tc>
          <w:tcPr>
            <w:tcW w:w="1319" w:type="pct"/>
            <w:hideMark/>
          </w:tcPr>
          <w:p w14:paraId="6759E715" w14:textId="77777777" w:rsidR="00331FED" w:rsidRPr="005C45F6" w:rsidRDefault="00331FED" w:rsidP="00612EB5">
            <w:pPr>
              <w:spacing w:line="259" w:lineRule="auto"/>
              <w:ind w:left="455"/>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C45F6">
              <w:rPr>
                <w:rFonts w:ascii="Times New Roman" w:hAnsi="Times New Roman"/>
                <w:sz w:val="20"/>
                <w:szCs w:val="20"/>
              </w:rPr>
              <w:t>SSOPU</w:t>
            </w:r>
          </w:p>
        </w:tc>
        <w:tc>
          <w:tcPr>
            <w:tcW w:w="2378" w:type="pct"/>
            <w:hideMark/>
          </w:tcPr>
          <w:p w14:paraId="7F0308BC" w14:textId="77777777" w:rsidR="00331FED" w:rsidRPr="007D770B" w:rsidRDefault="00331FED" w:rsidP="00612EB5">
            <w:pPr>
              <w:spacing w:after="120" w:line="259" w:lineRule="auto"/>
              <w:ind w:left="404"/>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7D770B">
              <w:rPr>
                <w:rFonts w:ascii="Times New Roman" w:hAnsi="Times New Roman"/>
                <w:sz w:val="20"/>
                <w:szCs w:val="20"/>
              </w:rPr>
              <w:t>The fair value at the date of reclassification becomes the new carrying amount. The cumulative gain or loss in OCI is reclassified to profit or loss at the date of reclassification.</w:t>
            </w:r>
          </w:p>
        </w:tc>
      </w:tr>
    </w:tbl>
    <w:p w14:paraId="04E05913" w14:textId="77777777" w:rsidR="00331FED" w:rsidRPr="007D770B" w:rsidRDefault="00331FED" w:rsidP="00331FED">
      <w:pPr>
        <w:pStyle w:val="af4"/>
        <w:spacing w:after="240"/>
        <w:ind w:firstLine="0"/>
        <w:rPr>
          <w:sz w:val="20"/>
          <w:szCs w:val="20"/>
          <w:lang w:val="en-US"/>
        </w:rPr>
      </w:pPr>
    </w:p>
    <w:p w14:paraId="2DC5E19B" w14:textId="405C08A1" w:rsidR="00331FED" w:rsidRPr="007D770B" w:rsidRDefault="00331FED" w:rsidP="00E61D21">
      <w:pPr>
        <w:pStyle w:val="3"/>
        <w:rPr>
          <w:lang w:val="en-US"/>
        </w:rPr>
      </w:pPr>
      <w:bookmarkStart w:id="113" w:name="_Toc248698822"/>
      <w:bookmarkStart w:id="114" w:name="_Toc255041508"/>
      <w:bookmarkStart w:id="115" w:name="_Toc374457877"/>
      <w:bookmarkStart w:id="116" w:name="_Toc168502036"/>
      <w:r w:rsidRPr="007D770B">
        <w:rPr>
          <w:lang w:val="en-US"/>
        </w:rPr>
        <w:t>3.8.</w:t>
      </w:r>
      <w:bookmarkEnd w:id="113"/>
      <w:bookmarkEnd w:id="114"/>
      <w:bookmarkEnd w:id="115"/>
      <w:r w:rsidRPr="007D770B">
        <w:rPr>
          <w:lang w:val="en-US"/>
        </w:rPr>
        <w:t xml:space="preserve"> Impairment of financial assets</w:t>
      </w:r>
      <w:bookmarkEnd w:id="116"/>
    </w:p>
    <w:p w14:paraId="1B6CB786" w14:textId="725C8985" w:rsidR="00331FED" w:rsidRPr="007D770B" w:rsidRDefault="00331FED" w:rsidP="00331FED">
      <w:pPr>
        <w:spacing w:line="240" w:lineRule="auto"/>
        <w:ind w:left="0"/>
        <w:rPr>
          <w:rFonts w:ascii="Times New Roman" w:hAnsi="Times New Roman"/>
          <w:iCs/>
          <w:lang w:val="en-US"/>
        </w:rPr>
      </w:pPr>
      <w:r w:rsidRPr="007D770B">
        <w:rPr>
          <w:rFonts w:ascii="Times New Roman" w:hAnsi="Times New Roman"/>
          <w:iCs/>
          <w:lang w:val="en-US"/>
        </w:rPr>
        <w:t xml:space="preserve">The Bank recognizes a valuation allowance for expected credit losses on all financial assets carried at amortized cost and </w:t>
      </w:r>
      <w:r w:rsidR="00EF21E2" w:rsidRPr="007D770B">
        <w:rPr>
          <w:rFonts w:ascii="Times New Roman" w:hAnsi="Times New Roman"/>
          <w:iCs/>
          <w:lang w:val="en-US"/>
        </w:rPr>
        <w:t xml:space="preserve">debt </w:t>
      </w:r>
      <w:r w:rsidRPr="007D770B">
        <w:rPr>
          <w:rFonts w:ascii="Times New Roman" w:hAnsi="Times New Roman"/>
          <w:iCs/>
          <w:lang w:val="en-US"/>
        </w:rPr>
        <w:t>financial assets at fair value through other comprehensive income. The Bank recognizes a provision for such losses at each reporting date.</w:t>
      </w:r>
    </w:p>
    <w:p w14:paraId="34C95CB5" w14:textId="77777777" w:rsidR="00331FED" w:rsidRPr="007D770B" w:rsidRDefault="00331FED" w:rsidP="00331FED">
      <w:pPr>
        <w:pStyle w:val="aa"/>
        <w:spacing w:before="240" w:after="0" w:line="259" w:lineRule="auto"/>
        <w:ind w:left="0"/>
        <w:contextualSpacing w:val="0"/>
        <w:rPr>
          <w:rFonts w:ascii="Times New Roman" w:hAnsi="Times New Roman"/>
          <w:szCs w:val="24"/>
          <w:lang w:val="en-US"/>
        </w:rPr>
      </w:pPr>
      <w:r w:rsidRPr="007D770B">
        <w:rPr>
          <w:rFonts w:ascii="Times New Roman" w:hAnsi="Times New Roman"/>
          <w:szCs w:val="24"/>
          <w:lang w:val="en-US"/>
        </w:rPr>
        <w:t>The Bank estimates expected credit losses on a financial asset in a manner that reflects:</w:t>
      </w:r>
    </w:p>
    <w:p w14:paraId="2BF65B1B" w14:textId="77777777" w:rsidR="00331FED" w:rsidRPr="007D770B" w:rsidRDefault="00331FED" w:rsidP="00AE698A">
      <w:pPr>
        <w:pStyle w:val="IASBNormalnparaL1"/>
        <w:numPr>
          <w:ilvl w:val="0"/>
          <w:numId w:val="357"/>
        </w:numPr>
        <w:spacing w:before="0"/>
        <w:ind w:left="720"/>
        <w:rPr>
          <w:rFonts w:eastAsiaTheme="minorHAnsi"/>
          <w:sz w:val="20"/>
          <w:szCs w:val="24"/>
          <w:lang w:val="en-US" w:eastAsia="en-US"/>
        </w:rPr>
      </w:pPr>
      <w:r w:rsidRPr="007D770B">
        <w:rPr>
          <w:rFonts w:eastAsiaTheme="minorHAnsi"/>
          <w:sz w:val="20"/>
          <w:szCs w:val="24"/>
          <w:lang w:val="en-US" w:eastAsia="en-US"/>
        </w:rPr>
        <w:t>unbiased and probability-weighted amount determined by assessing the range of possible outcomes;</w:t>
      </w:r>
    </w:p>
    <w:p w14:paraId="2511DC00" w14:textId="77777777" w:rsidR="00331FED" w:rsidRPr="007D770B" w:rsidRDefault="00331FED" w:rsidP="00AE698A">
      <w:pPr>
        <w:pStyle w:val="IASBNormalnparaL1"/>
        <w:numPr>
          <w:ilvl w:val="0"/>
          <w:numId w:val="357"/>
        </w:numPr>
        <w:spacing w:before="0"/>
        <w:ind w:left="720"/>
        <w:rPr>
          <w:rFonts w:eastAsiaTheme="minorHAnsi"/>
          <w:sz w:val="20"/>
          <w:szCs w:val="24"/>
          <w:lang w:val="en-US" w:eastAsia="en-US"/>
        </w:rPr>
      </w:pPr>
      <w:r w:rsidRPr="007D770B">
        <w:rPr>
          <w:rFonts w:eastAsiaTheme="minorHAnsi"/>
          <w:sz w:val="20"/>
          <w:szCs w:val="24"/>
          <w:lang w:val="en-US" w:eastAsia="en-US"/>
        </w:rPr>
        <w:t>the time value of money; and</w:t>
      </w:r>
    </w:p>
    <w:p w14:paraId="3FE81B2F" w14:textId="0B0C3BF4" w:rsidR="00331FED" w:rsidRPr="007D770B" w:rsidRDefault="00331FED" w:rsidP="00AE698A">
      <w:pPr>
        <w:pStyle w:val="IASBNormalnparaL1"/>
        <w:numPr>
          <w:ilvl w:val="0"/>
          <w:numId w:val="357"/>
        </w:numPr>
        <w:spacing w:before="0" w:after="240"/>
        <w:ind w:left="720"/>
        <w:rPr>
          <w:rFonts w:eastAsiaTheme="minorHAnsi"/>
          <w:sz w:val="20"/>
          <w:szCs w:val="24"/>
          <w:lang w:val="en-US" w:eastAsia="en-US"/>
        </w:rPr>
      </w:pPr>
      <w:r w:rsidRPr="007D770B">
        <w:rPr>
          <w:rFonts w:eastAsiaTheme="minorHAnsi"/>
          <w:sz w:val="20"/>
          <w:szCs w:val="24"/>
          <w:lang w:val="en-US" w:eastAsia="en-US"/>
        </w:rPr>
        <w:t>Reasonable and acceptable information about past events, current conditions and projected future economic conditions that is available at the reporting date without undue cost or effort.</w:t>
      </w:r>
    </w:p>
    <w:p w14:paraId="4667A022" w14:textId="1D961BEB" w:rsidR="00331FED" w:rsidRPr="007D770B" w:rsidRDefault="004D7EAB" w:rsidP="00331FED">
      <w:pPr>
        <w:spacing w:line="240" w:lineRule="auto"/>
        <w:ind w:left="0"/>
        <w:rPr>
          <w:rFonts w:ascii="Times New Roman" w:hAnsi="Times New Roman"/>
          <w:iCs/>
          <w:lang w:val="en-US"/>
        </w:rPr>
      </w:pPr>
      <w:r w:rsidRPr="007D770B">
        <w:rPr>
          <w:rFonts w:ascii="Times New Roman" w:hAnsi="Times New Roman"/>
          <w:iCs/>
          <w:lang w:val="en-US"/>
        </w:rPr>
        <w:t xml:space="preserve">The </w:t>
      </w:r>
      <w:r w:rsidR="00331FED" w:rsidRPr="007D770B">
        <w:rPr>
          <w:rFonts w:ascii="Times New Roman" w:hAnsi="Times New Roman"/>
          <w:iCs/>
          <w:lang w:val="en-US"/>
        </w:rPr>
        <w:t xml:space="preserve">Bank </w:t>
      </w:r>
      <w:r w:rsidRPr="007D770B">
        <w:rPr>
          <w:rFonts w:ascii="Times New Roman" w:hAnsi="Times New Roman"/>
          <w:iCs/>
          <w:lang w:val="en-US"/>
        </w:rPr>
        <w:t xml:space="preserve">uses a </w:t>
      </w:r>
      <w:r w:rsidR="00612EB5" w:rsidRPr="007D770B">
        <w:rPr>
          <w:rFonts w:ascii="Times New Roman" w:hAnsi="Times New Roman"/>
          <w:iCs/>
          <w:lang w:val="en-US"/>
        </w:rPr>
        <w:t xml:space="preserve">three basket </w:t>
      </w:r>
      <w:r w:rsidRPr="007D770B">
        <w:rPr>
          <w:rFonts w:ascii="Times New Roman" w:hAnsi="Times New Roman"/>
          <w:iCs/>
          <w:lang w:val="en-US"/>
        </w:rPr>
        <w:t xml:space="preserve">model </w:t>
      </w:r>
      <w:r w:rsidR="00612EB5" w:rsidRPr="007D770B">
        <w:rPr>
          <w:rFonts w:ascii="Times New Roman" w:hAnsi="Times New Roman"/>
          <w:iCs/>
          <w:lang w:val="en-US"/>
        </w:rPr>
        <w:t xml:space="preserve">to assess financial assets for impairment </w:t>
      </w:r>
      <w:r w:rsidR="00331FED" w:rsidRPr="007D770B">
        <w:rPr>
          <w:rFonts w:ascii="Times New Roman" w:hAnsi="Times New Roman"/>
          <w:iCs/>
          <w:lang w:val="en-US"/>
        </w:rPr>
        <w:t xml:space="preserve">based on changes in credit quality since </w:t>
      </w:r>
      <w:r w:rsidR="00331FED" w:rsidRPr="007D770B">
        <w:rPr>
          <w:rFonts w:ascii="Times New Roman" w:hAnsi="Times New Roman"/>
          <w:lang w:val="en-US"/>
        </w:rPr>
        <w:t>initial recognition</w:t>
      </w:r>
      <w:r w:rsidR="00331FED" w:rsidRPr="007D770B">
        <w:rPr>
          <w:rFonts w:ascii="Times New Roman" w:hAnsi="Times New Roman"/>
          <w:iCs/>
          <w:lang w:val="en-US"/>
        </w:rPr>
        <w:t>:</w:t>
      </w:r>
    </w:p>
    <w:p w14:paraId="10770BD3" w14:textId="48D96760" w:rsidR="00331FED" w:rsidRPr="007D770B" w:rsidRDefault="00331FED" w:rsidP="00331FED">
      <w:pPr>
        <w:spacing w:line="240" w:lineRule="auto"/>
        <w:ind w:left="0"/>
        <w:jc w:val="center"/>
        <w:rPr>
          <w:rFonts w:ascii="Georgia" w:eastAsiaTheme="minorHAnsi" w:hAnsi="Georgia" w:cstheme="minorBidi"/>
          <w:szCs w:val="22"/>
          <w:lang w:val="en-US"/>
        </w:rPr>
      </w:pPr>
      <w:r>
        <w:rPr>
          <w:rFonts w:ascii="Times New Roman" w:hAnsi="Times New Roman"/>
          <w:noProof/>
          <w:lang w:eastAsia="ru-RU"/>
        </w:rPr>
        <mc:AlternateContent>
          <mc:Choice Requires="wps">
            <w:drawing>
              <wp:anchor distT="0" distB="0" distL="114300" distR="114300" simplePos="0" relativeHeight="251659264" behindDoc="0" locked="0" layoutInCell="1" allowOverlap="1" wp14:anchorId="0B79CCE1" wp14:editId="5AB590CE">
                <wp:simplePos x="0" y="0"/>
                <wp:positionH relativeFrom="column">
                  <wp:posOffset>106845</wp:posOffset>
                </wp:positionH>
                <wp:positionV relativeFrom="paragraph">
                  <wp:posOffset>199114</wp:posOffset>
                </wp:positionV>
                <wp:extent cx="5740841" cy="0"/>
                <wp:effectExtent l="38100" t="76200" r="12700" b="95250"/>
                <wp:wrapNone/>
                <wp:docPr id="988" name="Straight Arrow Connector 988"/>
                <wp:cNvGraphicFramePr/>
                <a:graphic xmlns:a="http://schemas.openxmlformats.org/drawingml/2006/main">
                  <a:graphicData uri="http://schemas.microsoft.com/office/word/2010/wordprocessingShape">
                    <wps:wsp>
                      <wps:cNvCnPr/>
                      <wps:spPr>
                        <a:xfrm>
                          <a:off x="0" y="0"/>
                          <a:ext cx="5740841" cy="0"/>
                        </a:xfrm>
                        <a:prstGeom prst="straightConnector1">
                          <a:avLst/>
                        </a:prstGeom>
                        <a:ln w="22225">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dgm="http://schemas.openxmlformats.org/drawingml/2006/diagram"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xmlns:oel="http://schemas.microsoft.com/office/2019/extlst">
            <w:pict>
              <v:shape id="Straight Arrow Connector 988" style="position:absolute;margin-left:8.4pt;margin-top:15.7pt;width:452.05pt;height:0;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7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iC+wEAAF0EAAAOAAAAZHJzL2Uyb0RvYy54bWysVMtu2zAQvBfoPxC815KMpHUNy0HhNL0U&#10;rdG0H8BQS4sAX1iylv33XVK23KS5JKgOlKjd2Z0ZLbW6OVjD9oBRe9fyZlZzBk76Trtdy3/9vHu3&#10;4Cwm4TphvIOWHyHym/XbN6shLGHue286QEZFXFwOoeV9SmFZVVH2YEWc+QCOgsqjFYm2uKs6FANV&#10;t6aa1/X7avDYBfQSYqS3t2OQr0t9pUCm70pFSMy0nLilsmJZH/JarVdiuUMRei1PNMQrWFihHTWd&#10;St2KJNhv1P+Uslqij16lmfS28kppCUUDqWnqJ2ruexGgaCFzYphsiv+vrPy23yLTXcs/LuhTOWHp&#10;I90nFHrXJ/YJ0Q9s450jIz2ynEOODSEuCbhxWzztYthiln9QaPOdhLFDcfk4uQyHxCS9vP5wVS+u&#10;Gs7kOVZdgAFj+gLesvzQ8nhiMlFoisti/zUmak3AMyB3NY4NLZ/TdV3Soje6u9PG5GAZKdgYZHtB&#10;w5AOTZZCFR5l9SC6z65j6RjIiIRauJ2BcUyS0Ob5GFUxjoplY0YrylM6Ghh5/QBFJpP4kf8TLkJK&#10;cOnMxzjKzjBFzCdgPSrK5+Ii4jHwlJ+hUEb/JeAJUTp7lyaw1c7jc90vFqox/+zAqDtb8OC7YxmS&#10;Yg3NcHH8dN7yIfl7X+CXv8L6DwAAAP//AwBQSwMEFAAGAAgAAAAhAFbYkwfdAAAACAEAAA8AAABk&#10;cnMvZG93bnJldi54bWxMj0FLw0AQhe+C/2EZwYvYTasUG7MpInpQEGnqxdskOyYh2dmQ3bbJv3fE&#10;gx7fvOG972XbyfXqSGNoPRtYLhJQxJW3LdcGPvbP13egQkS22HsmAzMF2ObnZxmm1p94R8ci1kpC&#10;OKRooIlxSLUOVUMOw8IPxOJ9+dFhFDnW2o54knDX61WSrLXDlqWhwYEeG6q64uAMfPbdk355fSu7&#10;7krvPb7PYTcXxlxeTA/3oCJN8e8ZfvAFHXJhKv2BbVC96LWQRwM3y1tQ4m9WyQZU+XvQeab/D8i/&#10;AQAA//8DAFBLAQItABQABgAIAAAAIQC2gziS/gAAAOEBAAATAAAAAAAAAAAAAAAAAAAAAABbQ29u&#10;dGVudF9UeXBlc10ueG1sUEsBAi0AFAAGAAgAAAAhADj9If/WAAAAlAEAAAsAAAAAAAAAAAAAAAAA&#10;LwEAAF9yZWxzLy5yZWxzUEsBAi0AFAAGAAgAAAAhAG4b6IL7AQAAXQQAAA4AAAAAAAAAAAAAAAAA&#10;LgIAAGRycy9lMm9Eb2MueG1sUEsBAi0AFAAGAAgAAAAhAFbYkwfdAAAACAEAAA8AAAAAAAAAAAAA&#10;AAAAVQQAAGRycy9kb3ducmV2LnhtbFBLBQYAAAAABAAEAPMAAABfBQAAAAA=&#10;" w14:anchorId="6719089B">
                <v:stroke startarrow="block" endarrow="block"/>
              </v:shape>
            </w:pict>
          </mc:Fallback>
        </mc:AlternateContent>
      </w:r>
      <w:r w:rsidRPr="007D770B">
        <w:rPr>
          <w:rFonts w:ascii="Times New Roman" w:hAnsi="Times New Roman"/>
          <w:lang w:val="en-US"/>
        </w:rPr>
        <w:t>Change in credit risk after initial recognition</w:t>
      </w:r>
      <w:r>
        <w:fldChar w:fldCharType="begin"/>
      </w:r>
      <w:r w:rsidRPr="007D770B">
        <w:rPr>
          <w:lang w:val="en-US"/>
        </w:rPr>
        <w:instrText xml:space="preserve"> LINK Excel.Sheet.12 "Book1" "Sheet1!R3C1:R10C3" \a \f 4 \h </w:instrText>
      </w:r>
      <w:r w:rsidR="00806298" w:rsidRPr="007D770B">
        <w:rPr>
          <w:lang w:val="en-US"/>
        </w:rPr>
        <w:instrText xml:space="preserve"> \* MERGEFORMAT </w:instrText>
      </w:r>
      <w:r>
        <w:fldChar w:fldCharType="separate"/>
      </w:r>
    </w:p>
    <w:tbl>
      <w:tblPr>
        <w:tblW w:w="9240" w:type="dxa"/>
        <w:tblLook w:val="04A0" w:firstRow="1" w:lastRow="0" w:firstColumn="1" w:lastColumn="0" w:noHBand="0" w:noVBand="1"/>
      </w:tblPr>
      <w:tblGrid>
        <w:gridCol w:w="3080"/>
        <w:gridCol w:w="3080"/>
        <w:gridCol w:w="3080"/>
      </w:tblGrid>
      <w:tr w:rsidR="00331FED" w:rsidRPr="00D470B4" w14:paraId="3D145D56" w14:textId="77777777" w:rsidTr="008D54EC">
        <w:trPr>
          <w:trHeight w:val="255"/>
        </w:trPr>
        <w:tc>
          <w:tcPr>
            <w:tcW w:w="3080" w:type="dxa"/>
            <w:tcBorders>
              <w:top w:val="nil"/>
              <w:left w:val="nil"/>
              <w:bottom w:val="nil"/>
              <w:right w:val="dashed" w:sz="4" w:space="0" w:color="auto"/>
            </w:tcBorders>
            <w:shd w:val="clear" w:color="auto" w:fill="auto"/>
            <w:noWrap/>
            <w:vAlign w:val="bottom"/>
            <w:hideMark/>
          </w:tcPr>
          <w:p w14:paraId="420D5E77" w14:textId="4D12DE11" w:rsidR="00331FED" w:rsidRPr="00D470B4" w:rsidRDefault="00331FED" w:rsidP="008D54EC">
            <w:pPr>
              <w:spacing w:after="0" w:line="240" w:lineRule="auto"/>
              <w:ind w:left="0"/>
              <w:jc w:val="center"/>
              <w:rPr>
                <w:rFonts w:ascii="Times New Roman" w:eastAsia="Times New Roman" w:hAnsi="Times New Roman"/>
                <w:b/>
                <w:bCs/>
                <w:color w:val="000000"/>
              </w:rPr>
            </w:pPr>
            <w:r w:rsidRPr="00D470B4">
              <w:rPr>
                <w:rFonts w:ascii="Times New Roman" w:eastAsia="Times New Roman" w:hAnsi="Times New Roman"/>
                <w:b/>
                <w:bCs/>
                <w:color w:val="000000"/>
              </w:rPr>
              <w:t>1</w:t>
            </w:r>
          </w:p>
        </w:tc>
        <w:tc>
          <w:tcPr>
            <w:tcW w:w="3080" w:type="dxa"/>
            <w:tcBorders>
              <w:top w:val="nil"/>
              <w:left w:val="nil"/>
              <w:bottom w:val="nil"/>
              <w:right w:val="dashed" w:sz="4" w:space="0" w:color="auto"/>
            </w:tcBorders>
            <w:shd w:val="clear" w:color="auto" w:fill="auto"/>
            <w:noWrap/>
            <w:vAlign w:val="bottom"/>
            <w:hideMark/>
          </w:tcPr>
          <w:p w14:paraId="15EDD9A5" w14:textId="67DE1754" w:rsidR="00331FED" w:rsidRPr="00D470B4" w:rsidRDefault="00331FED" w:rsidP="008D54EC">
            <w:pPr>
              <w:spacing w:after="0" w:line="240" w:lineRule="auto"/>
              <w:ind w:left="0"/>
              <w:jc w:val="center"/>
              <w:rPr>
                <w:rFonts w:ascii="Times New Roman" w:eastAsia="Times New Roman" w:hAnsi="Times New Roman"/>
                <w:b/>
                <w:bCs/>
                <w:color w:val="000000"/>
              </w:rPr>
            </w:pPr>
            <w:r w:rsidRPr="00D470B4">
              <w:rPr>
                <w:rFonts w:ascii="Times New Roman" w:eastAsia="Times New Roman" w:hAnsi="Times New Roman"/>
                <w:b/>
                <w:bCs/>
                <w:color w:val="000000"/>
              </w:rPr>
              <w:t>2</w:t>
            </w:r>
          </w:p>
        </w:tc>
        <w:tc>
          <w:tcPr>
            <w:tcW w:w="3080" w:type="dxa"/>
            <w:tcBorders>
              <w:top w:val="nil"/>
              <w:left w:val="nil"/>
              <w:bottom w:val="nil"/>
              <w:right w:val="nil"/>
            </w:tcBorders>
            <w:shd w:val="clear" w:color="auto" w:fill="auto"/>
            <w:noWrap/>
            <w:vAlign w:val="bottom"/>
            <w:hideMark/>
          </w:tcPr>
          <w:p w14:paraId="60C33D52" w14:textId="4E31D399" w:rsidR="00331FED" w:rsidRPr="00D470B4" w:rsidRDefault="00331FED" w:rsidP="008D54EC">
            <w:pPr>
              <w:spacing w:after="0" w:line="240" w:lineRule="auto"/>
              <w:ind w:left="0"/>
              <w:jc w:val="center"/>
              <w:rPr>
                <w:rFonts w:ascii="Times New Roman" w:eastAsia="Times New Roman" w:hAnsi="Times New Roman"/>
                <w:b/>
                <w:bCs/>
                <w:color w:val="000000"/>
              </w:rPr>
            </w:pPr>
            <w:r w:rsidRPr="00D470B4">
              <w:rPr>
                <w:rFonts w:ascii="Times New Roman" w:eastAsia="Times New Roman" w:hAnsi="Times New Roman"/>
                <w:b/>
                <w:bCs/>
                <w:color w:val="000000"/>
              </w:rPr>
              <w:t>3</w:t>
            </w:r>
          </w:p>
        </w:tc>
      </w:tr>
      <w:tr w:rsidR="00331FED" w:rsidRPr="00E60FFF" w14:paraId="6B77406C" w14:textId="77777777" w:rsidTr="008D54EC">
        <w:trPr>
          <w:trHeight w:val="1020"/>
        </w:trPr>
        <w:tc>
          <w:tcPr>
            <w:tcW w:w="3080" w:type="dxa"/>
            <w:tcBorders>
              <w:top w:val="nil"/>
              <w:left w:val="nil"/>
              <w:bottom w:val="nil"/>
              <w:right w:val="dashed" w:sz="4" w:space="0" w:color="auto"/>
            </w:tcBorders>
            <w:shd w:val="clear" w:color="auto" w:fill="auto"/>
            <w:vAlign w:val="bottom"/>
            <w:hideMark/>
          </w:tcPr>
          <w:p w14:paraId="514D9152" w14:textId="77777777" w:rsidR="00331FED" w:rsidRPr="007D770B" w:rsidRDefault="00331FED" w:rsidP="008D54EC">
            <w:pPr>
              <w:spacing w:after="0" w:line="240" w:lineRule="auto"/>
              <w:ind w:left="0"/>
              <w:jc w:val="center"/>
              <w:rPr>
                <w:rFonts w:ascii="Times New Roman" w:eastAsia="Times New Roman" w:hAnsi="Times New Roman"/>
                <w:color w:val="000000"/>
                <w:lang w:val="en-US"/>
              </w:rPr>
            </w:pPr>
            <w:r w:rsidRPr="007D770B">
              <w:rPr>
                <w:rFonts w:ascii="Times New Roman" w:eastAsia="Times New Roman" w:hAnsi="Times New Roman"/>
                <w:color w:val="000000"/>
                <w:lang w:val="en-US"/>
              </w:rPr>
              <w:t>FIs for which there was no significant increase in credit risk after initial recognition</w:t>
            </w:r>
          </w:p>
        </w:tc>
        <w:tc>
          <w:tcPr>
            <w:tcW w:w="3080" w:type="dxa"/>
            <w:tcBorders>
              <w:top w:val="nil"/>
              <w:left w:val="nil"/>
              <w:bottom w:val="nil"/>
              <w:right w:val="dashed" w:sz="4" w:space="0" w:color="auto"/>
            </w:tcBorders>
            <w:shd w:val="clear" w:color="auto" w:fill="auto"/>
            <w:vAlign w:val="center"/>
            <w:hideMark/>
          </w:tcPr>
          <w:p w14:paraId="27CCD1E7" w14:textId="28D6EFE9" w:rsidR="00331FED" w:rsidRPr="007D770B" w:rsidRDefault="00331FED" w:rsidP="008D54EC">
            <w:pPr>
              <w:spacing w:after="0" w:line="240" w:lineRule="auto"/>
              <w:ind w:left="0"/>
              <w:jc w:val="center"/>
              <w:rPr>
                <w:rFonts w:ascii="Times New Roman" w:eastAsia="Times New Roman" w:hAnsi="Times New Roman"/>
                <w:color w:val="000000"/>
                <w:lang w:val="en-US"/>
              </w:rPr>
            </w:pPr>
            <w:r w:rsidRPr="007D770B">
              <w:rPr>
                <w:rFonts w:ascii="Times New Roman" w:eastAsia="Times New Roman" w:hAnsi="Times New Roman"/>
                <w:color w:val="000000"/>
                <w:lang w:val="en-US"/>
              </w:rPr>
              <w:t xml:space="preserve">FI for which </w:t>
            </w:r>
            <w:r w:rsidR="00EF21E2" w:rsidRPr="007D770B">
              <w:rPr>
                <w:rFonts w:ascii="Times New Roman" w:eastAsia="Times New Roman" w:hAnsi="Times New Roman"/>
                <w:color w:val="000000"/>
                <w:lang w:val="en-US"/>
              </w:rPr>
              <w:t xml:space="preserve">there was a significant </w:t>
            </w:r>
            <w:r w:rsidRPr="007D770B">
              <w:rPr>
                <w:rFonts w:ascii="Times New Roman" w:eastAsia="Times New Roman" w:hAnsi="Times New Roman"/>
                <w:color w:val="000000"/>
                <w:lang w:val="en-US"/>
              </w:rPr>
              <w:t>increase in credit risk after initial recognition</w:t>
            </w:r>
          </w:p>
        </w:tc>
        <w:tc>
          <w:tcPr>
            <w:tcW w:w="3080" w:type="dxa"/>
            <w:tcBorders>
              <w:top w:val="nil"/>
              <w:left w:val="nil"/>
              <w:bottom w:val="nil"/>
              <w:right w:val="nil"/>
            </w:tcBorders>
            <w:shd w:val="clear" w:color="auto" w:fill="auto"/>
            <w:vAlign w:val="center"/>
            <w:hideMark/>
          </w:tcPr>
          <w:p w14:paraId="779D5FF5" w14:textId="77777777" w:rsidR="00331FED" w:rsidRPr="007D770B" w:rsidRDefault="00331FED" w:rsidP="008D54EC">
            <w:pPr>
              <w:spacing w:after="0" w:line="240" w:lineRule="auto"/>
              <w:ind w:left="0"/>
              <w:jc w:val="center"/>
              <w:rPr>
                <w:rFonts w:ascii="Times New Roman" w:eastAsia="Times New Roman" w:hAnsi="Times New Roman"/>
                <w:color w:val="000000"/>
                <w:lang w:val="en-US"/>
              </w:rPr>
            </w:pPr>
            <w:r w:rsidRPr="007D770B">
              <w:rPr>
                <w:rFonts w:ascii="Times New Roman" w:eastAsia="Times New Roman" w:hAnsi="Times New Roman"/>
                <w:color w:val="000000"/>
                <w:lang w:val="en-US"/>
              </w:rPr>
              <w:t>FI with objective evidence of impairment at the reporting date</w:t>
            </w:r>
          </w:p>
        </w:tc>
      </w:tr>
      <w:tr w:rsidR="00331FED" w:rsidRPr="00E60FFF" w14:paraId="78F77B1D" w14:textId="77777777" w:rsidTr="008D54EC">
        <w:trPr>
          <w:trHeight w:val="255"/>
        </w:trPr>
        <w:tc>
          <w:tcPr>
            <w:tcW w:w="6160" w:type="dxa"/>
            <w:gridSpan w:val="2"/>
            <w:tcBorders>
              <w:top w:val="nil"/>
              <w:left w:val="nil"/>
              <w:bottom w:val="nil"/>
              <w:right w:val="nil"/>
            </w:tcBorders>
            <w:shd w:val="clear" w:color="auto" w:fill="auto"/>
            <w:noWrap/>
            <w:hideMark/>
          </w:tcPr>
          <w:p w14:paraId="58EF6A57" w14:textId="77777777" w:rsidR="00331FED" w:rsidRPr="007D770B" w:rsidRDefault="00331FED" w:rsidP="008D54EC">
            <w:pPr>
              <w:spacing w:after="0" w:line="240" w:lineRule="auto"/>
              <w:ind w:left="0"/>
              <w:jc w:val="left"/>
              <w:rPr>
                <w:rFonts w:ascii="Times New Roman" w:eastAsia="Times New Roman" w:hAnsi="Times New Roman"/>
                <w:b/>
                <w:bCs/>
                <w:color w:val="000000"/>
                <w:lang w:val="en-US"/>
              </w:rPr>
            </w:pPr>
          </w:p>
        </w:tc>
        <w:tc>
          <w:tcPr>
            <w:tcW w:w="3080" w:type="dxa"/>
            <w:tcBorders>
              <w:top w:val="nil"/>
              <w:left w:val="nil"/>
              <w:bottom w:val="nil"/>
              <w:right w:val="nil"/>
            </w:tcBorders>
            <w:shd w:val="clear" w:color="auto" w:fill="auto"/>
            <w:noWrap/>
            <w:vAlign w:val="bottom"/>
            <w:hideMark/>
          </w:tcPr>
          <w:p w14:paraId="73CF763A" w14:textId="77777777" w:rsidR="00331FED" w:rsidRPr="007D770B" w:rsidRDefault="00331FED" w:rsidP="008D54EC">
            <w:pPr>
              <w:spacing w:after="0" w:line="240" w:lineRule="auto"/>
              <w:ind w:left="0"/>
              <w:jc w:val="left"/>
              <w:rPr>
                <w:rFonts w:ascii="Times New Roman" w:eastAsia="Times New Roman" w:hAnsi="Times New Roman"/>
                <w:b/>
                <w:bCs/>
                <w:color w:val="000000"/>
                <w:lang w:val="en-US"/>
              </w:rPr>
            </w:pPr>
          </w:p>
        </w:tc>
      </w:tr>
      <w:tr w:rsidR="00331FED" w:rsidRPr="00E60FFF" w14:paraId="5F032513" w14:textId="77777777" w:rsidTr="008D54EC">
        <w:trPr>
          <w:trHeight w:val="255"/>
        </w:trPr>
        <w:tc>
          <w:tcPr>
            <w:tcW w:w="6160" w:type="dxa"/>
            <w:gridSpan w:val="2"/>
            <w:tcBorders>
              <w:top w:val="nil"/>
              <w:left w:val="nil"/>
              <w:bottom w:val="nil"/>
              <w:right w:val="nil"/>
            </w:tcBorders>
            <w:shd w:val="clear" w:color="auto" w:fill="auto"/>
            <w:noWrap/>
          </w:tcPr>
          <w:p w14:paraId="493B050A" w14:textId="77777777" w:rsidR="00331FED" w:rsidRPr="007D770B" w:rsidRDefault="00331FED" w:rsidP="008D54EC">
            <w:pPr>
              <w:spacing w:after="0" w:line="240" w:lineRule="auto"/>
              <w:ind w:left="0"/>
              <w:jc w:val="left"/>
              <w:rPr>
                <w:rFonts w:ascii="Times New Roman" w:eastAsia="Times New Roman" w:hAnsi="Times New Roman"/>
                <w:b/>
                <w:bCs/>
                <w:color w:val="000000"/>
                <w:lang w:val="en-US"/>
              </w:rPr>
            </w:pPr>
            <w:r w:rsidRPr="007D770B">
              <w:rPr>
                <w:rFonts w:ascii="Times New Roman" w:eastAsia="Times New Roman" w:hAnsi="Times New Roman"/>
                <w:b/>
                <w:bCs/>
                <w:color w:val="000000"/>
                <w:lang w:val="en-US"/>
              </w:rPr>
              <w:t>Recognition of expected credit losses</w:t>
            </w:r>
          </w:p>
        </w:tc>
        <w:tc>
          <w:tcPr>
            <w:tcW w:w="3080" w:type="dxa"/>
            <w:tcBorders>
              <w:top w:val="nil"/>
              <w:left w:val="nil"/>
              <w:bottom w:val="nil"/>
              <w:right w:val="nil"/>
            </w:tcBorders>
            <w:shd w:val="clear" w:color="auto" w:fill="auto"/>
            <w:noWrap/>
            <w:vAlign w:val="bottom"/>
          </w:tcPr>
          <w:p w14:paraId="783D340F" w14:textId="77777777" w:rsidR="00331FED" w:rsidRPr="007D770B" w:rsidRDefault="00331FED" w:rsidP="008D54EC">
            <w:pPr>
              <w:spacing w:after="0" w:line="240" w:lineRule="auto"/>
              <w:ind w:left="0"/>
              <w:jc w:val="left"/>
              <w:rPr>
                <w:rFonts w:ascii="Times New Roman" w:eastAsia="Times New Roman" w:hAnsi="Times New Roman"/>
                <w:b/>
                <w:bCs/>
                <w:color w:val="000000"/>
                <w:lang w:val="en-US"/>
              </w:rPr>
            </w:pPr>
          </w:p>
        </w:tc>
      </w:tr>
      <w:tr w:rsidR="00331FED" w:rsidRPr="00E60FFF" w14:paraId="6A253774" w14:textId="77777777" w:rsidTr="008D54EC">
        <w:trPr>
          <w:trHeight w:val="510"/>
        </w:trPr>
        <w:tc>
          <w:tcPr>
            <w:tcW w:w="3080" w:type="dxa"/>
            <w:tcBorders>
              <w:top w:val="nil"/>
              <w:left w:val="nil"/>
              <w:bottom w:val="nil"/>
              <w:right w:val="dashed" w:sz="4" w:space="0" w:color="auto"/>
            </w:tcBorders>
            <w:shd w:val="clear" w:color="000000" w:fill="D9D9D9"/>
            <w:vAlign w:val="center"/>
            <w:hideMark/>
          </w:tcPr>
          <w:p w14:paraId="16B22D09" w14:textId="77777777" w:rsidR="00331FED" w:rsidRPr="007D770B" w:rsidRDefault="00331FED" w:rsidP="008D54EC">
            <w:pPr>
              <w:spacing w:after="0" w:line="240" w:lineRule="auto"/>
              <w:ind w:left="0"/>
              <w:jc w:val="left"/>
              <w:rPr>
                <w:rFonts w:ascii="Times New Roman" w:eastAsia="Times New Roman" w:hAnsi="Times New Roman"/>
                <w:color w:val="000000"/>
                <w:lang w:val="en-US"/>
              </w:rPr>
            </w:pPr>
            <w:r w:rsidRPr="007D770B">
              <w:rPr>
                <w:rFonts w:ascii="Times New Roman" w:eastAsia="Times New Roman" w:hAnsi="Times New Roman"/>
                <w:color w:val="000000"/>
                <w:lang w:val="en-US"/>
              </w:rPr>
              <w:t>Expected credit losses for 12 months</w:t>
            </w:r>
          </w:p>
        </w:tc>
        <w:tc>
          <w:tcPr>
            <w:tcW w:w="3080" w:type="dxa"/>
            <w:tcBorders>
              <w:top w:val="nil"/>
              <w:left w:val="nil"/>
              <w:bottom w:val="nil"/>
              <w:right w:val="dashed" w:sz="4" w:space="0" w:color="auto"/>
            </w:tcBorders>
            <w:shd w:val="clear" w:color="000000" w:fill="D9D9D9"/>
            <w:vAlign w:val="center"/>
            <w:hideMark/>
          </w:tcPr>
          <w:p w14:paraId="4C7671A9" w14:textId="77777777" w:rsidR="00331FED" w:rsidRPr="007D770B" w:rsidRDefault="00331FED" w:rsidP="008D54EC">
            <w:pPr>
              <w:spacing w:after="0" w:line="240" w:lineRule="auto"/>
              <w:ind w:left="0"/>
              <w:jc w:val="left"/>
              <w:rPr>
                <w:rFonts w:ascii="Times New Roman" w:eastAsia="Times New Roman" w:hAnsi="Times New Roman"/>
                <w:color w:val="000000"/>
                <w:lang w:val="en-US"/>
              </w:rPr>
            </w:pPr>
            <w:r w:rsidRPr="007D770B">
              <w:rPr>
                <w:rFonts w:ascii="Times New Roman" w:eastAsia="Times New Roman" w:hAnsi="Times New Roman"/>
                <w:color w:val="000000"/>
                <w:lang w:val="en-US"/>
              </w:rPr>
              <w:t>Expected credit losses over the life of the asset</w:t>
            </w:r>
          </w:p>
        </w:tc>
        <w:tc>
          <w:tcPr>
            <w:tcW w:w="3080" w:type="dxa"/>
            <w:tcBorders>
              <w:top w:val="nil"/>
              <w:left w:val="nil"/>
              <w:bottom w:val="nil"/>
              <w:right w:val="nil"/>
            </w:tcBorders>
            <w:shd w:val="clear" w:color="000000" w:fill="D9D9D9"/>
            <w:vAlign w:val="center"/>
            <w:hideMark/>
          </w:tcPr>
          <w:p w14:paraId="76F32D7E" w14:textId="77777777" w:rsidR="00331FED" w:rsidRPr="007D770B" w:rsidRDefault="00331FED" w:rsidP="008D54EC">
            <w:pPr>
              <w:spacing w:after="0" w:line="240" w:lineRule="auto"/>
              <w:ind w:left="0"/>
              <w:jc w:val="left"/>
              <w:rPr>
                <w:rFonts w:ascii="Times New Roman" w:eastAsia="Times New Roman" w:hAnsi="Times New Roman"/>
                <w:color w:val="000000"/>
                <w:lang w:val="en-US"/>
              </w:rPr>
            </w:pPr>
            <w:r w:rsidRPr="007D770B">
              <w:rPr>
                <w:rFonts w:ascii="Times New Roman" w:eastAsia="Times New Roman" w:hAnsi="Times New Roman"/>
                <w:color w:val="000000"/>
                <w:lang w:val="en-US"/>
              </w:rPr>
              <w:t>Expected credit losses over the life of the asset</w:t>
            </w:r>
          </w:p>
        </w:tc>
      </w:tr>
      <w:tr w:rsidR="00331FED" w:rsidRPr="00E60FFF" w14:paraId="582C8075" w14:textId="77777777" w:rsidTr="008D54EC">
        <w:trPr>
          <w:trHeight w:val="255"/>
        </w:trPr>
        <w:tc>
          <w:tcPr>
            <w:tcW w:w="3080" w:type="dxa"/>
            <w:tcBorders>
              <w:top w:val="nil"/>
              <w:left w:val="nil"/>
              <w:bottom w:val="nil"/>
              <w:right w:val="dashed" w:sz="4" w:space="0" w:color="auto"/>
            </w:tcBorders>
            <w:shd w:val="clear" w:color="auto" w:fill="auto"/>
            <w:vAlign w:val="center"/>
            <w:hideMark/>
          </w:tcPr>
          <w:p w14:paraId="30CD4092" w14:textId="77777777" w:rsidR="00331FED" w:rsidRPr="007D770B" w:rsidRDefault="00331FED" w:rsidP="008D54EC">
            <w:pPr>
              <w:spacing w:after="0" w:line="240" w:lineRule="auto"/>
              <w:ind w:left="0"/>
              <w:jc w:val="left"/>
              <w:rPr>
                <w:rFonts w:ascii="Times New Roman" w:eastAsia="Times New Roman" w:hAnsi="Times New Roman"/>
                <w:color w:val="000000"/>
                <w:lang w:val="en-US"/>
              </w:rPr>
            </w:pPr>
          </w:p>
        </w:tc>
        <w:tc>
          <w:tcPr>
            <w:tcW w:w="3080" w:type="dxa"/>
            <w:tcBorders>
              <w:top w:val="nil"/>
              <w:left w:val="nil"/>
              <w:bottom w:val="nil"/>
              <w:right w:val="dashed" w:sz="4" w:space="0" w:color="auto"/>
            </w:tcBorders>
            <w:shd w:val="clear" w:color="auto" w:fill="auto"/>
            <w:vAlign w:val="center"/>
            <w:hideMark/>
          </w:tcPr>
          <w:p w14:paraId="4D32FC4D" w14:textId="77777777" w:rsidR="00331FED" w:rsidRPr="007D770B" w:rsidRDefault="00331FED" w:rsidP="008D54EC">
            <w:pPr>
              <w:spacing w:after="0" w:line="240" w:lineRule="auto"/>
              <w:ind w:left="0"/>
              <w:jc w:val="left"/>
              <w:rPr>
                <w:rFonts w:ascii="Times New Roman" w:eastAsia="Times New Roman" w:hAnsi="Times New Roman"/>
                <w:color w:val="000000"/>
                <w:lang w:val="en-US"/>
              </w:rPr>
            </w:pPr>
          </w:p>
        </w:tc>
        <w:tc>
          <w:tcPr>
            <w:tcW w:w="3080" w:type="dxa"/>
            <w:tcBorders>
              <w:top w:val="nil"/>
              <w:left w:val="nil"/>
              <w:bottom w:val="nil"/>
              <w:right w:val="nil"/>
            </w:tcBorders>
            <w:shd w:val="clear" w:color="auto" w:fill="auto"/>
            <w:vAlign w:val="center"/>
            <w:hideMark/>
          </w:tcPr>
          <w:p w14:paraId="3805F8F4" w14:textId="77777777" w:rsidR="00331FED" w:rsidRPr="007D770B" w:rsidRDefault="00331FED" w:rsidP="008D54EC">
            <w:pPr>
              <w:spacing w:after="0" w:line="240" w:lineRule="auto"/>
              <w:ind w:left="0"/>
              <w:jc w:val="left"/>
              <w:rPr>
                <w:rFonts w:ascii="Times New Roman" w:eastAsia="Times New Roman" w:hAnsi="Times New Roman"/>
                <w:color w:val="000000"/>
                <w:lang w:val="en-US"/>
              </w:rPr>
            </w:pPr>
          </w:p>
        </w:tc>
      </w:tr>
      <w:tr w:rsidR="00331FED" w:rsidRPr="00D470B4" w14:paraId="67139B27" w14:textId="77777777" w:rsidTr="008D54EC">
        <w:trPr>
          <w:trHeight w:val="255"/>
        </w:trPr>
        <w:tc>
          <w:tcPr>
            <w:tcW w:w="3080" w:type="dxa"/>
            <w:tcBorders>
              <w:top w:val="nil"/>
              <w:left w:val="nil"/>
              <w:bottom w:val="nil"/>
              <w:right w:val="dashed" w:sz="4" w:space="0" w:color="auto"/>
            </w:tcBorders>
            <w:shd w:val="clear" w:color="auto" w:fill="auto"/>
            <w:noWrap/>
            <w:vAlign w:val="bottom"/>
            <w:hideMark/>
          </w:tcPr>
          <w:p w14:paraId="3E48DDD9" w14:textId="77777777" w:rsidR="00331FED" w:rsidRPr="00D470B4" w:rsidRDefault="00331FED" w:rsidP="008D54EC">
            <w:pPr>
              <w:spacing w:after="0" w:line="240" w:lineRule="auto"/>
              <w:ind w:left="0"/>
              <w:jc w:val="left"/>
              <w:rPr>
                <w:rFonts w:ascii="Times New Roman" w:eastAsia="Times New Roman" w:hAnsi="Times New Roman"/>
                <w:b/>
                <w:bCs/>
                <w:color w:val="000000"/>
              </w:rPr>
            </w:pPr>
            <w:r w:rsidRPr="00D470B4">
              <w:rPr>
                <w:rFonts w:ascii="Times New Roman" w:eastAsia="Times New Roman" w:hAnsi="Times New Roman"/>
                <w:b/>
                <w:bCs/>
                <w:color w:val="000000"/>
              </w:rPr>
              <w:t>Interest income</w:t>
            </w:r>
          </w:p>
        </w:tc>
        <w:tc>
          <w:tcPr>
            <w:tcW w:w="3080" w:type="dxa"/>
            <w:tcBorders>
              <w:top w:val="nil"/>
              <w:left w:val="nil"/>
              <w:bottom w:val="nil"/>
              <w:right w:val="dashed" w:sz="4" w:space="0" w:color="auto"/>
            </w:tcBorders>
            <w:shd w:val="clear" w:color="auto" w:fill="auto"/>
            <w:noWrap/>
            <w:vAlign w:val="bottom"/>
            <w:hideMark/>
          </w:tcPr>
          <w:p w14:paraId="0C73A367" w14:textId="77777777" w:rsidR="00331FED" w:rsidRPr="00D470B4" w:rsidRDefault="00331FED" w:rsidP="008D54EC">
            <w:pPr>
              <w:spacing w:after="0" w:line="240" w:lineRule="auto"/>
              <w:ind w:left="0"/>
              <w:jc w:val="left"/>
              <w:rPr>
                <w:rFonts w:ascii="Times New Roman" w:eastAsia="Times New Roman" w:hAnsi="Times New Roman"/>
                <w:color w:val="000000"/>
              </w:rPr>
            </w:pPr>
          </w:p>
        </w:tc>
        <w:tc>
          <w:tcPr>
            <w:tcW w:w="3080" w:type="dxa"/>
            <w:tcBorders>
              <w:top w:val="nil"/>
              <w:left w:val="nil"/>
              <w:bottom w:val="nil"/>
              <w:right w:val="nil"/>
            </w:tcBorders>
            <w:shd w:val="clear" w:color="auto" w:fill="auto"/>
            <w:noWrap/>
            <w:vAlign w:val="bottom"/>
            <w:hideMark/>
          </w:tcPr>
          <w:p w14:paraId="4B506A87" w14:textId="77777777" w:rsidR="00331FED" w:rsidRPr="00D470B4" w:rsidRDefault="00331FED" w:rsidP="008D54EC">
            <w:pPr>
              <w:spacing w:after="0" w:line="240" w:lineRule="auto"/>
              <w:ind w:left="0"/>
              <w:jc w:val="left"/>
              <w:rPr>
                <w:rFonts w:ascii="Times New Roman" w:eastAsia="Times New Roman" w:hAnsi="Times New Roman"/>
                <w:color w:val="000000"/>
              </w:rPr>
            </w:pPr>
          </w:p>
        </w:tc>
      </w:tr>
      <w:tr w:rsidR="00331FED" w:rsidRPr="00E60FFF" w14:paraId="201D1EFB" w14:textId="77777777" w:rsidTr="008D54EC">
        <w:trPr>
          <w:trHeight w:val="765"/>
        </w:trPr>
        <w:tc>
          <w:tcPr>
            <w:tcW w:w="3080" w:type="dxa"/>
            <w:tcBorders>
              <w:top w:val="nil"/>
              <w:left w:val="nil"/>
              <w:bottom w:val="nil"/>
              <w:right w:val="dashed" w:sz="4" w:space="0" w:color="auto"/>
            </w:tcBorders>
            <w:shd w:val="clear" w:color="000000" w:fill="D9D9D9"/>
            <w:vAlign w:val="center"/>
            <w:hideMark/>
          </w:tcPr>
          <w:p w14:paraId="76340666" w14:textId="77777777" w:rsidR="00331FED" w:rsidRPr="007D770B" w:rsidRDefault="00331FED" w:rsidP="008D54EC">
            <w:pPr>
              <w:spacing w:after="0" w:line="240" w:lineRule="auto"/>
              <w:ind w:left="0"/>
              <w:jc w:val="left"/>
              <w:rPr>
                <w:rFonts w:ascii="Times New Roman" w:eastAsia="Times New Roman" w:hAnsi="Times New Roman"/>
                <w:color w:val="000000"/>
                <w:lang w:val="en-US"/>
              </w:rPr>
            </w:pPr>
            <w:r w:rsidRPr="007D770B">
              <w:rPr>
                <w:rFonts w:ascii="Times New Roman" w:eastAsia="Times New Roman" w:hAnsi="Times New Roman"/>
                <w:color w:val="000000"/>
                <w:lang w:val="en-US"/>
              </w:rPr>
              <w:t>Calculated at gross carrying amount</w:t>
            </w:r>
          </w:p>
        </w:tc>
        <w:tc>
          <w:tcPr>
            <w:tcW w:w="3080" w:type="dxa"/>
            <w:tcBorders>
              <w:top w:val="nil"/>
              <w:left w:val="nil"/>
              <w:bottom w:val="nil"/>
              <w:right w:val="dashed" w:sz="4" w:space="0" w:color="auto"/>
            </w:tcBorders>
            <w:shd w:val="clear" w:color="000000" w:fill="D9D9D9"/>
            <w:vAlign w:val="center"/>
            <w:hideMark/>
          </w:tcPr>
          <w:p w14:paraId="44E67216" w14:textId="77777777" w:rsidR="00331FED" w:rsidRPr="007D770B" w:rsidRDefault="00331FED" w:rsidP="008D54EC">
            <w:pPr>
              <w:spacing w:after="0" w:line="240" w:lineRule="auto"/>
              <w:ind w:left="0"/>
              <w:jc w:val="left"/>
              <w:rPr>
                <w:rFonts w:ascii="Times New Roman" w:eastAsia="Times New Roman" w:hAnsi="Times New Roman"/>
                <w:color w:val="000000"/>
                <w:lang w:val="en-US"/>
              </w:rPr>
            </w:pPr>
            <w:r w:rsidRPr="007D770B">
              <w:rPr>
                <w:rFonts w:ascii="Times New Roman" w:eastAsia="Times New Roman" w:hAnsi="Times New Roman"/>
                <w:color w:val="000000"/>
                <w:lang w:val="en-US"/>
              </w:rPr>
              <w:t>Calculated at gross carrying amount</w:t>
            </w:r>
          </w:p>
        </w:tc>
        <w:tc>
          <w:tcPr>
            <w:tcW w:w="3080" w:type="dxa"/>
            <w:tcBorders>
              <w:top w:val="nil"/>
              <w:left w:val="nil"/>
              <w:bottom w:val="nil"/>
              <w:right w:val="nil"/>
            </w:tcBorders>
            <w:shd w:val="clear" w:color="000000" w:fill="D9D9D9"/>
            <w:vAlign w:val="center"/>
            <w:hideMark/>
          </w:tcPr>
          <w:p w14:paraId="57B399B8" w14:textId="77777777" w:rsidR="00331FED" w:rsidRPr="007D770B" w:rsidRDefault="00331FED" w:rsidP="008D54EC">
            <w:pPr>
              <w:spacing w:after="0" w:line="240" w:lineRule="auto"/>
              <w:ind w:left="0"/>
              <w:jc w:val="left"/>
              <w:rPr>
                <w:rFonts w:ascii="Times New Roman" w:eastAsia="Times New Roman" w:hAnsi="Times New Roman"/>
                <w:color w:val="000000"/>
                <w:lang w:val="en-US"/>
              </w:rPr>
            </w:pPr>
            <w:r w:rsidRPr="007D770B">
              <w:rPr>
                <w:rFonts w:ascii="Times New Roman" w:eastAsia="Times New Roman" w:hAnsi="Times New Roman"/>
                <w:color w:val="000000"/>
                <w:lang w:val="en-US"/>
              </w:rPr>
              <w:t>Calculated at net book value (less expected losses)</w:t>
            </w:r>
          </w:p>
        </w:tc>
      </w:tr>
    </w:tbl>
    <w:p w14:paraId="183A55AF" w14:textId="77777777" w:rsidR="00331FED" w:rsidRPr="007D770B" w:rsidRDefault="00331FED" w:rsidP="00331FED">
      <w:pPr>
        <w:spacing w:line="240" w:lineRule="auto"/>
        <w:ind w:left="0"/>
        <w:rPr>
          <w:rFonts w:ascii="Times New Roman" w:hAnsi="Times New Roman"/>
          <w:iCs/>
          <w:lang w:val="en-US"/>
        </w:rPr>
      </w:pPr>
      <w:r>
        <w:rPr>
          <w:rFonts w:ascii="Times New Roman" w:hAnsi="Times New Roman"/>
          <w:iCs/>
        </w:rPr>
        <w:fldChar w:fldCharType="end"/>
      </w:r>
    </w:p>
    <w:p w14:paraId="10F5CD87" w14:textId="688F6581" w:rsidR="00331FED" w:rsidRPr="007D770B" w:rsidRDefault="00F214E3" w:rsidP="00331FED">
      <w:pPr>
        <w:pStyle w:val="21"/>
        <w:tabs>
          <w:tab w:val="clear" w:pos="1134"/>
        </w:tabs>
        <w:spacing w:after="240"/>
        <w:ind w:firstLine="0"/>
        <w:rPr>
          <w:sz w:val="20"/>
          <w:szCs w:val="20"/>
          <w:lang w:val="en-US"/>
        </w:rPr>
      </w:pPr>
      <w:r w:rsidRPr="007D770B">
        <w:rPr>
          <w:b/>
          <w:sz w:val="20"/>
          <w:szCs w:val="20"/>
          <w:lang w:val="en-US"/>
        </w:rPr>
        <w:t xml:space="preserve">Basket </w:t>
      </w:r>
      <w:r w:rsidR="00331FED" w:rsidRPr="007D770B">
        <w:rPr>
          <w:b/>
          <w:sz w:val="20"/>
          <w:szCs w:val="20"/>
          <w:lang w:val="en-US"/>
        </w:rPr>
        <w:t xml:space="preserve">1 </w:t>
      </w:r>
      <w:r w:rsidR="00331FED" w:rsidRPr="007D770B">
        <w:rPr>
          <w:sz w:val="20"/>
          <w:szCs w:val="20"/>
          <w:lang w:val="en-US"/>
        </w:rPr>
        <w:t>includes financial instruments that have not had a significant increase in credit risk since initial recognition or that have a low credit risk at the reporting date. These instruments recognize losses resulting from defaults that are probable within 12 months after the reporting date.</w:t>
      </w:r>
    </w:p>
    <w:p w14:paraId="40DA7B4D" w14:textId="0ED0C2AF" w:rsidR="00331FED" w:rsidRPr="007D770B" w:rsidRDefault="00F214E3" w:rsidP="00331FED">
      <w:pPr>
        <w:pStyle w:val="21"/>
        <w:tabs>
          <w:tab w:val="clear" w:pos="1134"/>
        </w:tabs>
        <w:spacing w:after="240"/>
        <w:ind w:firstLine="0"/>
        <w:rPr>
          <w:sz w:val="20"/>
          <w:szCs w:val="20"/>
          <w:lang w:val="en-US"/>
        </w:rPr>
      </w:pPr>
      <w:r w:rsidRPr="007D770B">
        <w:rPr>
          <w:b/>
          <w:sz w:val="20"/>
          <w:szCs w:val="20"/>
          <w:lang w:val="en-US"/>
        </w:rPr>
        <w:t xml:space="preserve">Basket </w:t>
      </w:r>
      <w:r w:rsidR="00331FED" w:rsidRPr="007D770B">
        <w:rPr>
          <w:b/>
          <w:sz w:val="20"/>
          <w:szCs w:val="20"/>
          <w:lang w:val="en-US"/>
        </w:rPr>
        <w:t xml:space="preserve">2 </w:t>
      </w:r>
      <w:r w:rsidR="00331FED" w:rsidRPr="007D770B">
        <w:rPr>
          <w:sz w:val="20"/>
          <w:szCs w:val="20"/>
          <w:lang w:val="en-US"/>
        </w:rPr>
        <w:t xml:space="preserve">includes financial instruments that </w:t>
      </w:r>
      <w:r w:rsidR="00EF21E2" w:rsidRPr="007D770B">
        <w:rPr>
          <w:sz w:val="20"/>
          <w:szCs w:val="20"/>
          <w:lang w:val="en-US"/>
        </w:rPr>
        <w:t xml:space="preserve">have a significant </w:t>
      </w:r>
      <w:r w:rsidR="00331FED" w:rsidRPr="007D770B">
        <w:rPr>
          <w:sz w:val="20"/>
          <w:szCs w:val="20"/>
          <w:lang w:val="en-US"/>
        </w:rPr>
        <w:t xml:space="preserve">increase in credit risk after initial recognition but for which there is no objective evidence of impairment. For these financial instruments, expected credit losses are recognized over the life of the asset, but interest income continues to be calculated on the gross carrying amount of the instrument. For financial assets that are more than 30 days overdue, a rebuttable presumption is applied that the credit risk of the </w:t>
      </w:r>
      <w:r w:rsidR="0087422C" w:rsidRPr="007D770B">
        <w:rPr>
          <w:sz w:val="20"/>
          <w:szCs w:val="20"/>
          <w:lang w:val="en-US"/>
        </w:rPr>
        <w:t xml:space="preserve">financial asset </w:t>
      </w:r>
      <w:r w:rsidR="00331FED" w:rsidRPr="007D770B">
        <w:rPr>
          <w:sz w:val="20"/>
          <w:szCs w:val="20"/>
          <w:lang w:val="en-US"/>
        </w:rPr>
        <w:t xml:space="preserve">has increased </w:t>
      </w:r>
      <w:r w:rsidR="0087422C" w:rsidRPr="007D770B">
        <w:rPr>
          <w:sz w:val="20"/>
          <w:szCs w:val="20"/>
          <w:lang w:val="en-US"/>
        </w:rPr>
        <w:t xml:space="preserve">significantly </w:t>
      </w:r>
      <w:r w:rsidR="00331FED" w:rsidRPr="007D770B">
        <w:rPr>
          <w:sz w:val="20"/>
          <w:szCs w:val="20"/>
          <w:lang w:val="en-US"/>
        </w:rPr>
        <w:t xml:space="preserve">since initial recognition. These assets are migrated to </w:t>
      </w:r>
      <w:r w:rsidRPr="007D770B">
        <w:rPr>
          <w:sz w:val="20"/>
          <w:szCs w:val="20"/>
          <w:lang w:val="en-US"/>
        </w:rPr>
        <w:t xml:space="preserve">Basket </w:t>
      </w:r>
      <w:r w:rsidR="00331FED" w:rsidRPr="007D770B">
        <w:rPr>
          <w:sz w:val="20"/>
          <w:szCs w:val="20"/>
          <w:lang w:val="en-US"/>
        </w:rPr>
        <w:t xml:space="preserve">2 unless the Bank has reasonable and supportable information that shows that the credit risk has not increased.  </w:t>
      </w:r>
    </w:p>
    <w:p w14:paraId="18B908D9" w14:textId="511B651F" w:rsidR="00331FED" w:rsidRPr="007D770B" w:rsidRDefault="00F214E3" w:rsidP="00331FED">
      <w:pPr>
        <w:pStyle w:val="21"/>
        <w:tabs>
          <w:tab w:val="clear" w:pos="1134"/>
        </w:tabs>
        <w:spacing w:after="240"/>
        <w:ind w:firstLine="0"/>
        <w:rPr>
          <w:sz w:val="20"/>
          <w:szCs w:val="20"/>
          <w:lang w:val="en-US"/>
        </w:rPr>
      </w:pPr>
      <w:r w:rsidRPr="007D770B">
        <w:rPr>
          <w:b/>
          <w:sz w:val="20"/>
          <w:szCs w:val="20"/>
          <w:lang w:val="en-US"/>
        </w:rPr>
        <w:lastRenderedPageBreak/>
        <w:t xml:space="preserve">Basket </w:t>
      </w:r>
      <w:r w:rsidR="00331FED" w:rsidRPr="007D770B">
        <w:rPr>
          <w:b/>
          <w:sz w:val="20"/>
          <w:szCs w:val="20"/>
          <w:lang w:val="en-US"/>
        </w:rPr>
        <w:t xml:space="preserve">3 </w:t>
      </w:r>
      <w:r w:rsidR="00331FED" w:rsidRPr="007D770B">
        <w:rPr>
          <w:sz w:val="20"/>
          <w:szCs w:val="20"/>
          <w:lang w:val="en-US"/>
        </w:rPr>
        <w:t xml:space="preserve">includes financial assets that have objective evidence of impairment at the reporting date. Expected credit losses on such financial instruments are recognized over the life of the asset and interest income is calculated on the net carrying amount of the instrument. The Bank applies a rebuttable presumption that default occurs no later than when a financial asset is 90 days past due and migrates to </w:t>
      </w:r>
      <w:r w:rsidRPr="007D770B">
        <w:rPr>
          <w:sz w:val="20"/>
          <w:szCs w:val="20"/>
          <w:lang w:val="en-US"/>
        </w:rPr>
        <w:t xml:space="preserve">Basket </w:t>
      </w:r>
      <w:r w:rsidR="00331FED" w:rsidRPr="007D770B">
        <w:rPr>
          <w:sz w:val="20"/>
          <w:szCs w:val="20"/>
          <w:lang w:val="en-US"/>
        </w:rPr>
        <w:t>3, unless the Bank has reasonable and supportable information demonstrating that it is more appropriate to use the default criterion of greater delay in payment.</w:t>
      </w:r>
    </w:p>
    <w:p w14:paraId="0D953870" w14:textId="629FD702" w:rsidR="00331FED" w:rsidRPr="007D770B" w:rsidRDefault="00331FED" w:rsidP="00331FED">
      <w:pPr>
        <w:pStyle w:val="21"/>
        <w:tabs>
          <w:tab w:val="clear" w:pos="1134"/>
        </w:tabs>
        <w:spacing w:after="240"/>
        <w:ind w:firstLine="0"/>
        <w:rPr>
          <w:sz w:val="20"/>
          <w:szCs w:val="20"/>
          <w:lang w:val="en-US"/>
        </w:rPr>
      </w:pPr>
      <w:r w:rsidRPr="007D770B">
        <w:rPr>
          <w:sz w:val="20"/>
          <w:szCs w:val="20"/>
          <w:lang w:val="en-US"/>
        </w:rPr>
        <w:t xml:space="preserve">At the date of recognition, financial assets are included in </w:t>
      </w:r>
      <w:r w:rsidR="00F214E3" w:rsidRPr="007D770B">
        <w:rPr>
          <w:sz w:val="20"/>
          <w:szCs w:val="20"/>
          <w:lang w:val="en-US"/>
        </w:rPr>
        <w:t xml:space="preserve">Basket </w:t>
      </w:r>
      <w:r w:rsidRPr="007D770B">
        <w:rPr>
          <w:sz w:val="20"/>
          <w:szCs w:val="20"/>
          <w:lang w:val="en-US"/>
        </w:rPr>
        <w:t xml:space="preserve">1, except for </w:t>
      </w:r>
      <w:r w:rsidR="00612EB5" w:rsidRPr="00D7101D">
        <w:rPr>
          <w:sz w:val="20"/>
          <w:szCs w:val="20"/>
          <w:lang w:val="en-US"/>
        </w:rPr>
        <w:t>POCI</w:t>
      </w:r>
    </w:p>
    <w:p w14:paraId="30A2DEBB" w14:textId="77777777" w:rsidR="00331FED" w:rsidRPr="007D770B" w:rsidRDefault="00331FED" w:rsidP="00331FED">
      <w:pPr>
        <w:pStyle w:val="21"/>
        <w:tabs>
          <w:tab w:val="clear" w:pos="1134"/>
        </w:tabs>
        <w:spacing w:after="240"/>
        <w:ind w:firstLine="0"/>
        <w:rPr>
          <w:sz w:val="20"/>
          <w:szCs w:val="20"/>
          <w:lang w:val="en-US"/>
        </w:rPr>
      </w:pPr>
      <w:r w:rsidRPr="007D770B">
        <w:rPr>
          <w:sz w:val="20"/>
          <w:szCs w:val="20"/>
          <w:lang w:val="en-US"/>
        </w:rPr>
        <w:t>The Bank performs an assessment using all available information, both qualitative and quantitative, to determine in advance whether there is a significant increase in credit risk:</w:t>
      </w:r>
    </w:p>
    <w:p w14:paraId="73476EB1" w14:textId="7089B966" w:rsidR="00331FED" w:rsidRPr="007D770B" w:rsidRDefault="00331FED" w:rsidP="00AE698A">
      <w:pPr>
        <w:pStyle w:val="IASBNormalnparaL1"/>
        <w:numPr>
          <w:ilvl w:val="0"/>
          <w:numId w:val="357"/>
        </w:numPr>
        <w:spacing w:before="0"/>
        <w:ind w:left="720"/>
        <w:rPr>
          <w:rFonts w:eastAsiaTheme="minorHAnsi"/>
          <w:sz w:val="20"/>
          <w:szCs w:val="24"/>
          <w:lang w:val="en-US"/>
        </w:rPr>
      </w:pPr>
      <w:r w:rsidRPr="007D770B">
        <w:rPr>
          <w:rFonts w:eastAsiaTheme="minorHAnsi"/>
          <w:sz w:val="20"/>
          <w:szCs w:val="24"/>
          <w:lang w:val="en-US" w:eastAsia="en-US"/>
        </w:rPr>
        <w:t xml:space="preserve">Backstop indicator - if more than 30 days overdue, the Bank places loans in </w:t>
      </w:r>
      <w:r w:rsidR="00F214E3" w:rsidRPr="007D770B">
        <w:rPr>
          <w:rFonts w:eastAsiaTheme="minorHAnsi"/>
          <w:sz w:val="20"/>
          <w:szCs w:val="24"/>
          <w:lang w:val="en-US" w:eastAsia="en-US"/>
        </w:rPr>
        <w:t xml:space="preserve">Basket </w:t>
      </w:r>
      <w:r w:rsidRPr="007D770B">
        <w:rPr>
          <w:rFonts w:eastAsiaTheme="minorHAnsi"/>
          <w:sz w:val="20"/>
          <w:szCs w:val="24"/>
          <w:lang w:val="en-US" w:eastAsia="en-US"/>
        </w:rPr>
        <w:t xml:space="preserve">2; if more than 90 days overdue, the Bank places loans in </w:t>
      </w:r>
      <w:r w:rsidR="00F214E3" w:rsidRPr="007D770B">
        <w:rPr>
          <w:rFonts w:eastAsiaTheme="minorHAnsi"/>
          <w:sz w:val="20"/>
          <w:szCs w:val="24"/>
          <w:lang w:val="en-US" w:eastAsia="en-US"/>
        </w:rPr>
        <w:t xml:space="preserve">Basket </w:t>
      </w:r>
      <w:r w:rsidRPr="007D770B">
        <w:rPr>
          <w:rFonts w:eastAsiaTheme="minorHAnsi"/>
          <w:sz w:val="20"/>
          <w:szCs w:val="24"/>
          <w:lang w:val="en-US" w:eastAsia="en-US"/>
        </w:rPr>
        <w:t>3;</w:t>
      </w:r>
    </w:p>
    <w:p w14:paraId="166E7670" w14:textId="6E9A8034" w:rsidR="00331FED" w:rsidRPr="007D770B" w:rsidRDefault="00331FED" w:rsidP="00AE698A">
      <w:pPr>
        <w:pStyle w:val="IASBNormalnparaL1"/>
        <w:numPr>
          <w:ilvl w:val="0"/>
          <w:numId w:val="357"/>
        </w:numPr>
        <w:spacing w:before="0"/>
        <w:ind w:left="720"/>
        <w:rPr>
          <w:rFonts w:eastAsiaTheme="minorHAnsi"/>
          <w:sz w:val="20"/>
          <w:szCs w:val="24"/>
          <w:lang w:val="en-US"/>
        </w:rPr>
      </w:pPr>
      <w:r w:rsidRPr="007D770B">
        <w:rPr>
          <w:rFonts w:eastAsiaTheme="minorHAnsi"/>
          <w:sz w:val="20"/>
          <w:szCs w:val="24"/>
          <w:lang w:val="en-US" w:eastAsia="en-US"/>
        </w:rPr>
        <w:t>Qualitative analysis - financial assets for which there is no backstop indicator are subject to further qualitative analysis</w:t>
      </w:r>
      <w:r w:rsidR="00AB3948" w:rsidRPr="007D770B">
        <w:rPr>
          <w:rFonts w:eastAsiaTheme="minorHAnsi"/>
          <w:sz w:val="20"/>
          <w:szCs w:val="24"/>
          <w:lang w:val="en-US" w:eastAsia="en-US"/>
        </w:rPr>
        <w:t xml:space="preserve">. </w:t>
      </w:r>
      <w:r w:rsidRPr="007D770B">
        <w:rPr>
          <w:rFonts w:eastAsiaTheme="minorHAnsi"/>
          <w:sz w:val="20"/>
          <w:szCs w:val="24"/>
          <w:lang w:val="en-US" w:eastAsia="en-US"/>
        </w:rPr>
        <w:t xml:space="preserve">If the Bank has identified financial assets that meet the qualitative characteristics of </w:t>
      </w:r>
      <w:r w:rsidR="00EF21E2" w:rsidRPr="007D770B">
        <w:rPr>
          <w:rFonts w:eastAsiaTheme="minorHAnsi"/>
          <w:sz w:val="20"/>
          <w:szCs w:val="24"/>
          <w:lang w:val="en-US" w:eastAsia="en-US"/>
        </w:rPr>
        <w:t>an increase in credit risk</w:t>
      </w:r>
      <w:r w:rsidRPr="007D770B">
        <w:rPr>
          <w:rFonts w:eastAsiaTheme="minorHAnsi"/>
          <w:sz w:val="20"/>
          <w:szCs w:val="24"/>
          <w:lang w:val="en-US" w:eastAsia="en-US"/>
        </w:rPr>
        <w:t xml:space="preserve">, these loans are included in </w:t>
      </w:r>
      <w:r w:rsidR="00F214E3" w:rsidRPr="007D770B">
        <w:rPr>
          <w:rFonts w:eastAsiaTheme="minorHAnsi"/>
          <w:sz w:val="20"/>
          <w:szCs w:val="24"/>
          <w:lang w:val="en-US" w:eastAsia="en-US"/>
        </w:rPr>
        <w:t xml:space="preserve">Basket </w:t>
      </w:r>
      <w:r w:rsidRPr="007D770B">
        <w:rPr>
          <w:rFonts w:eastAsiaTheme="minorHAnsi"/>
          <w:sz w:val="20"/>
          <w:szCs w:val="24"/>
          <w:lang w:val="en-US" w:eastAsia="en-US"/>
        </w:rPr>
        <w:t>2.</w:t>
      </w:r>
    </w:p>
    <w:p w14:paraId="26C25D2A" w14:textId="3835385D" w:rsidR="00331FED" w:rsidRPr="007D770B" w:rsidRDefault="00331FED" w:rsidP="00AE698A">
      <w:pPr>
        <w:pStyle w:val="IASBNormalnparaL1"/>
        <w:numPr>
          <w:ilvl w:val="0"/>
          <w:numId w:val="357"/>
        </w:numPr>
        <w:spacing w:before="0"/>
        <w:ind w:left="720"/>
        <w:rPr>
          <w:sz w:val="20"/>
          <w:szCs w:val="20"/>
          <w:lang w:val="en-US"/>
        </w:rPr>
      </w:pPr>
      <w:r w:rsidRPr="007D770B">
        <w:rPr>
          <w:rFonts w:eastAsiaTheme="minorHAnsi"/>
          <w:sz w:val="20"/>
          <w:szCs w:val="24"/>
          <w:lang w:val="en-US" w:eastAsia="en-US"/>
        </w:rPr>
        <w:t xml:space="preserve">Quantitative analysis - if the changes in PD for a financial asset are greater than a certain threshold, these financial assets are assigned to </w:t>
      </w:r>
      <w:r w:rsidR="00F214E3" w:rsidRPr="007D770B">
        <w:rPr>
          <w:rFonts w:eastAsiaTheme="minorHAnsi"/>
          <w:sz w:val="20"/>
          <w:szCs w:val="24"/>
          <w:lang w:val="en-US" w:eastAsia="en-US"/>
        </w:rPr>
        <w:t xml:space="preserve">Basket </w:t>
      </w:r>
      <w:r w:rsidRPr="007D770B">
        <w:rPr>
          <w:rFonts w:eastAsiaTheme="minorHAnsi"/>
          <w:sz w:val="20"/>
          <w:szCs w:val="24"/>
          <w:lang w:val="en-US" w:eastAsia="en-US"/>
        </w:rPr>
        <w:t>2.</w:t>
      </w:r>
    </w:p>
    <w:p w14:paraId="097CC9C3" w14:textId="77777777" w:rsidR="00331FED" w:rsidRPr="007D770B" w:rsidRDefault="00331FED" w:rsidP="00331FED">
      <w:pPr>
        <w:pStyle w:val="IASBNormalnparaL1"/>
        <w:spacing w:before="0"/>
        <w:ind w:left="720" w:firstLine="0"/>
        <w:rPr>
          <w:sz w:val="20"/>
          <w:szCs w:val="20"/>
          <w:lang w:val="en-US"/>
        </w:rPr>
      </w:pPr>
    </w:p>
    <w:p w14:paraId="33464EF1" w14:textId="56B32C37" w:rsidR="00331FED" w:rsidRPr="007D770B" w:rsidRDefault="00331FED" w:rsidP="00EA09E9">
      <w:pPr>
        <w:spacing w:after="160" w:line="259" w:lineRule="auto"/>
        <w:ind w:left="0"/>
        <w:rPr>
          <w:rFonts w:ascii="Times New Roman" w:hAnsi="Times New Roman"/>
          <w:lang w:val="en-US"/>
        </w:rPr>
      </w:pPr>
      <w:r w:rsidRPr="007D770B">
        <w:rPr>
          <w:rFonts w:ascii="Times New Roman" w:hAnsi="Times New Roman"/>
          <w:lang w:val="en-US"/>
        </w:rPr>
        <w:t xml:space="preserve">For the </w:t>
      </w:r>
      <w:r w:rsidR="0087422C" w:rsidRPr="007D770B">
        <w:rPr>
          <w:rFonts w:ascii="Times New Roman" w:hAnsi="Times New Roman"/>
          <w:lang w:val="en-US"/>
        </w:rPr>
        <w:t xml:space="preserve">purposes of determining significant </w:t>
      </w:r>
      <w:r w:rsidRPr="007D770B">
        <w:rPr>
          <w:rFonts w:ascii="Times New Roman" w:hAnsi="Times New Roman"/>
          <w:lang w:val="en-US"/>
        </w:rPr>
        <w:t xml:space="preserve">increases in credit risk and recognizing a loss allowance on a collective basis, the Bank groups financial instruments on the basis of common credit risk characteristics in order to facilitate analysis that ensures </w:t>
      </w:r>
      <w:r w:rsidR="0087422C" w:rsidRPr="007D770B">
        <w:rPr>
          <w:rFonts w:ascii="Times New Roman" w:hAnsi="Times New Roman"/>
          <w:lang w:val="en-US"/>
        </w:rPr>
        <w:t xml:space="preserve">timely identification of significant </w:t>
      </w:r>
      <w:r w:rsidRPr="007D770B">
        <w:rPr>
          <w:rFonts w:ascii="Times New Roman" w:hAnsi="Times New Roman"/>
          <w:lang w:val="en-US"/>
        </w:rPr>
        <w:t xml:space="preserve">increases in credit risk. </w:t>
      </w:r>
    </w:p>
    <w:p w14:paraId="2B4F4A18" w14:textId="7440E149" w:rsidR="00331FED" w:rsidRPr="007D770B" w:rsidRDefault="00331FED" w:rsidP="00331FED">
      <w:pPr>
        <w:spacing w:line="259" w:lineRule="auto"/>
        <w:ind w:left="0"/>
        <w:rPr>
          <w:rFonts w:ascii="Times New Roman" w:hAnsi="Times New Roman"/>
          <w:lang w:val="en-US"/>
        </w:rPr>
      </w:pPr>
      <w:r w:rsidRPr="007D770B">
        <w:rPr>
          <w:rFonts w:ascii="Times New Roman" w:hAnsi="Times New Roman"/>
          <w:lang w:val="en-US"/>
        </w:rPr>
        <w:t xml:space="preserve">Reversal of impairment provision is recognized in the statement of profit or loss for </w:t>
      </w:r>
      <w:r w:rsidR="009E3EBB" w:rsidRPr="007D770B">
        <w:rPr>
          <w:rFonts w:ascii="Times New Roman" w:hAnsi="Times New Roman"/>
          <w:lang w:val="en-US"/>
        </w:rPr>
        <w:t xml:space="preserve">both </w:t>
      </w:r>
      <w:r w:rsidRPr="007D770B">
        <w:rPr>
          <w:rFonts w:ascii="Times New Roman" w:hAnsi="Times New Roman"/>
          <w:lang w:val="en-US"/>
        </w:rPr>
        <w:t xml:space="preserve">financial assets measured at amortized cost </w:t>
      </w:r>
      <w:r w:rsidR="009E3EBB" w:rsidRPr="007D770B">
        <w:rPr>
          <w:rFonts w:ascii="Times New Roman" w:hAnsi="Times New Roman"/>
          <w:lang w:val="en-US"/>
        </w:rPr>
        <w:t xml:space="preserve">and </w:t>
      </w:r>
      <w:r w:rsidRPr="007D770B">
        <w:rPr>
          <w:rFonts w:ascii="Times New Roman" w:hAnsi="Times New Roman"/>
          <w:lang w:val="en-US"/>
        </w:rPr>
        <w:t>financial assets at fair value through other comprehensive income.</w:t>
      </w:r>
    </w:p>
    <w:p w14:paraId="1BDA4CB1" w14:textId="1DD83BAF" w:rsidR="00331FED" w:rsidRPr="007D770B" w:rsidRDefault="00331FED" w:rsidP="00331FED">
      <w:pPr>
        <w:spacing w:line="259" w:lineRule="auto"/>
        <w:ind w:left="0"/>
        <w:rPr>
          <w:rFonts w:ascii="Times New Roman" w:hAnsi="Times New Roman"/>
          <w:lang w:val="en-US"/>
        </w:rPr>
      </w:pPr>
      <w:r w:rsidRPr="007D770B">
        <w:rPr>
          <w:rFonts w:ascii="Times New Roman" w:hAnsi="Times New Roman"/>
          <w:lang w:val="en-US"/>
        </w:rPr>
        <w:t xml:space="preserve">The recoverable amount is limited so as not to exceed the </w:t>
      </w:r>
      <w:r w:rsidR="009E3EBB" w:rsidRPr="007D770B">
        <w:rPr>
          <w:rFonts w:ascii="Times New Roman" w:hAnsi="Times New Roman"/>
          <w:lang w:val="en-US"/>
        </w:rPr>
        <w:t xml:space="preserve">gross </w:t>
      </w:r>
      <w:r w:rsidRPr="007D770B">
        <w:rPr>
          <w:rFonts w:ascii="Times New Roman" w:hAnsi="Times New Roman"/>
          <w:lang w:val="en-US"/>
        </w:rPr>
        <w:t>amortized cost of the related asset recorded in the statement of financial position.</w:t>
      </w:r>
    </w:p>
    <w:p w14:paraId="20BCF134" w14:textId="77777777" w:rsidR="00331FED" w:rsidRPr="007D770B" w:rsidRDefault="00331FED" w:rsidP="00331FED">
      <w:pPr>
        <w:spacing w:line="259" w:lineRule="auto"/>
        <w:ind w:left="0"/>
        <w:rPr>
          <w:rFonts w:ascii="Times New Roman" w:hAnsi="Times New Roman"/>
          <w:b/>
          <w:i/>
          <w:lang w:val="en-US"/>
        </w:rPr>
      </w:pPr>
      <w:r w:rsidRPr="007D770B">
        <w:rPr>
          <w:rFonts w:ascii="Times New Roman" w:hAnsi="Times New Roman"/>
          <w:b/>
          <w:i/>
          <w:lang w:val="en-US"/>
        </w:rPr>
        <w:t>Loans issued by the Bank</w:t>
      </w:r>
    </w:p>
    <w:p w14:paraId="0B7E15A3" w14:textId="25357E76" w:rsidR="00331FED" w:rsidRPr="007D770B" w:rsidRDefault="00331FED" w:rsidP="00331FED">
      <w:pPr>
        <w:spacing w:after="0" w:line="259" w:lineRule="auto"/>
        <w:ind w:left="0"/>
        <w:rPr>
          <w:rFonts w:ascii="Times New Roman" w:hAnsi="Times New Roman"/>
          <w:lang w:val="en-US"/>
        </w:rPr>
      </w:pPr>
      <w:r w:rsidRPr="007D770B">
        <w:rPr>
          <w:rFonts w:ascii="Times New Roman" w:hAnsi="Times New Roman"/>
          <w:lang w:val="en-US"/>
        </w:rPr>
        <w:t xml:space="preserve">The Bank provides </w:t>
      </w:r>
      <w:r w:rsidR="00942B44" w:rsidRPr="007D770B">
        <w:rPr>
          <w:rFonts w:ascii="Times New Roman" w:hAnsi="Times New Roman"/>
          <w:lang w:val="en-US"/>
        </w:rPr>
        <w:t xml:space="preserve">targeted </w:t>
      </w:r>
      <w:r w:rsidRPr="007D770B">
        <w:rPr>
          <w:rFonts w:ascii="Times New Roman" w:hAnsi="Times New Roman"/>
          <w:lang w:val="en-US"/>
        </w:rPr>
        <w:t xml:space="preserve">loans to individuals </w:t>
      </w:r>
      <w:r w:rsidR="00942B44" w:rsidRPr="007D770B">
        <w:rPr>
          <w:rFonts w:ascii="Times New Roman" w:hAnsi="Times New Roman"/>
          <w:lang w:val="en-US"/>
        </w:rPr>
        <w:t>improve their housing conditions</w:t>
      </w:r>
      <w:r w:rsidRPr="007D770B">
        <w:rPr>
          <w:rFonts w:ascii="Times New Roman" w:hAnsi="Times New Roman"/>
          <w:lang w:val="en-US"/>
        </w:rPr>
        <w:t>. To segregate loans by credit risk, the Bank segments the loan portfolio into the following categories:</w:t>
      </w:r>
    </w:p>
    <w:p w14:paraId="7F10B519" w14:textId="77777777" w:rsidR="00331FED" w:rsidRPr="00037C89" w:rsidRDefault="00331FED" w:rsidP="00AE698A">
      <w:pPr>
        <w:pStyle w:val="aa"/>
        <w:numPr>
          <w:ilvl w:val="0"/>
          <w:numId w:val="361"/>
        </w:numPr>
        <w:spacing w:after="0" w:line="259" w:lineRule="auto"/>
        <w:rPr>
          <w:rFonts w:ascii="Times New Roman" w:hAnsi="Times New Roman"/>
        </w:rPr>
      </w:pPr>
      <w:r w:rsidRPr="00037C89">
        <w:rPr>
          <w:rFonts w:ascii="Times New Roman" w:hAnsi="Times New Roman"/>
        </w:rPr>
        <w:t>Interim Loan,</w:t>
      </w:r>
    </w:p>
    <w:p w14:paraId="3F008AB3" w14:textId="77777777" w:rsidR="00331FED" w:rsidRPr="00037C89" w:rsidRDefault="00331FED" w:rsidP="00AE698A">
      <w:pPr>
        <w:pStyle w:val="aa"/>
        <w:numPr>
          <w:ilvl w:val="0"/>
          <w:numId w:val="361"/>
        </w:numPr>
        <w:spacing w:after="0" w:line="259" w:lineRule="auto"/>
        <w:rPr>
          <w:rFonts w:ascii="Times New Roman" w:hAnsi="Times New Roman"/>
        </w:rPr>
      </w:pPr>
      <w:r w:rsidRPr="00037C89">
        <w:rPr>
          <w:rFonts w:ascii="Times New Roman" w:hAnsi="Times New Roman"/>
        </w:rPr>
        <w:t>Advance Loan,</w:t>
      </w:r>
    </w:p>
    <w:p w14:paraId="12D5D05E" w14:textId="77777777" w:rsidR="00331FED" w:rsidRPr="007D770B" w:rsidRDefault="00331FED" w:rsidP="00AE698A">
      <w:pPr>
        <w:pStyle w:val="aa"/>
        <w:numPr>
          <w:ilvl w:val="0"/>
          <w:numId w:val="361"/>
        </w:numPr>
        <w:spacing w:after="0" w:line="259" w:lineRule="auto"/>
        <w:rPr>
          <w:rFonts w:ascii="Times New Roman" w:hAnsi="Times New Roman"/>
          <w:lang w:val="en-US"/>
        </w:rPr>
      </w:pPr>
      <w:r w:rsidRPr="007D770B">
        <w:rPr>
          <w:rFonts w:ascii="Times New Roman" w:hAnsi="Times New Roman"/>
          <w:lang w:val="en-US"/>
        </w:rPr>
        <w:t>Intermediate_Housing Loan: A housing loan in the past classified as Intermediate,</w:t>
      </w:r>
    </w:p>
    <w:p w14:paraId="2FA769BC" w14:textId="77777777" w:rsidR="00331FED" w:rsidRPr="007D770B" w:rsidRDefault="00331FED" w:rsidP="00AE698A">
      <w:pPr>
        <w:pStyle w:val="aa"/>
        <w:numPr>
          <w:ilvl w:val="0"/>
          <w:numId w:val="361"/>
        </w:numPr>
        <w:spacing w:after="0" w:line="259" w:lineRule="auto"/>
        <w:rPr>
          <w:rFonts w:ascii="Times New Roman" w:hAnsi="Times New Roman"/>
          <w:lang w:val="en-US"/>
        </w:rPr>
      </w:pPr>
      <w:r w:rsidRPr="007D770B">
        <w:rPr>
          <w:rFonts w:ascii="Times New Roman" w:hAnsi="Times New Roman"/>
          <w:lang w:val="en-US"/>
        </w:rPr>
        <w:t>Preliminary_Housing Loan: A housing loan in the past classified as Preliminary,</w:t>
      </w:r>
    </w:p>
    <w:p w14:paraId="449024FE" w14:textId="72CCA392" w:rsidR="00331FED" w:rsidRPr="007D770B" w:rsidRDefault="00331FED" w:rsidP="00AE698A">
      <w:pPr>
        <w:pStyle w:val="aa"/>
        <w:numPr>
          <w:ilvl w:val="0"/>
          <w:numId w:val="361"/>
        </w:numPr>
        <w:spacing w:line="259" w:lineRule="auto"/>
        <w:rPr>
          <w:rFonts w:ascii="Times New Roman" w:hAnsi="Times New Roman"/>
          <w:lang w:val="en-US"/>
        </w:rPr>
      </w:pPr>
      <w:r w:rsidRPr="007D770B">
        <w:rPr>
          <w:rFonts w:ascii="Times New Roman" w:hAnsi="Times New Roman"/>
          <w:lang w:val="en-US"/>
        </w:rPr>
        <w:t xml:space="preserve">Housing_Housing_Housing Loan: a </w:t>
      </w:r>
      <w:r w:rsidR="00320373" w:rsidRPr="007D770B">
        <w:rPr>
          <w:rFonts w:ascii="Times New Roman" w:hAnsi="Times New Roman"/>
          <w:lang w:val="en-US"/>
        </w:rPr>
        <w:t xml:space="preserve">loan </w:t>
      </w:r>
      <w:r w:rsidRPr="007D770B">
        <w:rPr>
          <w:rFonts w:ascii="Times New Roman" w:hAnsi="Times New Roman"/>
          <w:lang w:val="en-US"/>
        </w:rPr>
        <w:t>originally recognized as a Housing Loan.</w:t>
      </w:r>
    </w:p>
    <w:p w14:paraId="162ECF44" w14:textId="77777777" w:rsidR="00CE74D1" w:rsidRDefault="00CE74D1" w:rsidP="00CE74D1">
      <w:pPr>
        <w:spacing w:after="0" w:line="259" w:lineRule="auto"/>
        <w:ind w:left="0"/>
        <w:rPr>
          <w:rFonts w:ascii="Times New Roman" w:hAnsi="Times New Roman"/>
        </w:rPr>
      </w:pPr>
      <w:r w:rsidRPr="007D770B">
        <w:rPr>
          <w:rFonts w:ascii="Times New Roman" w:hAnsi="Times New Roman"/>
          <w:lang w:val="en-US"/>
        </w:rPr>
        <w:t xml:space="preserve">The Bank considers both qualitative and quantitative factors in assessing whether there is a significant increase in the credit risk of loans issued. </w:t>
      </w:r>
      <w:r>
        <w:rPr>
          <w:rFonts w:ascii="Times New Roman" w:hAnsi="Times New Roman"/>
        </w:rPr>
        <w:t>The Bank considers the following qualitative factors:</w:t>
      </w:r>
    </w:p>
    <w:p w14:paraId="1CD22737" w14:textId="13FB199F" w:rsidR="00CE74D1" w:rsidRPr="007D770B" w:rsidRDefault="00CE74D1" w:rsidP="00AE698A">
      <w:pPr>
        <w:pStyle w:val="aa"/>
        <w:numPr>
          <w:ilvl w:val="0"/>
          <w:numId w:val="362"/>
        </w:numPr>
        <w:spacing w:after="0" w:line="259" w:lineRule="auto"/>
        <w:ind w:left="720"/>
        <w:rPr>
          <w:rFonts w:ascii="Times New Roman" w:hAnsi="Times New Roman"/>
          <w:lang w:val="en-US"/>
        </w:rPr>
      </w:pPr>
      <w:r w:rsidRPr="007D770B">
        <w:rPr>
          <w:rFonts w:ascii="Times New Roman" w:hAnsi="Times New Roman"/>
          <w:lang w:val="en-US"/>
        </w:rPr>
        <w:t xml:space="preserve">credit history on loans for the last 12 months: if during this period there were delinquencies over 30 </w:t>
      </w:r>
      <w:r w:rsidR="00EA09E9" w:rsidRPr="007D770B">
        <w:rPr>
          <w:rFonts w:ascii="Times New Roman" w:hAnsi="Times New Roman"/>
          <w:lang w:val="en-US"/>
        </w:rPr>
        <w:t xml:space="preserve">calendar </w:t>
      </w:r>
      <w:r w:rsidRPr="007D770B">
        <w:rPr>
          <w:rFonts w:ascii="Times New Roman" w:hAnsi="Times New Roman"/>
          <w:lang w:val="en-US"/>
        </w:rPr>
        <w:t xml:space="preserve">days, if there were repeated delinquencies (3 or more times) from 15 to 30 </w:t>
      </w:r>
      <w:r w:rsidR="00EA09E9" w:rsidRPr="007D770B">
        <w:rPr>
          <w:rFonts w:ascii="Times New Roman" w:hAnsi="Times New Roman"/>
          <w:lang w:val="en-US"/>
        </w:rPr>
        <w:t xml:space="preserve">calendar </w:t>
      </w:r>
      <w:r w:rsidRPr="007D770B">
        <w:rPr>
          <w:rFonts w:ascii="Times New Roman" w:hAnsi="Times New Roman"/>
          <w:lang w:val="en-US"/>
        </w:rPr>
        <w:t xml:space="preserve">days </w:t>
      </w:r>
      <w:r w:rsidR="00EA09E9" w:rsidRPr="007D770B">
        <w:rPr>
          <w:rFonts w:ascii="Times New Roman" w:hAnsi="Times New Roman"/>
          <w:lang w:val="en-US"/>
        </w:rPr>
        <w:t>(inclusive)</w:t>
      </w:r>
      <w:r w:rsidRPr="007D770B">
        <w:rPr>
          <w:rFonts w:ascii="Times New Roman" w:hAnsi="Times New Roman"/>
          <w:lang w:val="en-US"/>
        </w:rPr>
        <w:t>;</w:t>
      </w:r>
    </w:p>
    <w:p w14:paraId="453735B5" w14:textId="67C1C335" w:rsidR="00CE74D1" w:rsidRPr="007D770B" w:rsidRDefault="00CE74D1" w:rsidP="00AE698A">
      <w:pPr>
        <w:pStyle w:val="aa"/>
        <w:numPr>
          <w:ilvl w:val="0"/>
          <w:numId w:val="362"/>
        </w:numPr>
        <w:spacing w:after="0" w:line="259" w:lineRule="auto"/>
        <w:ind w:left="720"/>
        <w:rPr>
          <w:rFonts w:ascii="Times New Roman" w:hAnsi="Times New Roman"/>
          <w:lang w:val="en-US"/>
        </w:rPr>
      </w:pPr>
      <w:r w:rsidRPr="007D770B">
        <w:rPr>
          <w:rFonts w:ascii="Times New Roman" w:hAnsi="Times New Roman"/>
          <w:lang w:val="en-US"/>
        </w:rPr>
        <w:t>loans on which restructuring measures were applied</w:t>
      </w:r>
      <w:r w:rsidR="00EA09E9" w:rsidRPr="007D770B">
        <w:rPr>
          <w:rFonts w:ascii="Times New Roman" w:hAnsi="Times New Roman"/>
          <w:lang w:val="en-US"/>
        </w:rPr>
        <w:t>. Such loans will remain in Basket 2 for 3 months from the date of transfer from Basket 3</w:t>
      </w:r>
      <w:r w:rsidRPr="007D770B">
        <w:rPr>
          <w:rFonts w:ascii="Times New Roman" w:hAnsi="Times New Roman"/>
          <w:lang w:val="en-US"/>
        </w:rPr>
        <w:t>;</w:t>
      </w:r>
    </w:p>
    <w:p w14:paraId="72143A97" w14:textId="4AECB85A" w:rsidR="00CE74D1" w:rsidRPr="007D770B" w:rsidRDefault="00CE74D1" w:rsidP="00AE698A">
      <w:pPr>
        <w:pStyle w:val="aa"/>
        <w:numPr>
          <w:ilvl w:val="0"/>
          <w:numId w:val="362"/>
        </w:numPr>
        <w:spacing w:after="0" w:line="259" w:lineRule="auto"/>
        <w:ind w:left="720"/>
        <w:rPr>
          <w:rFonts w:ascii="Times New Roman" w:hAnsi="Times New Roman"/>
          <w:lang w:val="en-US"/>
        </w:rPr>
      </w:pPr>
      <w:r w:rsidRPr="007D770B">
        <w:rPr>
          <w:rFonts w:ascii="Times New Roman" w:hAnsi="Times New Roman"/>
          <w:lang w:val="en-US"/>
        </w:rPr>
        <w:t xml:space="preserve">borrowers for which write-offs were made under payment requests-orders </w:t>
      </w:r>
      <w:r w:rsidR="00EA09E9" w:rsidRPr="007D770B">
        <w:rPr>
          <w:rFonts w:ascii="Times New Roman" w:hAnsi="Times New Roman"/>
          <w:lang w:val="en-US"/>
        </w:rPr>
        <w:t>and/or collection orders, from the date of submission and within 6 months from the date of write-off</w:t>
      </w:r>
      <w:r w:rsidRPr="007D770B">
        <w:rPr>
          <w:rFonts w:ascii="Times New Roman" w:hAnsi="Times New Roman"/>
          <w:lang w:val="en-US"/>
        </w:rPr>
        <w:t>;</w:t>
      </w:r>
    </w:p>
    <w:p w14:paraId="0D18AAE5" w14:textId="1EF410ED" w:rsidR="00CE74D1" w:rsidRPr="007D770B" w:rsidRDefault="00CE74D1" w:rsidP="00AE698A">
      <w:pPr>
        <w:pStyle w:val="aa"/>
        <w:numPr>
          <w:ilvl w:val="0"/>
          <w:numId w:val="362"/>
        </w:numPr>
        <w:spacing w:line="259" w:lineRule="auto"/>
        <w:ind w:left="720"/>
        <w:rPr>
          <w:rFonts w:ascii="Times New Roman" w:hAnsi="Times New Roman"/>
          <w:lang w:val="en-US"/>
        </w:rPr>
      </w:pPr>
      <w:r w:rsidRPr="007D770B">
        <w:rPr>
          <w:rFonts w:ascii="Times New Roman" w:hAnsi="Times New Roman"/>
          <w:lang w:val="en-US"/>
        </w:rPr>
        <w:t xml:space="preserve">loans for which there is a decrease in the market value of the </w:t>
      </w:r>
      <w:r w:rsidR="00C17A0A" w:rsidRPr="007D770B">
        <w:rPr>
          <w:rFonts w:ascii="Times New Roman" w:hAnsi="Times New Roman"/>
          <w:lang w:val="en-US"/>
        </w:rPr>
        <w:t xml:space="preserve">real estate pledged </w:t>
      </w:r>
      <w:r w:rsidRPr="007D770B">
        <w:rPr>
          <w:rFonts w:ascii="Times New Roman" w:hAnsi="Times New Roman"/>
          <w:lang w:val="en-US"/>
        </w:rPr>
        <w:t>as a result of revaluation.</w:t>
      </w:r>
    </w:p>
    <w:p w14:paraId="3E3519E2" w14:textId="0660C65F" w:rsidR="00CE74D1" w:rsidRPr="007D770B" w:rsidRDefault="00CE74D1" w:rsidP="00CE74D1">
      <w:pPr>
        <w:spacing w:line="259" w:lineRule="auto"/>
        <w:ind w:left="0"/>
        <w:rPr>
          <w:rFonts w:ascii="Times New Roman" w:hAnsi="Times New Roman"/>
          <w:i/>
          <w:lang w:val="en-US"/>
        </w:rPr>
      </w:pPr>
      <w:r w:rsidRPr="007D770B">
        <w:rPr>
          <w:rFonts w:ascii="Times New Roman" w:hAnsi="Times New Roman"/>
          <w:lang w:val="en-US"/>
        </w:rPr>
        <w:t>To perform the quantitative analysis, the Bank compares the probability of default (</w:t>
      </w:r>
      <w:r>
        <w:rPr>
          <w:rFonts w:ascii="Times New Roman" w:hAnsi="Times New Roman"/>
          <w:lang w:val="en-GB"/>
        </w:rPr>
        <w:t>PD</w:t>
      </w:r>
      <w:r w:rsidRPr="007D770B">
        <w:rPr>
          <w:rFonts w:ascii="Times New Roman" w:hAnsi="Times New Roman"/>
          <w:lang w:val="en-US"/>
        </w:rPr>
        <w:t>) ratio at the reporting date and at the date of initial recognition of the asset. The Bank considers the difference in PD over the expected life of the loan at the reporting date and at the date of initial recognition.</w:t>
      </w:r>
    </w:p>
    <w:p w14:paraId="68E7F9FD" w14:textId="77777777" w:rsidR="00331FED" w:rsidRPr="00FF77F3" w:rsidRDefault="00331FED" w:rsidP="00331FED">
      <w:pPr>
        <w:spacing w:line="259" w:lineRule="auto"/>
        <w:ind w:left="0"/>
        <w:rPr>
          <w:rFonts w:ascii="Times New Roman" w:hAnsi="Times New Roman"/>
          <w:i/>
        </w:rPr>
      </w:pPr>
      <w:r w:rsidRPr="00F71092">
        <w:rPr>
          <w:rFonts w:ascii="Times New Roman" w:hAnsi="Times New Roman"/>
          <w:i/>
        </w:rPr>
        <w:t>Risk parameters</w:t>
      </w:r>
    </w:p>
    <w:p w14:paraId="71C8EC8F" w14:textId="77777777" w:rsidR="00124457" w:rsidRPr="007D770B" w:rsidRDefault="00124457" w:rsidP="00AE698A">
      <w:pPr>
        <w:pStyle w:val="aa"/>
        <w:numPr>
          <w:ilvl w:val="0"/>
          <w:numId w:val="374"/>
        </w:numPr>
        <w:tabs>
          <w:tab w:val="left" w:pos="1080"/>
        </w:tabs>
        <w:spacing w:after="0" w:line="240" w:lineRule="auto"/>
        <w:ind w:left="0" w:firstLine="720"/>
        <w:contextualSpacing w:val="0"/>
        <w:rPr>
          <w:rFonts w:ascii="Times New Roman" w:hAnsi="Times New Roman"/>
          <w:lang w:val="en-US"/>
        </w:rPr>
      </w:pPr>
      <w:r w:rsidRPr="007D770B">
        <w:rPr>
          <w:rFonts w:ascii="Times New Roman" w:hAnsi="Times New Roman"/>
          <w:lang w:val="en-US"/>
        </w:rPr>
        <w:t>For the purpose of credit risk assessment the Bank determines the following risk parameters:</w:t>
      </w:r>
    </w:p>
    <w:p w14:paraId="1FEF3DDD" w14:textId="766CA4BA" w:rsidR="00124457" w:rsidRPr="00124457" w:rsidRDefault="00124457" w:rsidP="00124457">
      <w:pPr>
        <w:pStyle w:val="aa"/>
        <w:tabs>
          <w:tab w:val="left" w:pos="1080"/>
        </w:tabs>
        <w:spacing w:after="0" w:line="240" w:lineRule="auto"/>
        <w:ind w:left="0" w:firstLine="1080"/>
        <w:contextualSpacing w:val="0"/>
        <w:rPr>
          <w:rFonts w:ascii="Times New Roman" w:hAnsi="Times New Roman"/>
        </w:rPr>
      </w:pPr>
      <w:r w:rsidRPr="00124457">
        <w:rPr>
          <w:rFonts w:ascii="Times New Roman" w:hAnsi="Times New Roman"/>
        </w:rPr>
        <w:t xml:space="preserve">1) PD, </w:t>
      </w:r>
    </w:p>
    <w:p w14:paraId="38251DC1" w14:textId="77777777" w:rsidR="00124457" w:rsidRPr="00124457" w:rsidRDefault="00124457" w:rsidP="00124457">
      <w:pPr>
        <w:pStyle w:val="aa"/>
        <w:tabs>
          <w:tab w:val="left" w:pos="1080"/>
        </w:tabs>
        <w:spacing w:after="0" w:line="240" w:lineRule="auto"/>
        <w:ind w:left="0" w:firstLine="1080"/>
        <w:contextualSpacing w:val="0"/>
        <w:rPr>
          <w:rFonts w:ascii="Times New Roman" w:hAnsi="Times New Roman"/>
        </w:rPr>
      </w:pPr>
      <w:r w:rsidRPr="00124457">
        <w:rPr>
          <w:rFonts w:ascii="Times New Roman" w:hAnsi="Times New Roman"/>
        </w:rPr>
        <w:t xml:space="preserve">2) EAD, </w:t>
      </w:r>
    </w:p>
    <w:p w14:paraId="02F3401F" w14:textId="77777777" w:rsidR="00124457" w:rsidRPr="00124457" w:rsidRDefault="00124457" w:rsidP="00124457">
      <w:pPr>
        <w:pStyle w:val="aa"/>
        <w:tabs>
          <w:tab w:val="left" w:pos="1080"/>
        </w:tabs>
        <w:spacing w:after="0" w:line="240" w:lineRule="auto"/>
        <w:ind w:left="0" w:firstLine="1080"/>
        <w:contextualSpacing w:val="0"/>
        <w:rPr>
          <w:rFonts w:ascii="Times New Roman" w:hAnsi="Times New Roman"/>
        </w:rPr>
      </w:pPr>
      <w:r w:rsidRPr="00124457">
        <w:rPr>
          <w:rFonts w:ascii="Times New Roman" w:hAnsi="Times New Roman"/>
        </w:rPr>
        <w:t xml:space="preserve">3) LGD. </w:t>
      </w:r>
    </w:p>
    <w:p w14:paraId="48EF91EB" w14:textId="77777777" w:rsidR="00124457" w:rsidRPr="00124457" w:rsidRDefault="00124457" w:rsidP="00AE698A">
      <w:pPr>
        <w:pStyle w:val="aa"/>
        <w:numPr>
          <w:ilvl w:val="0"/>
          <w:numId w:val="374"/>
        </w:numPr>
        <w:tabs>
          <w:tab w:val="left" w:pos="1080"/>
        </w:tabs>
        <w:spacing w:after="0" w:line="240" w:lineRule="auto"/>
        <w:ind w:left="0" w:firstLine="720"/>
        <w:contextualSpacing w:val="0"/>
        <w:rPr>
          <w:rFonts w:ascii="Times New Roman" w:hAnsi="Times New Roman"/>
        </w:rPr>
      </w:pPr>
      <w:r w:rsidRPr="007D770B">
        <w:rPr>
          <w:rFonts w:ascii="Times New Roman" w:hAnsi="Times New Roman"/>
          <w:lang w:val="en-US"/>
        </w:rPr>
        <w:lastRenderedPageBreak/>
        <w:t xml:space="preserve">Risk parameters are based on reasonable and supportable information that reliably reflects recent changes in credit and economic conditions. </w:t>
      </w:r>
      <w:r w:rsidRPr="00124457">
        <w:rPr>
          <w:rFonts w:ascii="Times New Roman" w:hAnsi="Times New Roman"/>
        </w:rPr>
        <w:t xml:space="preserve">Risk parameters are based on the Bank's historical information. </w:t>
      </w:r>
    </w:p>
    <w:p w14:paraId="29BDC81B" w14:textId="77777777" w:rsidR="00124457" w:rsidRPr="007D770B" w:rsidRDefault="00124457" w:rsidP="00AE698A">
      <w:pPr>
        <w:pStyle w:val="aa"/>
        <w:numPr>
          <w:ilvl w:val="0"/>
          <w:numId w:val="374"/>
        </w:numPr>
        <w:tabs>
          <w:tab w:val="left" w:pos="1080"/>
        </w:tabs>
        <w:spacing w:after="0" w:line="240" w:lineRule="auto"/>
        <w:ind w:left="0" w:firstLine="720"/>
        <w:contextualSpacing w:val="0"/>
        <w:rPr>
          <w:rFonts w:ascii="Times New Roman" w:hAnsi="Times New Roman"/>
          <w:lang w:val="en-US"/>
        </w:rPr>
      </w:pPr>
      <w:r w:rsidRPr="007D770B">
        <w:rPr>
          <w:rFonts w:ascii="Times New Roman" w:hAnsi="Times New Roman"/>
          <w:lang w:val="en-US"/>
        </w:rPr>
        <w:t>Risk parameters are foreseeable, i.e. they include the impact of expected economic conditions, including macroeconomic factors. The Bank does not predict future macroeconomic conditions throughout the expected life of the loan. The degree of judgment required to estimate expected credit losses depends on the availability of necessary information. As the forecast period increases, the availability of detailed information decreases and the degree of judgment required to estimate expected credit losses increases. Therefore, the Bank uses in its calculations the impact of forecast macroeconomic factors only for a period not exceeding three years, after which linear extrapolation of the data to unity is applied.</w:t>
      </w:r>
    </w:p>
    <w:p w14:paraId="24A2AC5D" w14:textId="4D620537" w:rsidR="00331FED" w:rsidRPr="007D770B" w:rsidRDefault="00331FED" w:rsidP="00331FED">
      <w:pPr>
        <w:spacing w:line="259" w:lineRule="auto"/>
        <w:ind w:left="0"/>
        <w:rPr>
          <w:rFonts w:ascii="Times New Roman" w:hAnsi="Times New Roman"/>
          <w:lang w:val="en-US"/>
        </w:rPr>
      </w:pPr>
      <w:r w:rsidRPr="007D770B">
        <w:rPr>
          <w:rFonts w:ascii="Times New Roman" w:hAnsi="Times New Roman"/>
          <w:lang w:val="en-US"/>
        </w:rPr>
        <w:t xml:space="preserve">Calculations of </w:t>
      </w:r>
      <w:r w:rsidR="00CE6FF8" w:rsidRPr="007D770B">
        <w:rPr>
          <w:rFonts w:ascii="Times New Roman" w:hAnsi="Times New Roman"/>
          <w:lang w:val="en-US"/>
        </w:rPr>
        <w:t xml:space="preserve">risk </w:t>
      </w:r>
      <w:r w:rsidRPr="007D770B">
        <w:rPr>
          <w:rFonts w:ascii="Times New Roman" w:hAnsi="Times New Roman"/>
          <w:lang w:val="en-US"/>
        </w:rPr>
        <w:t xml:space="preserve">and </w:t>
      </w:r>
      <w:r>
        <w:rPr>
          <w:rFonts w:ascii="Times New Roman" w:hAnsi="Times New Roman"/>
          <w:lang w:val="en-GB"/>
        </w:rPr>
        <w:t xml:space="preserve">ECL </w:t>
      </w:r>
      <w:r w:rsidRPr="007D770B">
        <w:rPr>
          <w:rFonts w:ascii="Times New Roman" w:hAnsi="Times New Roman"/>
          <w:lang w:val="en-US"/>
        </w:rPr>
        <w:t xml:space="preserve">parameters, as well as descriptions of factors affecting these calculations, are provided </w:t>
      </w:r>
      <w:r w:rsidR="008F5A34" w:rsidRPr="007D770B">
        <w:rPr>
          <w:rFonts w:ascii="Times New Roman" w:hAnsi="Times New Roman"/>
          <w:lang w:val="en-US"/>
        </w:rPr>
        <w:t>in internal documents of loan portfolio provisioning.</w:t>
      </w:r>
    </w:p>
    <w:p w14:paraId="0FBB3CDC" w14:textId="77777777" w:rsidR="00331FED" w:rsidRPr="007D770B" w:rsidRDefault="00331FED" w:rsidP="00331FED">
      <w:pPr>
        <w:spacing w:line="259" w:lineRule="auto"/>
        <w:ind w:left="0"/>
        <w:rPr>
          <w:rFonts w:ascii="Times New Roman" w:hAnsi="Times New Roman"/>
          <w:b/>
          <w:lang w:val="en-US"/>
        </w:rPr>
      </w:pPr>
      <w:r w:rsidRPr="007D770B">
        <w:rPr>
          <w:rFonts w:ascii="Times New Roman" w:hAnsi="Times New Roman"/>
          <w:b/>
          <w:lang w:val="en-US"/>
        </w:rPr>
        <w:t>Other financial assets</w:t>
      </w:r>
    </w:p>
    <w:p w14:paraId="1D1A8BEE" w14:textId="2C600541" w:rsidR="00331FED" w:rsidRPr="007D770B" w:rsidRDefault="00331FED" w:rsidP="00331FED">
      <w:pPr>
        <w:spacing w:after="0" w:line="259" w:lineRule="auto"/>
        <w:ind w:left="0"/>
        <w:rPr>
          <w:rFonts w:ascii="Times New Roman" w:hAnsi="Times New Roman"/>
          <w:lang w:val="en-US"/>
        </w:rPr>
      </w:pPr>
      <w:r w:rsidRPr="007D770B">
        <w:rPr>
          <w:rFonts w:ascii="Times New Roman" w:hAnsi="Times New Roman"/>
          <w:lang w:val="en-US"/>
        </w:rPr>
        <w:t>Other financial assets of the Bank measured at amortized cost or at fair value through OCI to which the impairment assessment procedure below applies:</w:t>
      </w:r>
    </w:p>
    <w:p w14:paraId="1E76F24B" w14:textId="77777777" w:rsidR="00331FED" w:rsidRPr="007D770B" w:rsidRDefault="00331FED" w:rsidP="00AE698A">
      <w:pPr>
        <w:pStyle w:val="aa"/>
        <w:numPr>
          <w:ilvl w:val="0"/>
          <w:numId w:val="363"/>
        </w:numPr>
        <w:spacing w:line="259" w:lineRule="auto"/>
        <w:rPr>
          <w:rFonts w:ascii="Times New Roman" w:hAnsi="Times New Roman"/>
          <w:lang w:val="en-US"/>
        </w:rPr>
      </w:pPr>
      <w:r w:rsidRPr="007D770B">
        <w:rPr>
          <w:rFonts w:ascii="Times New Roman" w:hAnsi="Times New Roman"/>
          <w:lang w:val="en-US"/>
        </w:rPr>
        <w:t>Cash in the National Bank of the Republic of Kazakhstan;</w:t>
      </w:r>
    </w:p>
    <w:p w14:paraId="5439F000" w14:textId="7AB65BA3" w:rsidR="00331FED" w:rsidRPr="007D770B" w:rsidRDefault="00331FED" w:rsidP="00AE698A">
      <w:pPr>
        <w:pStyle w:val="aa"/>
        <w:numPr>
          <w:ilvl w:val="0"/>
          <w:numId w:val="363"/>
        </w:numPr>
        <w:spacing w:line="259" w:lineRule="auto"/>
        <w:rPr>
          <w:lang w:val="en-US"/>
        </w:rPr>
      </w:pPr>
      <w:r w:rsidRPr="007D770B">
        <w:rPr>
          <w:rFonts w:ascii="Times New Roman" w:hAnsi="Times New Roman"/>
          <w:lang w:val="en-US"/>
        </w:rPr>
        <w:t>Cash in banks and other financial institutions;</w:t>
      </w:r>
    </w:p>
    <w:p w14:paraId="4DB91826" w14:textId="40E671ED" w:rsidR="00331FED" w:rsidRPr="007D770B" w:rsidRDefault="00331FED" w:rsidP="00AE698A">
      <w:pPr>
        <w:pStyle w:val="aa"/>
        <w:numPr>
          <w:ilvl w:val="0"/>
          <w:numId w:val="363"/>
        </w:numPr>
        <w:spacing w:line="259" w:lineRule="auto"/>
        <w:rPr>
          <w:rFonts w:ascii="Times New Roman" w:hAnsi="Times New Roman"/>
          <w:lang w:val="en-US"/>
        </w:rPr>
      </w:pPr>
      <w:r w:rsidRPr="007D770B">
        <w:rPr>
          <w:rFonts w:ascii="Times New Roman" w:hAnsi="Times New Roman"/>
          <w:lang w:val="en-US"/>
        </w:rPr>
        <w:t>Deposits with the National Bank of the Republic of Kazakhstan;</w:t>
      </w:r>
    </w:p>
    <w:p w14:paraId="50E05613" w14:textId="77777777" w:rsidR="00331FED" w:rsidRPr="007D770B" w:rsidRDefault="00331FED" w:rsidP="00AE698A">
      <w:pPr>
        <w:pStyle w:val="aa"/>
        <w:numPr>
          <w:ilvl w:val="0"/>
          <w:numId w:val="363"/>
        </w:numPr>
        <w:spacing w:line="259" w:lineRule="auto"/>
        <w:rPr>
          <w:rFonts w:ascii="Times New Roman" w:hAnsi="Times New Roman"/>
          <w:lang w:val="en-US"/>
        </w:rPr>
      </w:pPr>
      <w:r w:rsidRPr="007D770B">
        <w:rPr>
          <w:rFonts w:ascii="Times New Roman" w:hAnsi="Times New Roman"/>
          <w:lang w:val="en-US"/>
        </w:rPr>
        <w:t>Interbank deposits with banks and other financial institutions;</w:t>
      </w:r>
    </w:p>
    <w:p w14:paraId="495302CD" w14:textId="77777777" w:rsidR="00331FED" w:rsidRPr="007D770B" w:rsidRDefault="00331FED" w:rsidP="00AE698A">
      <w:pPr>
        <w:pStyle w:val="aa"/>
        <w:numPr>
          <w:ilvl w:val="0"/>
          <w:numId w:val="363"/>
        </w:numPr>
        <w:spacing w:line="259" w:lineRule="auto"/>
        <w:rPr>
          <w:rFonts w:ascii="Times New Roman" w:hAnsi="Times New Roman"/>
          <w:lang w:val="en-US"/>
        </w:rPr>
      </w:pPr>
      <w:r w:rsidRPr="007D770B">
        <w:rPr>
          <w:rFonts w:ascii="Times New Roman" w:hAnsi="Times New Roman"/>
          <w:lang w:val="en-US"/>
        </w:rPr>
        <w:t>Securities measured at fair value through other comprehensive income;</w:t>
      </w:r>
    </w:p>
    <w:p w14:paraId="109F3B88" w14:textId="63AD78B9" w:rsidR="00331FED" w:rsidRPr="007D770B" w:rsidRDefault="00331FED" w:rsidP="00AE698A">
      <w:pPr>
        <w:pStyle w:val="aa"/>
        <w:numPr>
          <w:ilvl w:val="0"/>
          <w:numId w:val="363"/>
        </w:numPr>
        <w:spacing w:line="259" w:lineRule="auto"/>
        <w:rPr>
          <w:rFonts w:ascii="Times New Roman" w:hAnsi="Times New Roman"/>
          <w:lang w:val="en-US"/>
        </w:rPr>
      </w:pPr>
      <w:r w:rsidRPr="007D770B">
        <w:rPr>
          <w:rFonts w:ascii="Times New Roman" w:hAnsi="Times New Roman"/>
          <w:lang w:val="en-US"/>
        </w:rPr>
        <w:t>Securities measured at amortized cost;</w:t>
      </w:r>
    </w:p>
    <w:p w14:paraId="47BB87B4" w14:textId="77777777" w:rsidR="00331FED" w:rsidRPr="007D770B" w:rsidRDefault="00331FED" w:rsidP="00AE698A">
      <w:pPr>
        <w:pStyle w:val="aa"/>
        <w:numPr>
          <w:ilvl w:val="0"/>
          <w:numId w:val="363"/>
        </w:numPr>
        <w:spacing w:line="259" w:lineRule="auto"/>
        <w:rPr>
          <w:rFonts w:ascii="Times New Roman" w:hAnsi="Times New Roman"/>
          <w:lang w:val="en-US"/>
        </w:rPr>
      </w:pPr>
      <w:r w:rsidRPr="007D770B">
        <w:rPr>
          <w:rFonts w:ascii="Times New Roman" w:hAnsi="Times New Roman"/>
          <w:lang w:val="en-US"/>
        </w:rPr>
        <w:t>Receivables from credit-rated counterparties;</w:t>
      </w:r>
    </w:p>
    <w:p w14:paraId="0051E02F" w14:textId="446EF3E9" w:rsidR="00331FED" w:rsidRPr="00E3257F" w:rsidRDefault="00331FED" w:rsidP="00AE698A">
      <w:pPr>
        <w:pStyle w:val="aa"/>
        <w:numPr>
          <w:ilvl w:val="0"/>
          <w:numId w:val="363"/>
        </w:numPr>
        <w:spacing w:line="259" w:lineRule="auto"/>
        <w:rPr>
          <w:rFonts w:ascii="Times New Roman" w:hAnsi="Times New Roman"/>
        </w:rPr>
      </w:pPr>
      <w:r w:rsidRPr="00E3257F">
        <w:rPr>
          <w:rFonts w:ascii="Times New Roman" w:hAnsi="Times New Roman"/>
        </w:rPr>
        <w:t>Other financial assets.</w:t>
      </w:r>
    </w:p>
    <w:p w14:paraId="60120BBE" w14:textId="77777777" w:rsidR="00331FED" w:rsidRPr="00B11096" w:rsidRDefault="00331FED" w:rsidP="00331FED">
      <w:pPr>
        <w:spacing w:line="259" w:lineRule="auto"/>
        <w:ind w:left="0"/>
        <w:rPr>
          <w:rFonts w:ascii="Times New Roman" w:hAnsi="Times New Roman"/>
        </w:rPr>
      </w:pPr>
      <w:r>
        <w:rPr>
          <w:rFonts w:ascii="Times New Roman" w:hAnsi="Times New Roman"/>
          <w:i/>
        </w:rPr>
        <w:t>Risk parameters</w:t>
      </w:r>
    </w:p>
    <w:p w14:paraId="2F59595C" w14:textId="10FD3311" w:rsidR="00331FED" w:rsidRPr="007D770B" w:rsidRDefault="00331FED" w:rsidP="00331FED">
      <w:pPr>
        <w:spacing w:after="160" w:line="259" w:lineRule="auto"/>
        <w:ind w:left="0"/>
        <w:rPr>
          <w:rFonts w:ascii="Times New Roman" w:hAnsi="Times New Roman"/>
          <w:lang w:val="en-US"/>
        </w:rPr>
      </w:pPr>
      <w:r w:rsidRPr="007D770B">
        <w:rPr>
          <w:rFonts w:ascii="Times New Roman" w:hAnsi="Times New Roman"/>
          <w:lang w:val="en-US"/>
        </w:rPr>
        <w:t>The probability of default (</w:t>
      </w:r>
      <w:r>
        <w:rPr>
          <w:rFonts w:ascii="Times New Roman" w:hAnsi="Times New Roman"/>
          <w:lang w:val="en-GB"/>
        </w:rPr>
        <w:t>PD</w:t>
      </w:r>
      <w:r w:rsidRPr="007D770B">
        <w:rPr>
          <w:rFonts w:ascii="Times New Roman" w:hAnsi="Times New Roman"/>
          <w:lang w:val="en-US"/>
        </w:rPr>
        <w:t xml:space="preserve">) ratio is calculated using a migration matrix based on data from external sources. The main source used by the Bank is data from </w:t>
      </w:r>
      <w:r>
        <w:rPr>
          <w:rFonts w:ascii="Times New Roman" w:hAnsi="Times New Roman"/>
          <w:lang w:val="en-GB"/>
        </w:rPr>
        <w:t xml:space="preserve">Moody's </w:t>
      </w:r>
      <w:r w:rsidRPr="007D770B">
        <w:rPr>
          <w:rFonts w:ascii="Times New Roman" w:hAnsi="Times New Roman"/>
          <w:lang w:val="en-US"/>
        </w:rPr>
        <w:t xml:space="preserve">rating agency, in case of their absence - data from </w:t>
      </w:r>
      <w:r>
        <w:rPr>
          <w:rFonts w:ascii="Times New Roman" w:hAnsi="Times New Roman"/>
          <w:lang w:val="en-GB"/>
        </w:rPr>
        <w:t>Standard and Poor</w:t>
      </w:r>
      <w:r w:rsidRPr="007D770B">
        <w:rPr>
          <w:rFonts w:ascii="Times New Roman" w:hAnsi="Times New Roman"/>
          <w:lang w:val="en-US"/>
        </w:rPr>
        <w:t>'</w:t>
      </w:r>
      <w:r>
        <w:rPr>
          <w:rFonts w:ascii="Times New Roman" w:hAnsi="Times New Roman"/>
          <w:lang w:val="en-GB"/>
        </w:rPr>
        <w:t xml:space="preserve">s </w:t>
      </w:r>
      <w:r w:rsidRPr="007D770B">
        <w:rPr>
          <w:rFonts w:ascii="Times New Roman" w:hAnsi="Times New Roman"/>
          <w:lang w:val="en-US"/>
        </w:rPr>
        <w:t xml:space="preserve">or </w:t>
      </w:r>
      <w:r>
        <w:rPr>
          <w:rFonts w:ascii="Times New Roman" w:hAnsi="Times New Roman"/>
          <w:lang w:val="en-GB"/>
        </w:rPr>
        <w:t>Fitch</w:t>
      </w:r>
      <w:r w:rsidRPr="007D770B">
        <w:rPr>
          <w:rFonts w:ascii="Times New Roman" w:hAnsi="Times New Roman"/>
          <w:lang w:val="en-US"/>
        </w:rPr>
        <w:t xml:space="preserve">. When calculating </w:t>
      </w:r>
      <w:r>
        <w:rPr>
          <w:rFonts w:ascii="Times New Roman" w:hAnsi="Times New Roman"/>
          <w:lang w:val="en-GB"/>
        </w:rPr>
        <w:t>PD</w:t>
      </w:r>
      <w:r w:rsidRPr="007D770B">
        <w:rPr>
          <w:rFonts w:ascii="Times New Roman" w:hAnsi="Times New Roman"/>
          <w:lang w:val="en-US"/>
        </w:rPr>
        <w:t xml:space="preserve">, the Bank divides financial assets depending on the group to which the counterparty belongs: government, corporate or financial institutions. The Bank uses a separate migration matrix for each category. </w:t>
      </w:r>
    </w:p>
    <w:p w14:paraId="11C5DE6A" w14:textId="5C9CCF31" w:rsidR="00331FED" w:rsidRPr="007D770B" w:rsidRDefault="00331FED" w:rsidP="005F3958">
      <w:pPr>
        <w:spacing w:after="160" w:line="259" w:lineRule="auto"/>
        <w:ind w:left="0"/>
        <w:rPr>
          <w:lang w:val="en-US"/>
        </w:rPr>
      </w:pPr>
      <w:r w:rsidRPr="007D770B">
        <w:rPr>
          <w:rFonts w:ascii="Times New Roman" w:hAnsi="Times New Roman"/>
          <w:lang w:val="en-US"/>
        </w:rPr>
        <w:t>The EAD parameter is an estimate of the amount of the credit claim. That is, the amount exposed to default risk, which includes changes in the amount of the credit claim after the reporting date, in particular, interest payments and the nominal value of the financial instrument. The discount rate used is the financial instrument's original effective interest rate.</w:t>
      </w:r>
    </w:p>
    <w:p w14:paraId="6EF240A0" w14:textId="5249070F" w:rsidR="00331FED" w:rsidRPr="00B11096" w:rsidRDefault="00331FED" w:rsidP="005F3958">
      <w:pPr>
        <w:spacing w:after="160" w:line="259" w:lineRule="auto"/>
        <w:ind w:left="0"/>
        <w:rPr>
          <w:rFonts w:ascii="Times New Roman" w:hAnsi="Times New Roman"/>
        </w:rPr>
      </w:pPr>
      <w:r w:rsidRPr="007D770B">
        <w:rPr>
          <w:rFonts w:ascii="Times New Roman" w:hAnsi="Times New Roman"/>
          <w:lang w:val="en-US"/>
        </w:rPr>
        <w:t xml:space="preserve">LGD varies over time depending on payouts and collateral values. </w:t>
      </w:r>
      <w:r w:rsidRPr="00B11096">
        <w:rPr>
          <w:rFonts w:ascii="Times New Roman" w:hAnsi="Times New Roman"/>
        </w:rPr>
        <w:t xml:space="preserve">Key </w:t>
      </w:r>
      <w:r w:rsidR="00EE3CCF" w:rsidRPr="00B11096">
        <w:rPr>
          <w:rFonts w:ascii="Times New Roman" w:hAnsi="Times New Roman"/>
        </w:rPr>
        <w:t xml:space="preserve">elements of </w:t>
      </w:r>
      <w:r w:rsidRPr="00B11096">
        <w:rPr>
          <w:rFonts w:ascii="Times New Roman" w:hAnsi="Times New Roman"/>
        </w:rPr>
        <w:t xml:space="preserve">the LGD </w:t>
      </w:r>
      <w:r w:rsidR="00EE3CCF" w:rsidRPr="00B11096">
        <w:rPr>
          <w:rFonts w:ascii="Times New Roman" w:hAnsi="Times New Roman"/>
        </w:rPr>
        <w:t>ratio</w:t>
      </w:r>
      <w:r w:rsidRPr="00B11096">
        <w:rPr>
          <w:rFonts w:ascii="Times New Roman" w:hAnsi="Times New Roman"/>
        </w:rPr>
        <w:t>:</w:t>
      </w:r>
    </w:p>
    <w:p w14:paraId="5EA63C33" w14:textId="77777777" w:rsidR="00331FED" w:rsidRPr="007D770B" w:rsidRDefault="00331FED" w:rsidP="00AE698A">
      <w:pPr>
        <w:pStyle w:val="aa"/>
        <w:numPr>
          <w:ilvl w:val="0"/>
          <w:numId w:val="363"/>
        </w:numPr>
        <w:spacing w:line="259" w:lineRule="auto"/>
        <w:rPr>
          <w:rFonts w:ascii="Times New Roman" w:hAnsi="Times New Roman"/>
          <w:lang w:val="en-US"/>
        </w:rPr>
      </w:pPr>
      <w:r w:rsidRPr="007D770B">
        <w:rPr>
          <w:rFonts w:ascii="Times New Roman" w:hAnsi="Times New Roman"/>
          <w:lang w:val="en-US"/>
        </w:rPr>
        <w:t>Time aspect (division of the EAD parameter into secured and unsecured parts) and</w:t>
      </w:r>
    </w:p>
    <w:p w14:paraId="2A6056F5" w14:textId="77777777" w:rsidR="00331FED" w:rsidRPr="007D770B" w:rsidRDefault="00331FED" w:rsidP="00AE698A">
      <w:pPr>
        <w:pStyle w:val="aa"/>
        <w:numPr>
          <w:ilvl w:val="0"/>
          <w:numId w:val="363"/>
        </w:numPr>
        <w:spacing w:line="259" w:lineRule="auto"/>
        <w:rPr>
          <w:rFonts w:ascii="Times New Roman" w:hAnsi="Times New Roman"/>
          <w:lang w:val="en-US"/>
        </w:rPr>
      </w:pPr>
      <w:r w:rsidRPr="007D770B">
        <w:rPr>
          <w:rFonts w:ascii="Times New Roman" w:hAnsi="Times New Roman"/>
          <w:lang w:val="en-US"/>
        </w:rPr>
        <w:t>Changes in the value of collateral over time (in the case of collateral such as real estate, the value may remain unchanged)</w:t>
      </w:r>
    </w:p>
    <w:p w14:paraId="3C1DBE50" w14:textId="77777777" w:rsidR="00331FED" w:rsidRPr="007D770B" w:rsidRDefault="00331FED" w:rsidP="00331FED">
      <w:pPr>
        <w:spacing w:after="160" w:line="259" w:lineRule="auto"/>
        <w:ind w:left="0"/>
        <w:rPr>
          <w:rFonts w:ascii="Times New Roman" w:hAnsi="Times New Roman"/>
          <w:lang w:val="en-US"/>
        </w:rPr>
      </w:pPr>
      <w:r w:rsidRPr="007D770B">
        <w:rPr>
          <w:rFonts w:ascii="Times New Roman" w:hAnsi="Times New Roman"/>
          <w:lang w:val="en-US"/>
        </w:rPr>
        <w:t>In the absence of collateral for a financial instrument and sufficient historical default data, the Bank applies expert judgment. Depending on the circumstances and completeness of data as at the reporting date, the Bank applies one of the following approaches to determine the LGD ratio on a step-by-step basis:</w:t>
      </w:r>
    </w:p>
    <w:p w14:paraId="5C1AC55F" w14:textId="77777777" w:rsidR="00331FED" w:rsidRPr="007D770B" w:rsidRDefault="00331FED" w:rsidP="00AE698A">
      <w:pPr>
        <w:pStyle w:val="aa"/>
        <w:numPr>
          <w:ilvl w:val="0"/>
          <w:numId w:val="363"/>
        </w:numPr>
        <w:spacing w:line="259" w:lineRule="auto"/>
        <w:rPr>
          <w:rFonts w:ascii="Times New Roman" w:hAnsi="Times New Roman"/>
          <w:lang w:val="en-US"/>
        </w:rPr>
      </w:pPr>
      <w:r w:rsidRPr="007D770B">
        <w:rPr>
          <w:rFonts w:ascii="Times New Roman" w:hAnsi="Times New Roman"/>
          <w:lang w:val="en-US"/>
        </w:rPr>
        <w:t>Historical data. This approach is determined on the basis of historical default data and on the basis of historical recovery rates by applying expert judgment. In the absence of historical data and unrepresentative statistical data on recovered funds and/or investments, the Bank applies the approach described below</w:t>
      </w:r>
    </w:p>
    <w:p w14:paraId="2E4B4A33" w14:textId="6A2D8F2D" w:rsidR="007C63C1" w:rsidRPr="007D770B" w:rsidRDefault="00331FED" w:rsidP="00AE698A">
      <w:pPr>
        <w:pStyle w:val="aa"/>
        <w:numPr>
          <w:ilvl w:val="0"/>
          <w:numId w:val="363"/>
        </w:numPr>
        <w:spacing w:line="259" w:lineRule="auto"/>
        <w:rPr>
          <w:rFonts w:ascii="Times New Roman" w:hAnsi="Times New Roman"/>
          <w:lang w:val="en-US"/>
        </w:rPr>
      </w:pPr>
      <w:r w:rsidRPr="007D770B">
        <w:rPr>
          <w:rFonts w:ascii="Times New Roman" w:hAnsi="Times New Roman"/>
          <w:lang w:val="en-US"/>
        </w:rPr>
        <w:t>An approach based on historical data from external sources such as rating agencies such as Moody's, Standard &amp; Poor's, or Fitch, which provide recovery rate data based on databases of similar portfolios. The LGD is based on data that is available at the reporting date.</w:t>
      </w:r>
    </w:p>
    <w:p w14:paraId="155FA123" w14:textId="77777777" w:rsidR="00230414" w:rsidRPr="007D770B" w:rsidRDefault="00230414" w:rsidP="00230414">
      <w:pPr>
        <w:spacing w:after="160" w:line="259" w:lineRule="auto"/>
        <w:ind w:left="0"/>
        <w:rPr>
          <w:rFonts w:ascii="Times New Roman" w:hAnsi="Times New Roman"/>
          <w:lang w:val="en-US"/>
        </w:rPr>
      </w:pPr>
      <w:r w:rsidRPr="007D770B">
        <w:rPr>
          <w:rFonts w:ascii="Times New Roman" w:hAnsi="Times New Roman"/>
          <w:lang w:val="en-US"/>
        </w:rPr>
        <w:t>The basic impairment calculation is performed using the following formula:</w:t>
      </w:r>
    </w:p>
    <w:p w14:paraId="10B56FDE" w14:textId="6A12D4D2" w:rsidR="00230414" w:rsidRPr="007D770B" w:rsidRDefault="00230414" w:rsidP="00230414">
      <w:pPr>
        <w:pStyle w:val="aa"/>
        <w:spacing w:before="240"/>
        <w:ind w:left="0"/>
        <w:contextualSpacing w:val="0"/>
        <w:rPr>
          <w:rFonts w:ascii="Georgia" w:hAnsi="Georgia"/>
          <w:sz w:val="32"/>
          <w:szCs w:val="32"/>
          <w:lang w:val="en-US"/>
        </w:rPr>
      </w:pPr>
      <m:oMath>
        <m:r>
          <m:rPr>
            <m:sty m:val="p"/>
          </m:rPr>
          <w:rPr>
            <w:rFonts w:ascii="Cambria Math" w:hAnsi="Cambria Math"/>
            <w:sz w:val="22"/>
            <w:szCs w:val="22"/>
            <w:lang w:val="en-US"/>
          </w:rPr>
          <m:t>ECL =</m:t>
        </m:r>
        <m:f>
          <m:fPr>
            <m:ctrlPr>
              <w:rPr>
                <w:rFonts w:ascii="Cambria Math" w:hAnsi="Cambria Math"/>
                <w:i/>
                <w:sz w:val="22"/>
                <w:szCs w:val="22"/>
              </w:rPr>
            </m:ctrlPr>
          </m:fPr>
          <m:num>
            <m:r>
              <m:rPr>
                <m:sty m:val="p"/>
              </m:rPr>
              <w:rPr>
                <w:rFonts w:ascii="Cambria Math" w:hAnsi="Cambria Math"/>
                <w:sz w:val="22"/>
                <w:szCs w:val="22"/>
                <w:lang w:val="en-US"/>
              </w:rPr>
              <m:t>(</m:t>
            </m:r>
            <m:r>
              <m:rPr>
                <m:sty m:val="p"/>
              </m:rPr>
              <w:rPr>
                <w:rFonts w:ascii="Cambria Math" w:hAnsi="Cambria Math"/>
                <w:sz w:val="22"/>
                <w:szCs w:val="22"/>
                <w:lang w:val="en-GB"/>
              </w:rPr>
              <m:t>M</m:t>
            </m:r>
            <m:r>
              <m:rPr>
                <m:sty m:val="p"/>
              </m:rPr>
              <w:rPr>
                <w:rFonts w:ascii="Cambria Math" w:hAnsi="Cambria Math"/>
                <w:sz w:val="22"/>
                <w:szCs w:val="22"/>
                <w:lang w:val="en-US"/>
              </w:rPr>
              <m:t>PD*(1-CPD)) * EAD * LGD</m:t>
            </m:r>
          </m:num>
          <m:den>
            <m:r>
              <w:rPr>
                <w:rFonts w:ascii="Cambria Math" w:hAnsi="Cambria Math"/>
                <w:sz w:val="22"/>
                <w:szCs w:val="22"/>
                <w:lang w:val="en-US"/>
              </w:rPr>
              <m:t>(1+</m:t>
            </m:r>
            <m:r>
              <w:rPr>
                <w:rFonts w:ascii="Cambria Math" w:hAnsi="Cambria Math"/>
                <w:sz w:val="22"/>
                <w:szCs w:val="22"/>
              </w:rPr>
              <m:t>EIR</m:t>
            </m:r>
            <m:r>
              <w:rPr>
                <w:rFonts w:ascii="Cambria Math" w:hAnsi="Cambria Math"/>
                <w:sz w:val="22"/>
                <w:szCs w:val="22"/>
                <w:lang w:val="en-US"/>
              </w:rPr>
              <m:t>)^</m:t>
            </m:r>
            <m:r>
              <w:rPr>
                <w:rFonts w:ascii="Cambria Math" w:hAnsi="Cambria Math"/>
                <w:sz w:val="22"/>
                <w:szCs w:val="22"/>
              </w:rPr>
              <m:t>n</m:t>
            </m:r>
          </m:den>
        </m:f>
      </m:oMath>
      <w:r w:rsidRPr="007D770B">
        <w:rPr>
          <w:rFonts w:ascii="Times New Roman" w:hAnsi="Times New Roman"/>
          <w:sz w:val="22"/>
          <w:szCs w:val="22"/>
          <w:lang w:val="en-US"/>
        </w:rPr>
        <w:t>,</w:t>
      </w:r>
    </w:p>
    <w:p w14:paraId="1B915B50" w14:textId="77777777" w:rsidR="00230414" w:rsidRPr="007D770B" w:rsidRDefault="00230414" w:rsidP="00230414">
      <w:pPr>
        <w:pStyle w:val="aa"/>
        <w:spacing w:after="0"/>
        <w:ind w:left="0"/>
        <w:contextualSpacing w:val="0"/>
        <w:rPr>
          <w:rFonts w:ascii="Times New Roman" w:hAnsi="Times New Roman"/>
          <w:b/>
          <w:lang w:val="en-US"/>
        </w:rPr>
      </w:pPr>
      <w:r w:rsidRPr="007D770B">
        <w:rPr>
          <w:rFonts w:ascii="Times New Roman" w:hAnsi="Times New Roman"/>
          <w:lang w:val="en-US"/>
        </w:rPr>
        <w:t>Where</w:t>
      </w:r>
      <w:r w:rsidRPr="007D770B">
        <w:rPr>
          <w:rFonts w:ascii="Times New Roman" w:hAnsi="Times New Roman"/>
          <w:b/>
          <w:lang w:val="en-US"/>
        </w:rPr>
        <w:t>:</w:t>
      </w:r>
    </w:p>
    <w:p w14:paraId="3268C05D" w14:textId="77777777" w:rsidR="00230414" w:rsidRPr="007D770B" w:rsidRDefault="00230414" w:rsidP="00230414">
      <w:pPr>
        <w:pStyle w:val="aa"/>
        <w:spacing w:before="240" w:after="0"/>
        <w:ind w:left="0"/>
        <w:contextualSpacing w:val="0"/>
        <w:rPr>
          <w:rFonts w:ascii="Times New Roman" w:hAnsi="Times New Roman"/>
          <w:lang w:val="en-US"/>
        </w:rPr>
      </w:pPr>
      <w:r w:rsidRPr="007D770B">
        <w:rPr>
          <w:rFonts w:ascii="Times New Roman" w:hAnsi="Times New Roman"/>
          <w:lang w:val="en-US"/>
        </w:rPr>
        <w:t>ECL - expected credit losses for the reporting period in tenge;</w:t>
      </w:r>
    </w:p>
    <w:p w14:paraId="77A88161" w14:textId="77777777" w:rsidR="00230414" w:rsidRPr="007D770B" w:rsidRDefault="00230414" w:rsidP="00230414">
      <w:pPr>
        <w:pStyle w:val="aa"/>
        <w:spacing w:before="240"/>
        <w:ind w:left="0"/>
        <w:rPr>
          <w:rFonts w:ascii="Times New Roman" w:hAnsi="Times New Roman"/>
          <w:lang w:val="en-US"/>
        </w:rPr>
      </w:pPr>
      <w:r w:rsidRPr="007D770B">
        <w:rPr>
          <w:rFonts w:ascii="Times New Roman" w:hAnsi="Times New Roman"/>
          <w:lang w:val="en-US"/>
        </w:rPr>
        <w:lastRenderedPageBreak/>
        <w:t>MPD is the marginal probability of default;</w:t>
      </w:r>
    </w:p>
    <w:p w14:paraId="16785F07" w14:textId="77777777" w:rsidR="00230414" w:rsidRPr="007D770B" w:rsidRDefault="00230414" w:rsidP="00230414">
      <w:pPr>
        <w:pStyle w:val="aa"/>
        <w:spacing w:before="240"/>
        <w:ind w:left="0"/>
        <w:rPr>
          <w:rFonts w:ascii="Times New Roman" w:hAnsi="Times New Roman"/>
          <w:lang w:val="en-US"/>
        </w:rPr>
      </w:pPr>
      <w:r w:rsidRPr="00AB3948">
        <w:rPr>
          <w:rFonts w:ascii="Times New Roman" w:hAnsi="Times New Roman"/>
          <w:lang w:val="en-GB"/>
        </w:rPr>
        <w:t xml:space="preserve">CPD </w:t>
      </w:r>
      <w:r w:rsidRPr="007D770B">
        <w:rPr>
          <w:rFonts w:ascii="Times New Roman" w:hAnsi="Times New Roman"/>
          <w:lang w:val="en-US"/>
        </w:rPr>
        <w:t>is the cumulative probability of default;</w:t>
      </w:r>
    </w:p>
    <w:p w14:paraId="22E23B87" w14:textId="77777777" w:rsidR="00230414" w:rsidRPr="007D770B" w:rsidRDefault="00230414" w:rsidP="00230414">
      <w:pPr>
        <w:pStyle w:val="aa"/>
        <w:spacing w:before="240"/>
        <w:ind w:left="0"/>
        <w:rPr>
          <w:rFonts w:ascii="Times New Roman" w:hAnsi="Times New Roman"/>
          <w:lang w:val="en-US"/>
        </w:rPr>
      </w:pPr>
      <w:r w:rsidRPr="007D770B">
        <w:rPr>
          <w:rFonts w:ascii="Times New Roman" w:hAnsi="Times New Roman"/>
          <w:lang w:val="en-US"/>
        </w:rPr>
        <w:t>EAD is the amount at risk of default;</w:t>
      </w:r>
    </w:p>
    <w:p w14:paraId="5C12756B" w14:textId="77777777" w:rsidR="00230414" w:rsidRPr="007D770B" w:rsidRDefault="00230414" w:rsidP="00230414">
      <w:pPr>
        <w:pStyle w:val="aa"/>
        <w:spacing w:after="0"/>
        <w:ind w:left="0"/>
        <w:contextualSpacing w:val="0"/>
        <w:rPr>
          <w:rFonts w:ascii="Times New Roman" w:hAnsi="Times New Roman"/>
          <w:lang w:val="en-US"/>
        </w:rPr>
      </w:pPr>
      <w:r w:rsidRPr="007D770B">
        <w:rPr>
          <w:rFonts w:ascii="Times New Roman" w:hAnsi="Times New Roman"/>
          <w:lang w:val="en-US"/>
        </w:rPr>
        <w:t>LGD - losses in the event of default;</w:t>
      </w:r>
    </w:p>
    <w:p w14:paraId="4B2F7FBC" w14:textId="77777777" w:rsidR="00230414" w:rsidRPr="007D770B" w:rsidRDefault="00230414" w:rsidP="00230414">
      <w:pPr>
        <w:pStyle w:val="aa"/>
        <w:spacing w:after="0"/>
        <w:ind w:left="0"/>
        <w:contextualSpacing w:val="0"/>
        <w:rPr>
          <w:rFonts w:ascii="Times New Roman" w:hAnsi="Times New Roman"/>
          <w:lang w:val="en-US"/>
        </w:rPr>
      </w:pPr>
      <w:r w:rsidRPr="00AB3948">
        <w:rPr>
          <w:rFonts w:ascii="Times New Roman" w:hAnsi="Times New Roman"/>
          <w:lang w:val="en-GB"/>
        </w:rPr>
        <w:t xml:space="preserve">EIR </w:t>
      </w:r>
      <w:r w:rsidRPr="007D770B">
        <w:rPr>
          <w:rFonts w:ascii="Times New Roman" w:hAnsi="Times New Roman"/>
          <w:lang w:val="en-US"/>
        </w:rPr>
        <w:t>is the initial effective rate;</w:t>
      </w:r>
    </w:p>
    <w:p w14:paraId="78441E6B" w14:textId="77777777" w:rsidR="00230414" w:rsidRPr="007D770B" w:rsidRDefault="00230414" w:rsidP="00230414">
      <w:pPr>
        <w:pStyle w:val="aa"/>
        <w:ind w:left="0"/>
        <w:contextualSpacing w:val="0"/>
        <w:rPr>
          <w:rFonts w:ascii="Times New Roman" w:hAnsi="Times New Roman"/>
          <w:lang w:val="en-US"/>
        </w:rPr>
      </w:pPr>
      <w:r w:rsidRPr="00AB3948">
        <w:rPr>
          <w:rFonts w:ascii="Times New Roman" w:hAnsi="Times New Roman"/>
          <w:lang w:val="en-GB"/>
        </w:rPr>
        <w:t xml:space="preserve">n </w:t>
      </w:r>
      <w:r w:rsidRPr="007D770B">
        <w:rPr>
          <w:rFonts w:ascii="Times New Roman" w:hAnsi="Times New Roman"/>
          <w:lang w:val="en-US"/>
        </w:rPr>
        <w:t>is the number of time periods.</w:t>
      </w:r>
    </w:p>
    <w:p w14:paraId="368487EF" w14:textId="4B587138" w:rsidR="00230414" w:rsidRPr="007D770B" w:rsidRDefault="00230414" w:rsidP="00230414">
      <w:pPr>
        <w:spacing w:line="259" w:lineRule="auto"/>
        <w:ind w:left="0"/>
        <w:rPr>
          <w:rFonts w:ascii="Times New Roman" w:hAnsi="Times New Roman"/>
          <w:lang w:val="en-US"/>
        </w:rPr>
      </w:pPr>
      <w:r w:rsidRPr="007D770B">
        <w:rPr>
          <w:rFonts w:ascii="Times New Roman" w:hAnsi="Times New Roman"/>
          <w:lang w:val="en-US"/>
        </w:rPr>
        <w:t xml:space="preserve">If the amount at risk is defined in </w:t>
      </w:r>
      <w:r w:rsidR="00F214E3" w:rsidRPr="007D770B">
        <w:rPr>
          <w:rFonts w:ascii="Times New Roman" w:hAnsi="Times New Roman"/>
          <w:lang w:val="en-US"/>
        </w:rPr>
        <w:t xml:space="preserve">Basket </w:t>
      </w:r>
      <w:r w:rsidRPr="007D770B">
        <w:rPr>
          <w:rFonts w:ascii="Times New Roman" w:hAnsi="Times New Roman"/>
          <w:lang w:val="en-US"/>
        </w:rPr>
        <w:t xml:space="preserve">1, ECL is calculated up to 1 year or maturity, whichever is less. For amounts at risk defined in </w:t>
      </w:r>
      <w:r w:rsidR="00F214E3" w:rsidRPr="007D770B">
        <w:rPr>
          <w:rFonts w:ascii="Times New Roman" w:hAnsi="Times New Roman"/>
          <w:lang w:val="en-US"/>
        </w:rPr>
        <w:t xml:space="preserve">Baskets </w:t>
      </w:r>
      <w:r w:rsidRPr="007D770B">
        <w:rPr>
          <w:rFonts w:ascii="Times New Roman" w:hAnsi="Times New Roman"/>
          <w:lang w:val="en-US"/>
        </w:rPr>
        <w:t>2 and 3, the ECL calculation covers the period (number of months) from the current reporting date to maturity.</w:t>
      </w:r>
    </w:p>
    <w:p w14:paraId="0CFDA795" w14:textId="77777777" w:rsidR="00331FED" w:rsidRPr="007D770B" w:rsidRDefault="00331FED" w:rsidP="002207DD">
      <w:pPr>
        <w:spacing w:after="0" w:line="259" w:lineRule="auto"/>
        <w:ind w:left="0"/>
        <w:rPr>
          <w:rFonts w:ascii="Times New Roman" w:hAnsi="Times New Roman"/>
          <w:i/>
          <w:lang w:val="en-US"/>
        </w:rPr>
      </w:pPr>
      <w:r w:rsidRPr="007D770B">
        <w:rPr>
          <w:rFonts w:ascii="Times New Roman" w:hAnsi="Times New Roman"/>
          <w:i/>
          <w:lang w:val="en-US"/>
        </w:rPr>
        <w:t>Assessment of significant increase in credit risk</w:t>
      </w:r>
    </w:p>
    <w:p w14:paraId="761EEC78" w14:textId="5364889B" w:rsidR="00093C49" w:rsidRPr="007D770B" w:rsidRDefault="00093C49" w:rsidP="002207DD">
      <w:pPr>
        <w:spacing w:after="0" w:line="259" w:lineRule="auto"/>
        <w:ind w:left="0"/>
        <w:rPr>
          <w:rFonts w:ascii="Times New Roman" w:hAnsi="Times New Roman"/>
          <w:lang w:val="en-US"/>
        </w:rPr>
      </w:pPr>
      <w:r w:rsidRPr="007D770B">
        <w:rPr>
          <w:rFonts w:ascii="Times New Roman" w:hAnsi="Times New Roman"/>
          <w:lang w:val="en-US"/>
        </w:rPr>
        <w:t xml:space="preserve">The Bank assesses credit risk as low for counterparties with credit ratings greater than or equal to BBB- on the international scale from Standard and Poor's or similar ratings from Moody's and Fitch. For counterparties with low credit risk, the Bank does not analyze significant increase in credit risk. </w:t>
      </w:r>
    </w:p>
    <w:p w14:paraId="7A12A471" w14:textId="5F32D556" w:rsidR="00331FED" w:rsidRPr="007D770B" w:rsidRDefault="00331FED" w:rsidP="00331FED">
      <w:pPr>
        <w:spacing w:after="0" w:line="259" w:lineRule="auto"/>
        <w:ind w:left="0"/>
        <w:rPr>
          <w:rFonts w:ascii="Times New Roman" w:hAnsi="Times New Roman"/>
          <w:lang w:val="en-US"/>
        </w:rPr>
      </w:pPr>
      <w:r w:rsidRPr="007D770B">
        <w:rPr>
          <w:rFonts w:ascii="Times New Roman" w:hAnsi="Times New Roman"/>
          <w:lang w:val="en-US"/>
        </w:rPr>
        <w:t xml:space="preserve">For the reporting period, the Bank assesses whether there is a significant increase in credit risk for each financial asset (or groups of financial assets with common credit risk characteristics). In case of increase in credit risk, the Bank transfers the asset to the next </w:t>
      </w:r>
      <w:r w:rsidR="00F214E3" w:rsidRPr="007D770B">
        <w:rPr>
          <w:rFonts w:ascii="Times New Roman" w:hAnsi="Times New Roman"/>
          <w:lang w:val="en-US"/>
        </w:rPr>
        <w:t xml:space="preserve">Basket of the </w:t>
      </w:r>
      <w:r w:rsidRPr="007D770B">
        <w:rPr>
          <w:rFonts w:ascii="Times New Roman" w:hAnsi="Times New Roman"/>
          <w:lang w:val="en-US"/>
        </w:rPr>
        <w:t>three-stage model.  The Bank determines a significant increase in credit risk based on a three-factor analysis as described above:</w:t>
      </w:r>
    </w:p>
    <w:p w14:paraId="383B6E6D" w14:textId="3C2F214E" w:rsidR="00331FED" w:rsidRPr="007D770B" w:rsidRDefault="00331FED" w:rsidP="00AE698A">
      <w:pPr>
        <w:pStyle w:val="aa"/>
        <w:numPr>
          <w:ilvl w:val="0"/>
          <w:numId w:val="358"/>
        </w:numPr>
        <w:spacing w:after="0" w:line="259" w:lineRule="auto"/>
        <w:rPr>
          <w:rFonts w:ascii="Times New Roman" w:hAnsi="Times New Roman"/>
          <w:lang w:val="en-US"/>
        </w:rPr>
      </w:pPr>
      <w:r w:rsidRPr="007D770B">
        <w:rPr>
          <w:rFonts w:ascii="Times New Roman" w:hAnsi="Times New Roman"/>
          <w:lang w:val="en-US"/>
        </w:rPr>
        <w:t xml:space="preserve">Backstop indicator: to move to the second </w:t>
      </w:r>
      <w:r w:rsidR="00F214E3" w:rsidRPr="007D770B">
        <w:rPr>
          <w:rFonts w:ascii="Times New Roman" w:hAnsi="Times New Roman"/>
          <w:lang w:val="en-US"/>
        </w:rPr>
        <w:t>basket</w:t>
      </w:r>
      <w:r w:rsidRPr="007D770B">
        <w:rPr>
          <w:rFonts w:ascii="Times New Roman" w:hAnsi="Times New Roman"/>
          <w:lang w:val="en-US"/>
        </w:rPr>
        <w:t xml:space="preserve">, overdue more than 30 days is considered, to move to the third </w:t>
      </w:r>
      <w:r w:rsidR="00F214E3" w:rsidRPr="007D770B">
        <w:rPr>
          <w:rFonts w:ascii="Times New Roman" w:hAnsi="Times New Roman"/>
          <w:lang w:val="en-US"/>
        </w:rPr>
        <w:t>basket</w:t>
      </w:r>
      <w:r w:rsidRPr="007D770B">
        <w:rPr>
          <w:rFonts w:ascii="Times New Roman" w:hAnsi="Times New Roman"/>
          <w:lang w:val="en-US"/>
        </w:rPr>
        <w:t>, overdue more than 90 days is considered;</w:t>
      </w:r>
    </w:p>
    <w:p w14:paraId="5B080A50" w14:textId="77777777" w:rsidR="00331FED" w:rsidRPr="007D770B" w:rsidRDefault="00331FED" w:rsidP="00AE698A">
      <w:pPr>
        <w:pStyle w:val="aa"/>
        <w:numPr>
          <w:ilvl w:val="0"/>
          <w:numId w:val="358"/>
        </w:numPr>
        <w:spacing w:after="0" w:line="259" w:lineRule="auto"/>
        <w:rPr>
          <w:rFonts w:ascii="Times New Roman" w:hAnsi="Times New Roman"/>
          <w:lang w:val="en-US"/>
        </w:rPr>
      </w:pPr>
      <w:r w:rsidRPr="007D770B">
        <w:rPr>
          <w:rFonts w:ascii="Times New Roman" w:hAnsi="Times New Roman"/>
          <w:lang w:val="en-US"/>
        </w:rPr>
        <w:t xml:space="preserve">Quantitative analysis compares the </w:t>
      </w:r>
      <w:r>
        <w:rPr>
          <w:rFonts w:ascii="Times New Roman" w:hAnsi="Times New Roman"/>
          <w:lang w:val="en-GB"/>
        </w:rPr>
        <w:t xml:space="preserve">PD </w:t>
      </w:r>
      <w:r w:rsidRPr="007D770B">
        <w:rPr>
          <w:rFonts w:ascii="Times New Roman" w:hAnsi="Times New Roman"/>
          <w:lang w:val="en-US"/>
        </w:rPr>
        <w:t>ratio at the reporting date and at the time the asset is recognized;</w:t>
      </w:r>
    </w:p>
    <w:p w14:paraId="5E807A2C" w14:textId="77777777" w:rsidR="00331FED" w:rsidRPr="007D770B" w:rsidRDefault="00331FED" w:rsidP="00AE698A">
      <w:pPr>
        <w:pStyle w:val="aa"/>
        <w:numPr>
          <w:ilvl w:val="0"/>
          <w:numId w:val="358"/>
        </w:numPr>
        <w:spacing w:after="0" w:line="259" w:lineRule="auto"/>
        <w:rPr>
          <w:rFonts w:ascii="Times New Roman" w:hAnsi="Times New Roman"/>
          <w:lang w:val="en-US"/>
        </w:rPr>
      </w:pPr>
      <w:r w:rsidRPr="007D770B">
        <w:rPr>
          <w:rFonts w:ascii="Times New Roman" w:hAnsi="Times New Roman"/>
          <w:lang w:val="en-US"/>
        </w:rPr>
        <w:t>Qualitative Analysis. The following are examples of factors that the Bank may consider:</w:t>
      </w:r>
    </w:p>
    <w:p w14:paraId="01DBE565" w14:textId="77777777" w:rsidR="00331FED" w:rsidRPr="007D770B" w:rsidRDefault="00331FED" w:rsidP="00AE698A">
      <w:pPr>
        <w:pStyle w:val="aa"/>
        <w:numPr>
          <w:ilvl w:val="0"/>
          <w:numId w:val="359"/>
        </w:numPr>
        <w:spacing w:after="0" w:line="259" w:lineRule="auto"/>
        <w:rPr>
          <w:rFonts w:ascii="Times New Roman" w:hAnsi="Times New Roman"/>
          <w:lang w:val="en-US"/>
        </w:rPr>
      </w:pPr>
      <w:r w:rsidRPr="007D770B">
        <w:rPr>
          <w:rFonts w:ascii="Times New Roman" w:hAnsi="Times New Roman"/>
          <w:lang w:val="en-US"/>
        </w:rPr>
        <w:t>Actual or expected significant change in the external credit rating of the financial instrument;</w:t>
      </w:r>
    </w:p>
    <w:p w14:paraId="6BFC0D62" w14:textId="77777777" w:rsidR="00331FED" w:rsidRPr="007D770B" w:rsidRDefault="00331FED" w:rsidP="00AE698A">
      <w:pPr>
        <w:pStyle w:val="aa"/>
        <w:numPr>
          <w:ilvl w:val="0"/>
          <w:numId w:val="359"/>
        </w:numPr>
        <w:spacing w:after="0" w:line="259" w:lineRule="auto"/>
        <w:rPr>
          <w:rFonts w:ascii="Times New Roman" w:hAnsi="Times New Roman"/>
          <w:lang w:val="en-US"/>
        </w:rPr>
      </w:pPr>
      <w:r w:rsidRPr="007D770B">
        <w:rPr>
          <w:rFonts w:ascii="Times New Roman" w:hAnsi="Times New Roman"/>
          <w:lang w:val="en-US"/>
        </w:rPr>
        <w:t>Deterioration in economic, commercial or financial conditions that may affect the counterparty's ability to meet its obligations (increase in interest rates, increase in unemployment rates);</w:t>
      </w:r>
    </w:p>
    <w:p w14:paraId="3F9A6390" w14:textId="77777777" w:rsidR="00331FED" w:rsidRPr="007D770B" w:rsidRDefault="00331FED" w:rsidP="00AE698A">
      <w:pPr>
        <w:pStyle w:val="aa"/>
        <w:numPr>
          <w:ilvl w:val="0"/>
          <w:numId w:val="359"/>
        </w:numPr>
        <w:spacing w:after="0" w:line="259" w:lineRule="auto"/>
        <w:rPr>
          <w:rFonts w:ascii="Times New Roman" w:hAnsi="Times New Roman"/>
          <w:lang w:val="en-US"/>
        </w:rPr>
      </w:pPr>
      <w:r w:rsidRPr="007D770B">
        <w:rPr>
          <w:rFonts w:ascii="Times New Roman" w:hAnsi="Times New Roman"/>
          <w:lang w:val="en-US"/>
        </w:rPr>
        <w:t xml:space="preserve">Deterioration of financial indicators of the borrower/issuer (profit, </w:t>
      </w:r>
      <w:r>
        <w:rPr>
          <w:rFonts w:ascii="Times New Roman" w:hAnsi="Times New Roman"/>
          <w:lang w:val="en-GB"/>
        </w:rPr>
        <w:t>EBITDA</w:t>
      </w:r>
      <w:r w:rsidRPr="007D770B">
        <w:rPr>
          <w:rFonts w:ascii="Times New Roman" w:hAnsi="Times New Roman"/>
          <w:lang w:val="en-US"/>
        </w:rPr>
        <w:t>, liquidity);</w:t>
      </w:r>
    </w:p>
    <w:p w14:paraId="20EA5891" w14:textId="77777777" w:rsidR="00331FED" w:rsidRPr="007D770B" w:rsidRDefault="00331FED" w:rsidP="00AE698A">
      <w:pPr>
        <w:pStyle w:val="aa"/>
        <w:numPr>
          <w:ilvl w:val="0"/>
          <w:numId w:val="359"/>
        </w:numPr>
        <w:spacing w:after="0" w:line="259" w:lineRule="auto"/>
        <w:rPr>
          <w:rFonts w:ascii="Times New Roman" w:hAnsi="Times New Roman"/>
          <w:lang w:val="en-US"/>
        </w:rPr>
      </w:pPr>
      <w:r w:rsidRPr="007D770B">
        <w:rPr>
          <w:rFonts w:ascii="Times New Roman" w:hAnsi="Times New Roman"/>
          <w:lang w:val="en-US"/>
        </w:rPr>
        <w:t>Reduction in the value of collateral or guarantees provided;</w:t>
      </w:r>
    </w:p>
    <w:p w14:paraId="59547091" w14:textId="77777777" w:rsidR="00331FED" w:rsidRPr="007D770B" w:rsidRDefault="00331FED" w:rsidP="00AE698A">
      <w:pPr>
        <w:pStyle w:val="aa"/>
        <w:numPr>
          <w:ilvl w:val="0"/>
          <w:numId w:val="359"/>
        </w:numPr>
        <w:spacing w:after="0" w:line="259" w:lineRule="auto"/>
        <w:rPr>
          <w:rFonts w:ascii="Times New Roman" w:hAnsi="Times New Roman"/>
          <w:lang w:val="en-US"/>
        </w:rPr>
      </w:pPr>
      <w:r w:rsidRPr="007D770B">
        <w:rPr>
          <w:rFonts w:ascii="Times New Roman" w:hAnsi="Times New Roman"/>
          <w:lang w:val="en-US"/>
        </w:rPr>
        <w:t>The disappearance of an active market for a financial asset.</w:t>
      </w:r>
    </w:p>
    <w:p w14:paraId="176F45DE" w14:textId="77777777" w:rsidR="00331FED" w:rsidRPr="007D770B" w:rsidRDefault="00331FED" w:rsidP="00331FED">
      <w:pPr>
        <w:spacing w:line="259" w:lineRule="auto"/>
        <w:ind w:left="0"/>
        <w:rPr>
          <w:rFonts w:ascii="Times New Roman" w:hAnsi="Times New Roman"/>
          <w:lang w:val="en-US"/>
        </w:rPr>
      </w:pPr>
      <w:r w:rsidRPr="007D770B">
        <w:rPr>
          <w:rFonts w:ascii="Times New Roman" w:hAnsi="Times New Roman"/>
          <w:lang w:val="en-US"/>
        </w:rPr>
        <w:t>If it is probable that the Bank will not be able to collect the full amount of the debt (principal and interest) according to the contractual terms, the Bank recognizes an impairment loss on financial assets. The carrying amount of the asset is reduced to its estimated recoverable amount using the correlating allowance account by the amount of expected credit losses over the life of the asset or a 12-month period.</w:t>
      </w:r>
    </w:p>
    <w:p w14:paraId="22D80B4D" w14:textId="77777777" w:rsidR="00331FED" w:rsidRPr="007D770B" w:rsidRDefault="00331FED" w:rsidP="00331FED">
      <w:pPr>
        <w:spacing w:line="259" w:lineRule="auto"/>
        <w:ind w:left="0"/>
        <w:rPr>
          <w:rFonts w:ascii="Times New Roman" w:hAnsi="Times New Roman"/>
          <w:szCs w:val="32"/>
          <w:lang w:val="en-US"/>
        </w:rPr>
      </w:pPr>
      <w:r w:rsidRPr="007D770B">
        <w:rPr>
          <w:rFonts w:ascii="Times New Roman" w:hAnsi="Times New Roman"/>
          <w:szCs w:val="32"/>
          <w:lang w:val="en-US"/>
        </w:rPr>
        <w:t>A detailed description of the valuation of provisions for other financial assets is provided in the Methodology for Impairment of Financial Assets.</w:t>
      </w:r>
    </w:p>
    <w:p w14:paraId="55363E8C" w14:textId="3B113A24" w:rsidR="00331FED" w:rsidRPr="007D770B" w:rsidRDefault="0015369E" w:rsidP="00E61D21">
      <w:pPr>
        <w:pStyle w:val="3"/>
        <w:rPr>
          <w:lang w:val="en-US"/>
        </w:rPr>
      </w:pPr>
      <w:bookmarkStart w:id="117" w:name="_Toc168502037"/>
      <w:r w:rsidRPr="007D770B">
        <w:rPr>
          <w:lang w:val="en-US"/>
        </w:rPr>
        <w:t xml:space="preserve">3.9 </w:t>
      </w:r>
      <w:r w:rsidR="00331FED" w:rsidRPr="007D770B">
        <w:rPr>
          <w:lang w:val="en-US"/>
        </w:rPr>
        <w:t>Offsetting a financial asset and a financial liability</w:t>
      </w:r>
      <w:bookmarkEnd w:id="117"/>
    </w:p>
    <w:p w14:paraId="1D0A55D5" w14:textId="77777777" w:rsidR="00331FED" w:rsidRPr="007D770B" w:rsidRDefault="00331FED" w:rsidP="00331FED">
      <w:pPr>
        <w:autoSpaceDE w:val="0"/>
        <w:autoSpaceDN w:val="0"/>
        <w:adjustRightInd w:val="0"/>
        <w:spacing w:line="240" w:lineRule="auto"/>
        <w:ind w:left="0"/>
        <w:rPr>
          <w:rFonts w:ascii="Times New Roman" w:hAnsi="Times New Roman"/>
          <w:bCs/>
          <w:color w:val="000000"/>
          <w:lang w:val="en-US"/>
        </w:rPr>
      </w:pPr>
      <w:r w:rsidRPr="007D770B">
        <w:rPr>
          <w:rFonts w:ascii="Times New Roman" w:hAnsi="Times New Roman"/>
          <w:bCs/>
          <w:color w:val="000000"/>
          <w:lang w:val="en-US"/>
        </w:rPr>
        <w:t>Financial assets and financial liabilities are offset and the net amount reported in the statement of financial position when, and only when, the Bank recognizes a net amount.</w:t>
      </w:r>
    </w:p>
    <w:p w14:paraId="308B7F1B" w14:textId="77777777" w:rsidR="00331FED" w:rsidRPr="007D770B" w:rsidRDefault="00331FED" w:rsidP="00AE698A">
      <w:pPr>
        <w:pStyle w:val="aa"/>
        <w:numPr>
          <w:ilvl w:val="0"/>
          <w:numId w:val="267"/>
        </w:numPr>
        <w:autoSpaceDE w:val="0"/>
        <w:autoSpaceDN w:val="0"/>
        <w:adjustRightInd w:val="0"/>
        <w:spacing w:line="240" w:lineRule="auto"/>
        <w:contextualSpacing w:val="0"/>
        <w:rPr>
          <w:rFonts w:ascii="Times New Roman" w:hAnsi="Times New Roman"/>
          <w:bCs/>
          <w:color w:val="000000"/>
          <w:lang w:val="en-US"/>
        </w:rPr>
      </w:pPr>
      <w:r w:rsidRPr="007D770B">
        <w:rPr>
          <w:rFonts w:ascii="Times New Roman" w:hAnsi="Times New Roman"/>
          <w:bCs/>
          <w:color w:val="000000"/>
          <w:lang w:val="en-US"/>
        </w:rPr>
        <w:t>has a currently enforceable legal right to set off the recognized amounts; and</w:t>
      </w:r>
    </w:p>
    <w:p w14:paraId="72980785" w14:textId="77777777" w:rsidR="00331FED" w:rsidRPr="007D770B" w:rsidRDefault="00331FED" w:rsidP="00AE698A">
      <w:pPr>
        <w:pStyle w:val="aa"/>
        <w:numPr>
          <w:ilvl w:val="0"/>
          <w:numId w:val="267"/>
        </w:numPr>
        <w:autoSpaceDE w:val="0"/>
        <w:autoSpaceDN w:val="0"/>
        <w:adjustRightInd w:val="0"/>
        <w:spacing w:line="240" w:lineRule="auto"/>
        <w:contextualSpacing w:val="0"/>
        <w:rPr>
          <w:rFonts w:ascii="Times New Roman" w:hAnsi="Times New Roman"/>
          <w:bCs/>
          <w:color w:val="000000"/>
          <w:lang w:val="en-US"/>
        </w:rPr>
      </w:pPr>
      <w:r w:rsidRPr="007D770B">
        <w:rPr>
          <w:rFonts w:ascii="Times New Roman" w:hAnsi="Times New Roman"/>
          <w:bCs/>
          <w:color w:val="000000"/>
          <w:lang w:val="en-US"/>
        </w:rPr>
        <w:t>intends to settle on a net basis or realize the asset and settle the liability simultaneously.</w:t>
      </w:r>
    </w:p>
    <w:p w14:paraId="4D657BEA" w14:textId="0BA46A8E" w:rsidR="00331FED" w:rsidRPr="00C910E2" w:rsidRDefault="00331FED" w:rsidP="00331FED">
      <w:pPr>
        <w:autoSpaceDE w:val="0"/>
        <w:autoSpaceDN w:val="0"/>
        <w:adjustRightInd w:val="0"/>
        <w:spacing w:line="240" w:lineRule="auto"/>
        <w:ind w:left="0"/>
        <w:rPr>
          <w:rFonts w:ascii="Times New Roman" w:hAnsi="Times New Roman"/>
          <w:b/>
          <w:bCs/>
          <w:color w:val="000000"/>
        </w:rPr>
      </w:pPr>
      <w:r w:rsidRPr="007D770B">
        <w:rPr>
          <w:rFonts w:ascii="Times New Roman" w:hAnsi="Times New Roman"/>
          <w:b/>
          <w:bCs/>
          <w:color w:val="000000"/>
          <w:lang w:val="en-US"/>
        </w:rPr>
        <w:t xml:space="preserve">For the first criterion to be met, the Bank must have a legally enforceable right to set-off. </w:t>
      </w:r>
      <w:r w:rsidRPr="00C910E2">
        <w:rPr>
          <w:rFonts w:ascii="Times New Roman" w:hAnsi="Times New Roman"/>
          <w:b/>
          <w:bCs/>
          <w:color w:val="000000"/>
        </w:rPr>
        <w:t>This means that the right to set-off:</w:t>
      </w:r>
    </w:p>
    <w:p w14:paraId="494FB0ED" w14:textId="77777777" w:rsidR="00331FED" w:rsidRPr="007D770B" w:rsidRDefault="00331FED" w:rsidP="00AE698A">
      <w:pPr>
        <w:pStyle w:val="aa"/>
        <w:numPr>
          <w:ilvl w:val="0"/>
          <w:numId w:val="347"/>
        </w:numPr>
        <w:autoSpaceDE w:val="0"/>
        <w:autoSpaceDN w:val="0"/>
        <w:adjustRightInd w:val="0"/>
        <w:spacing w:line="240" w:lineRule="auto"/>
        <w:rPr>
          <w:rFonts w:ascii="Times New Roman" w:hAnsi="Times New Roman"/>
          <w:b/>
          <w:bCs/>
          <w:color w:val="000000"/>
          <w:lang w:val="en-US"/>
        </w:rPr>
      </w:pPr>
      <w:r w:rsidRPr="007D770B">
        <w:rPr>
          <w:rFonts w:ascii="Times New Roman" w:hAnsi="Times New Roman"/>
          <w:b/>
          <w:bCs/>
          <w:color w:val="000000"/>
          <w:lang w:val="en-US"/>
        </w:rPr>
        <w:t>must not be conditional on a future event; and</w:t>
      </w:r>
    </w:p>
    <w:p w14:paraId="114343AD" w14:textId="77777777" w:rsidR="00331FED" w:rsidRPr="007D770B" w:rsidRDefault="00331FED" w:rsidP="00AE698A">
      <w:pPr>
        <w:pStyle w:val="aa"/>
        <w:numPr>
          <w:ilvl w:val="0"/>
          <w:numId w:val="347"/>
        </w:numPr>
        <w:autoSpaceDE w:val="0"/>
        <w:autoSpaceDN w:val="0"/>
        <w:adjustRightInd w:val="0"/>
        <w:spacing w:line="240" w:lineRule="auto"/>
        <w:rPr>
          <w:rFonts w:ascii="Times New Roman" w:hAnsi="Times New Roman"/>
          <w:b/>
          <w:bCs/>
          <w:color w:val="000000"/>
          <w:lang w:val="en-US"/>
        </w:rPr>
      </w:pPr>
      <w:r w:rsidRPr="007D770B">
        <w:rPr>
          <w:rFonts w:ascii="Times New Roman" w:hAnsi="Times New Roman"/>
          <w:b/>
          <w:bCs/>
          <w:color w:val="000000"/>
          <w:lang w:val="en-US"/>
        </w:rPr>
        <w:t>must be legally defensible in all of the following circumstances:</w:t>
      </w:r>
    </w:p>
    <w:p w14:paraId="5C87F393" w14:textId="77777777" w:rsidR="00331FED" w:rsidRPr="007D770B" w:rsidRDefault="00331FED" w:rsidP="00AE698A">
      <w:pPr>
        <w:pStyle w:val="aa"/>
        <w:numPr>
          <w:ilvl w:val="0"/>
          <w:numId w:val="348"/>
        </w:numPr>
        <w:autoSpaceDE w:val="0"/>
        <w:autoSpaceDN w:val="0"/>
        <w:adjustRightInd w:val="0"/>
        <w:spacing w:line="240" w:lineRule="auto"/>
        <w:rPr>
          <w:rFonts w:ascii="Times New Roman" w:hAnsi="Times New Roman"/>
          <w:b/>
          <w:bCs/>
          <w:color w:val="000000"/>
          <w:lang w:val="en-US"/>
        </w:rPr>
      </w:pPr>
      <w:r w:rsidRPr="007D770B">
        <w:rPr>
          <w:rFonts w:ascii="Times New Roman" w:hAnsi="Times New Roman"/>
          <w:b/>
          <w:bCs/>
          <w:color w:val="000000"/>
          <w:lang w:val="en-US"/>
        </w:rPr>
        <w:t>in the ordinary course of business;</w:t>
      </w:r>
    </w:p>
    <w:p w14:paraId="6698434A" w14:textId="77777777" w:rsidR="00331FED" w:rsidRPr="007D770B" w:rsidRDefault="00331FED" w:rsidP="00AE698A">
      <w:pPr>
        <w:pStyle w:val="aa"/>
        <w:numPr>
          <w:ilvl w:val="0"/>
          <w:numId w:val="348"/>
        </w:numPr>
        <w:autoSpaceDE w:val="0"/>
        <w:autoSpaceDN w:val="0"/>
        <w:adjustRightInd w:val="0"/>
        <w:spacing w:line="240" w:lineRule="auto"/>
        <w:rPr>
          <w:rFonts w:ascii="Times New Roman" w:hAnsi="Times New Roman"/>
          <w:b/>
          <w:bCs/>
          <w:color w:val="000000"/>
          <w:lang w:val="en-US"/>
        </w:rPr>
      </w:pPr>
      <w:r w:rsidRPr="007D770B">
        <w:rPr>
          <w:rFonts w:ascii="Times New Roman" w:hAnsi="Times New Roman"/>
          <w:b/>
          <w:bCs/>
          <w:color w:val="000000"/>
          <w:lang w:val="en-US"/>
        </w:rPr>
        <w:t>in the event of default; and</w:t>
      </w:r>
    </w:p>
    <w:p w14:paraId="7A5A5581" w14:textId="5F5B0FFA" w:rsidR="00331FED" w:rsidRPr="007D770B" w:rsidRDefault="00331FED" w:rsidP="00AE698A">
      <w:pPr>
        <w:pStyle w:val="aa"/>
        <w:numPr>
          <w:ilvl w:val="0"/>
          <w:numId w:val="348"/>
        </w:numPr>
        <w:autoSpaceDE w:val="0"/>
        <w:autoSpaceDN w:val="0"/>
        <w:adjustRightInd w:val="0"/>
        <w:spacing w:line="240" w:lineRule="auto"/>
        <w:rPr>
          <w:rFonts w:ascii="Times New Roman" w:hAnsi="Times New Roman"/>
          <w:b/>
          <w:bCs/>
          <w:color w:val="000000"/>
          <w:lang w:val="en-US"/>
        </w:rPr>
      </w:pPr>
      <w:r w:rsidRPr="007D770B">
        <w:rPr>
          <w:rFonts w:ascii="Times New Roman" w:hAnsi="Times New Roman"/>
          <w:b/>
          <w:bCs/>
          <w:color w:val="000000"/>
          <w:lang w:val="en-US"/>
        </w:rPr>
        <w:t xml:space="preserve">in the event of insolvency or bankruptcy of the </w:t>
      </w:r>
      <w:r w:rsidR="00EE3CCF" w:rsidRPr="007D770B">
        <w:rPr>
          <w:rFonts w:ascii="Times New Roman" w:hAnsi="Times New Roman"/>
          <w:b/>
          <w:bCs/>
          <w:color w:val="000000"/>
          <w:lang w:val="en-US"/>
        </w:rPr>
        <w:t xml:space="preserve">Bank </w:t>
      </w:r>
      <w:r w:rsidRPr="007D770B">
        <w:rPr>
          <w:rFonts w:ascii="Times New Roman" w:hAnsi="Times New Roman"/>
          <w:b/>
          <w:bCs/>
          <w:color w:val="000000"/>
          <w:lang w:val="en-US"/>
        </w:rPr>
        <w:t>or any of its counterparties.</w:t>
      </w:r>
    </w:p>
    <w:p w14:paraId="768F3E14" w14:textId="04689888" w:rsidR="00331FED" w:rsidRPr="007D770B" w:rsidRDefault="00331FED" w:rsidP="00331FED">
      <w:pPr>
        <w:autoSpaceDE w:val="0"/>
        <w:autoSpaceDN w:val="0"/>
        <w:adjustRightInd w:val="0"/>
        <w:spacing w:line="240" w:lineRule="auto"/>
        <w:ind w:left="0"/>
        <w:rPr>
          <w:rFonts w:ascii="Times New Roman" w:hAnsi="Times New Roman"/>
          <w:b/>
          <w:bCs/>
          <w:color w:val="000000"/>
          <w:lang w:val="en-US"/>
        </w:rPr>
      </w:pPr>
      <w:r w:rsidRPr="007D770B">
        <w:rPr>
          <w:rFonts w:ascii="Times New Roman" w:hAnsi="Times New Roman"/>
          <w:b/>
          <w:bCs/>
          <w:color w:val="000000"/>
          <w:lang w:val="en-US"/>
        </w:rPr>
        <w:t>In accounting for a transfer of a financial asset that does not qualify for derecognition, the Bank does not offset the transferred asset and the related liability. Similarly, when receiving an asset that has not been derecognized by the transferring entity, the transferred asset is not offset against the related liability of the transferring entity. For example, if the Bank receives non-cash collateral equal to the transferor's liability to the Bank, the Bank does not have a legally enforceable right to set off those amounts because the transferor has not derecognized the collateral.</w:t>
      </w:r>
    </w:p>
    <w:p w14:paraId="704D8E28" w14:textId="72F8A900" w:rsidR="00331FED" w:rsidRPr="007D770B" w:rsidRDefault="00331FED" w:rsidP="00331FED">
      <w:pPr>
        <w:autoSpaceDE w:val="0"/>
        <w:autoSpaceDN w:val="0"/>
        <w:adjustRightInd w:val="0"/>
        <w:spacing w:line="240" w:lineRule="auto"/>
        <w:ind w:left="0"/>
        <w:rPr>
          <w:rFonts w:ascii="Times New Roman" w:hAnsi="Times New Roman"/>
          <w:b/>
          <w:bCs/>
          <w:color w:val="000000"/>
          <w:lang w:val="en-US"/>
        </w:rPr>
      </w:pPr>
      <w:r w:rsidRPr="007D770B">
        <w:rPr>
          <w:rFonts w:ascii="Times New Roman" w:hAnsi="Times New Roman"/>
          <w:b/>
          <w:bCs/>
          <w:color w:val="000000"/>
          <w:lang w:val="en-US"/>
        </w:rPr>
        <w:lastRenderedPageBreak/>
        <w:t>If the Bank intends to settle on a net basis or to realize an asset and discharge a liability simultaneously, it can do so if the gross settlement mechanism has features that result in little or no credit and liquidity risk and ensures that receivables and payables are processed through a single settlement process or cycle. For example, the net settlement criterion would be met for a gross settlement system that has all of the following characteristics:</w:t>
      </w:r>
    </w:p>
    <w:p w14:paraId="6A538F56" w14:textId="77777777" w:rsidR="00331FED" w:rsidRPr="007D770B" w:rsidRDefault="00331FED" w:rsidP="00AE698A">
      <w:pPr>
        <w:pStyle w:val="aa"/>
        <w:numPr>
          <w:ilvl w:val="0"/>
          <w:numId w:val="349"/>
        </w:numPr>
        <w:autoSpaceDE w:val="0"/>
        <w:autoSpaceDN w:val="0"/>
        <w:adjustRightInd w:val="0"/>
        <w:spacing w:line="240" w:lineRule="auto"/>
        <w:rPr>
          <w:rFonts w:ascii="Times New Roman" w:hAnsi="Times New Roman"/>
          <w:b/>
          <w:bCs/>
          <w:color w:val="000000"/>
          <w:lang w:val="en-US"/>
        </w:rPr>
      </w:pPr>
      <w:r w:rsidRPr="007D770B">
        <w:rPr>
          <w:rFonts w:ascii="Times New Roman" w:hAnsi="Times New Roman"/>
          <w:b/>
          <w:bCs/>
          <w:color w:val="000000"/>
          <w:lang w:val="en-US"/>
        </w:rPr>
        <w:t>financial assets and financial liabilities authorized for offsetting are presented for processing at the same point in time;</w:t>
      </w:r>
    </w:p>
    <w:p w14:paraId="22AECB5B" w14:textId="77777777" w:rsidR="00331FED" w:rsidRPr="007D770B" w:rsidRDefault="00331FED" w:rsidP="00AE698A">
      <w:pPr>
        <w:pStyle w:val="aa"/>
        <w:numPr>
          <w:ilvl w:val="0"/>
          <w:numId w:val="349"/>
        </w:numPr>
        <w:autoSpaceDE w:val="0"/>
        <w:autoSpaceDN w:val="0"/>
        <w:adjustRightInd w:val="0"/>
        <w:spacing w:line="240" w:lineRule="auto"/>
        <w:rPr>
          <w:rFonts w:ascii="Times New Roman" w:hAnsi="Times New Roman"/>
          <w:b/>
          <w:bCs/>
          <w:color w:val="000000"/>
          <w:lang w:val="en-US"/>
        </w:rPr>
      </w:pPr>
      <w:r w:rsidRPr="007D770B">
        <w:rPr>
          <w:rFonts w:ascii="Times New Roman" w:hAnsi="Times New Roman"/>
          <w:b/>
          <w:bCs/>
          <w:color w:val="000000"/>
          <w:lang w:val="en-US"/>
        </w:rPr>
        <w:t>once the financial assets and financial liabilities have been presented for processing, the parties to the contract are required to fulfill the obligation to settle;</w:t>
      </w:r>
    </w:p>
    <w:p w14:paraId="26BC383A" w14:textId="77777777" w:rsidR="00331FED" w:rsidRPr="007D770B" w:rsidRDefault="00331FED" w:rsidP="00AE698A">
      <w:pPr>
        <w:pStyle w:val="aa"/>
        <w:numPr>
          <w:ilvl w:val="0"/>
          <w:numId w:val="349"/>
        </w:numPr>
        <w:autoSpaceDE w:val="0"/>
        <w:autoSpaceDN w:val="0"/>
        <w:adjustRightInd w:val="0"/>
        <w:spacing w:line="240" w:lineRule="auto"/>
        <w:rPr>
          <w:rFonts w:ascii="Times New Roman" w:hAnsi="Times New Roman"/>
          <w:b/>
          <w:bCs/>
          <w:color w:val="000000"/>
          <w:lang w:val="en-US"/>
        </w:rPr>
      </w:pPr>
      <w:r w:rsidRPr="007D770B">
        <w:rPr>
          <w:rFonts w:ascii="Times New Roman" w:hAnsi="Times New Roman"/>
          <w:b/>
          <w:bCs/>
          <w:color w:val="000000"/>
          <w:lang w:val="en-US"/>
        </w:rPr>
        <w:t>there is no possibility of changes in the cash flows arising from assets and liabilities after they have been presented for processing (unless the processing will not take place - see (d) below);</w:t>
      </w:r>
    </w:p>
    <w:p w14:paraId="1DC5DE91" w14:textId="77777777" w:rsidR="00331FED" w:rsidRPr="007D770B" w:rsidRDefault="00331FED" w:rsidP="00AE698A">
      <w:pPr>
        <w:pStyle w:val="aa"/>
        <w:numPr>
          <w:ilvl w:val="0"/>
          <w:numId w:val="349"/>
        </w:numPr>
        <w:autoSpaceDE w:val="0"/>
        <w:autoSpaceDN w:val="0"/>
        <w:adjustRightInd w:val="0"/>
        <w:spacing w:line="240" w:lineRule="auto"/>
        <w:rPr>
          <w:rFonts w:ascii="Times New Roman" w:hAnsi="Times New Roman"/>
          <w:b/>
          <w:bCs/>
          <w:color w:val="000000"/>
          <w:lang w:val="en-US"/>
        </w:rPr>
      </w:pPr>
      <w:r w:rsidRPr="007D770B">
        <w:rPr>
          <w:rFonts w:ascii="Times New Roman" w:hAnsi="Times New Roman"/>
          <w:b/>
          <w:bCs/>
          <w:color w:val="000000"/>
          <w:lang w:val="en-US"/>
        </w:rPr>
        <w:t>assets and liabilities collateralized by securities will be settled by transfer of securities or by a similar system (e.g., delivery versus payment) such that if no transfer of securities occurs, the related receivable or payable for which the securities are collateral will also not be processed (and vice versa);</w:t>
      </w:r>
    </w:p>
    <w:p w14:paraId="4AF81DD1" w14:textId="77777777" w:rsidR="00331FED" w:rsidRPr="007D770B" w:rsidRDefault="00331FED" w:rsidP="00AE698A">
      <w:pPr>
        <w:pStyle w:val="aa"/>
        <w:numPr>
          <w:ilvl w:val="0"/>
          <w:numId w:val="349"/>
        </w:numPr>
        <w:autoSpaceDE w:val="0"/>
        <w:autoSpaceDN w:val="0"/>
        <w:adjustRightInd w:val="0"/>
        <w:spacing w:line="240" w:lineRule="auto"/>
        <w:rPr>
          <w:rFonts w:ascii="Times New Roman" w:hAnsi="Times New Roman"/>
          <w:b/>
          <w:bCs/>
          <w:color w:val="000000"/>
          <w:lang w:val="en-US"/>
        </w:rPr>
      </w:pPr>
      <w:r w:rsidRPr="007D770B">
        <w:rPr>
          <w:rFonts w:ascii="Times New Roman" w:hAnsi="Times New Roman"/>
          <w:b/>
          <w:bCs/>
          <w:color w:val="000000"/>
          <w:lang w:val="en-US"/>
        </w:rPr>
        <w:t>transactions that have not been settled as specified in subparagraph (d) will be resubmitted for processing until they are settled;</w:t>
      </w:r>
    </w:p>
    <w:p w14:paraId="2B9CBD29" w14:textId="77777777" w:rsidR="00331FED" w:rsidRPr="007D770B" w:rsidRDefault="00331FED" w:rsidP="00AE698A">
      <w:pPr>
        <w:pStyle w:val="aa"/>
        <w:numPr>
          <w:ilvl w:val="0"/>
          <w:numId w:val="349"/>
        </w:numPr>
        <w:autoSpaceDE w:val="0"/>
        <w:autoSpaceDN w:val="0"/>
        <w:adjustRightInd w:val="0"/>
        <w:spacing w:line="240" w:lineRule="auto"/>
        <w:rPr>
          <w:rFonts w:ascii="Times New Roman" w:hAnsi="Times New Roman"/>
          <w:b/>
          <w:bCs/>
          <w:color w:val="000000"/>
          <w:lang w:val="en-US"/>
        </w:rPr>
      </w:pPr>
      <w:r w:rsidRPr="007D770B">
        <w:rPr>
          <w:rFonts w:ascii="Times New Roman" w:hAnsi="Times New Roman"/>
          <w:b/>
          <w:bCs/>
          <w:color w:val="000000"/>
          <w:lang w:val="en-US"/>
        </w:rPr>
        <w:t>Settlement is effected through the same settlement organization (e.g., payment system clearing bank, central bank, or central securities depository); and</w:t>
      </w:r>
    </w:p>
    <w:p w14:paraId="37118664" w14:textId="77777777" w:rsidR="00331FED" w:rsidRPr="007D770B" w:rsidRDefault="00331FED" w:rsidP="00AE698A">
      <w:pPr>
        <w:pStyle w:val="aa"/>
        <w:numPr>
          <w:ilvl w:val="0"/>
          <w:numId w:val="349"/>
        </w:numPr>
        <w:autoSpaceDE w:val="0"/>
        <w:autoSpaceDN w:val="0"/>
        <w:adjustRightInd w:val="0"/>
        <w:spacing w:line="240" w:lineRule="auto"/>
        <w:rPr>
          <w:rFonts w:ascii="Times New Roman" w:hAnsi="Times New Roman"/>
          <w:b/>
          <w:bCs/>
          <w:color w:val="000000"/>
          <w:lang w:val="en-US"/>
        </w:rPr>
      </w:pPr>
      <w:r w:rsidRPr="007D770B">
        <w:rPr>
          <w:rFonts w:ascii="Times New Roman" w:hAnsi="Times New Roman"/>
          <w:b/>
          <w:bCs/>
          <w:color w:val="000000"/>
          <w:lang w:val="en-US"/>
        </w:rPr>
        <w:t>there is a same-day credit facility that allows sufficient amounts to be drawn on the overdraft facility to enable each party to ensure that payments are made on the settlement date and there is virtually certainty that the parties will utilize the same-day credit facility if the need arises.</w:t>
      </w:r>
    </w:p>
    <w:p w14:paraId="365D8285" w14:textId="48784907" w:rsidR="00331FED" w:rsidRPr="007D770B" w:rsidRDefault="00331FED" w:rsidP="00331FED">
      <w:pPr>
        <w:autoSpaceDE w:val="0"/>
        <w:autoSpaceDN w:val="0"/>
        <w:adjustRightInd w:val="0"/>
        <w:spacing w:line="240" w:lineRule="auto"/>
        <w:ind w:left="0"/>
        <w:rPr>
          <w:rFonts w:ascii="Times New Roman" w:hAnsi="Times New Roman"/>
          <w:bCs/>
          <w:color w:val="000000"/>
          <w:lang w:val="en-US"/>
        </w:rPr>
      </w:pPr>
      <w:r w:rsidRPr="007D770B">
        <w:rPr>
          <w:rFonts w:ascii="Times New Roman" w:hAnsi="Times New Roman"/>
          <w:bCs/>
          <w:color w:val="000000"/>
          <w:lang w:val="en-US"/>
        </w:rPr>
        <w:t xml:space="preserve">The Bank presents financial assets and financial liabilities on a net basis when it reflects the Bank's expected future cash flows from the settlement of two or more separate financial instruments. </w:t>
      </w:r>
    </w:p>
    <w:p w14:paraId="3C64FA23" w14:textId="77777777" w:rsidR="00331FED" w:rsidRPr="007D770B" w:rsidRDefault="00331FED" w:rsidP="00331FED">
      <w:pPr>
        <w:autoSpaceDE w:val="0"/>
        <w:autoSpaceDN w:val="0"/>
        <w:adjustRightInd w:val="0"/>
        <w:spacing w:line="240" w:lineRule="auto"/>
        <w:ind w:left="0"/>
        <w:rPr>
          <w:rFonts w:ascii="Times New Roman" w:hAnsi="Times New Roman"/>
          <w:bCs/>
          <w:color w:val="000000"/>
          <w:lang w:val="en-US"/>
        </w:rPr>
      </w:pPr>
      <w:r w:rsidRPr="007D770B">
        <w:rPr>
          <w:rFonts w:ascii="Times New Roman" w:hAnsi="Times New Roman"/>
          <w:bCs/>
          <w:color w:val="000000"/>
          <w:lang w:val="en-US"/>
        </w:rPr>
        <w:t xml:space="preserve">When the Bank has the right and intention to receive or pay a net amount, in substance it has only one financial asset or one financial liability. </w:t>
      </w:r>
    </w:p>
    <w:p w14:paraId="08DCF80B" w14:textId="77777777" w:rsidR="00331FED" w:rsidRPr="007D770B" w:rsidRDefault="00331FED" w:rsidP="00331FED">
      <w:pPr>
        <w:autoSpaceDE w:val="0"/>
        <w:autoSpaceDN w:val="0"/>
        <w:adjustRightInd w:val="0"/>
        <w:spacing w:line="240" w:lineRule="auto"/>
        <w:ind w:left="0"/>
        <w:rPr>
          <w:rFonts w:ascii="Times New Roman" w:hAnsi="Times New Roman"/>
          <w:bCs/>
          <w:color w:val="000000"/>
          <w:lang w:val="en-US"/>
        </w:rPr>
      </w:pPr>
      <w:r w:rsidRPr="007D770B">
        <w:rPr>
          <w:rFonts w:ascii="Times New Roman" w:hAnsi="Times New Roman"/>
          <w:bCs/>
          <w:color w:val="000000"/>
          <w:lang w:val="en-US"/>
        </w:rPr>
        <w:t>In other cases, financial assets and financial liabilities are presented separately from each other in accordance with their characterization as resources or liabilities of the Bank.</w:t>
      </w:r>
    </w:p>
    <w:p w14:paraId="202483FB" w14:textId="77777777" w:rsidR="00331FED" w:rsidRPr="007D770B" w:rsidRDefault="00331FED" w:rsidP="00331FED">
      <w:pPr>
        <w:autoSpaceDE w:val="0"/>
        <w:autoSpaceDN w:val="0"/>
        <w:adjustRightInd w:val="0"/>
        <w:spacing w:line="240" w:lineRule="auto"/>
        <w:ind w:left="0"/>
        <w:rPr>
          <w:rFonts w:ascii="Times New Roman" w:hAnsi="Times New Roman"/>
          <w:bCs/>
          <w:color w:val="000000"/>
          <w:lang w:val="en-US"/>
        </w:rPr>
      </w:pPr>
      <w:r w:rsidRPr="007D770B">
        <w:rPr>
          <w:rFonts w:ascii="Times New Roman" w:hAnsi="Times New Roman"/>
          <w:bCs/>
          <w:color w:val="000000"/>
          <w:lang w:val="en-US"/>
        </w:rPr>
        <w:t xml:space="preserve">Offsetting recognized financial assets and financial liabilities and reporting their net amounts is different from derecognizing a financial liability or asset. </w:t>
      </w:r>
    </w:p>
    <w:p w14:paraId="33E800B0" w14:textId="77777777" w:rsidR="00331FED" w:rsidRPr="007D770B" w:rsidRDefault="00331FED" w:rsidP="00331FED">
      <w:pPr>
        <w:autoSpaceDE w:val="0"/>
        <w:autoSpaceDN w:val="0"/>
        <w:adjustRightInd w:val="0"/>
        <w:spacing w:line="240" w:lineRule="auto"/>
        <w:ind w:left="0"/>
        <w:rPr>
          <w:rFonts w:ascii="Times New Roman" w:hAnsi="Times New Roman"/>
          <w:bCs/>
          <w:color w:val="000000"/>
          <w:lang w:val="en-US"/>
        </w:rPr>
      </w:pPr>
      <w:r w:rsidRPr="007D770B">
        <w:rPr>
          <w:rFonts w:ascii="Times New Roman" w:hAnsi="Times New Roman"/>
          <w:bCs/>
          <w:color w:val="000000"/>
          <w:lang w:val="en-US"/>
        </w:rPr>
        <w:t>Whereas offsetting does not result in the recognition of a gain or loss, derecognition of a financial instrument not only results in the removal of the previously recognized item from the statement of financial position, but may also result in the recognition of a gain or loss.</w:t>
      </w:r>
    </w:p>
    <w:p w14:paraId="666F24DF" w14:textId="4DFF388C" w:rsidR="00331FED" w:rsidRPr="007D770B" w:rsidRDefault="00331FED" w:rsidP="00331FED">
      <w:pPr>
        <w:autoSpaceDE w:val="0"/>
        <w:autoSpaceDN w:val="0"/>
        <w:adjustRightInd w:val="0"/>
        <w:spacing w:line="240" w:lineRule="auto"/>
        <w:ind w:left="0"/>
        <w:rPr>
          <w:rFonts w:ascii="Times New Roman" w:hAnsi="Times New Roman"/>
          <w:bCs/>
          <w:color w:val="000000"/>
          <w:lang w:val="en-US"/>
        </w:rPr>
      </w:pPr>
      <w:r w:rsidRPr="007D770B">
        <w:rPr>
          <w:rFonts w:ascii="Times New Roman" w:hAnsi="Times New Roman"/>
          <w:bCs/>
          <w:color w:val="000000"/>
          <w:lang w:val="en-US"/>
        </w:rPr>
        <w:t xml:space="preserve">Right of Setoff - The legal right of a borrower, contractually or otherwise, to repay or cancel </w:t>
      </w:r>
      <w:r w:rsidR="00EE3CCF" w:rsidRPr="007D770B">
        <w:rPr>
          <w:rFonts w:ascii="Times New Roman" w:hAnsi="Times New Roman"/>
          <w:bCs/>
          <w:color w:val="000000"/>
          <w:lang w:val="en-US"/>
        </w:rPr>
        <w:t xml:space="preserve">all, </w:t>
      </w:r>
      <w:r w:rsidRPr="007D770B">
        <w:rPr>
          <w:rFonts w:ascii="Times New Roman" w:hAnsi="Times New Roman"/>
          <w:bCs/>
          <w:color w:val="000000"/>
          <w:lang w:val="en-US"/>
        </w:rPr>
        <w:t xml:space="preserve">or part, of an amount owed to a creditor by setting off against it the amount due from the creditor. </w:t>
      </w:r>
    </w:p>
    <w:p w14:paraId="50E65D0C" w14:textId="77777777" w:rsidR="00331FED" w:rsidRPr="007D770B" w:rsidRDefault="00331FED" w:rsidP="00331FED">
      <w:pPr>
        <w:autoSpaceDE w:val="0"/>
        <w:autoSpaceDN w:val="0"/>
        <w:adjustRightInd w:val="0"/>
        <w:spacing w:line="240" w:lineRule="auto"/>
        <w:ind w:left="0"/>
        <w:rPr>
          <w:rFonts w:ascii="Times New Roman" w:hAnsi="Times New Roman"/>
          <w:bCs/>
          <w:color w:val="000000"/>
          <w:lang w:val="en-US"/>
        </w:rPr>
      </w:pPr>
      <w:r w:rsidRPr="007D770B">
        <w:rPr>
          <w:rFonts w:ascii="Times New Roman" w:hAnsi="Times New Roman"/>
          <w:bCs/>
          <w:color w:val="000000"/>
          <w:lang w:val="en-US"/>
        </w:rPr>
        <w:t>Since the right of set-off is a legal right, the conditions under which this right is exercised may vary from jurisdiction to jurisdiction, so the laws applicable to the relationship between the parties must be taken into account.</w:t>
      </w:r>
    </w:p>
    <w:p w14:paraId="308C6DA0" w14:textId="77777777" w:rsidR="00331FED" w:rsidRPr="007D770B" w:rsidRDefault="00331FED" w:rsidP="00331FED">
      <w:pPr>
        <w:autoSpaceDE w:val="0"/>
        <w:autoSpaceDN w:val="0"/>
        <w:adjustRightInd w:val="0"/>
        <w:spacing w:line="240" w:lineRule="auto"/>
        <w:ind w:left="0"/>
        <w:rPr>
          <w:rFonts w:ascii="Times New Roman" w:hAnsi="Times New Roman"/>
          <w:bCs/>
          <w:color w:val="000000"/>
          <w:lang w:val="en-US"/>
        </w:rPr>
      </w:pPr>
      <w:r w:rsidRPr="007D770B">
        <w:rPr>
          <w:rFonts w:ascii="Times New Roman" w:hAnsi="Times New Roman"/>
          <w:bCs/>
          <w:color w:val="000000"/>
          <w:lang w:val="en-US"/>
        </w:rPr>
        <w:t>The existence of a legally enforceable right to set off a financial asset and a financial liability affects the rights and obligations associated with the financial asset and financial liability and may affect the Bank's exposure to credit and liquidity risks. However, the existence of such a right does not, in and of itself, provide a sufficient basis for offsetting.</w:t>
      </w:r>
    </w:p>
    <w:p w14:paraId="16566BEB" w14:textId="77777777" w:rsidR="00331FED" w:rsidRPr="007D770B" w:rsidRDefault="00331FED" w:rsidP="00331FED">
      <w:pPr>
        <w:autoSpaceDE w:val="0"/>
        <w:autoSpaceDN w:val="0"/>
        <w:adjustRightInd w:val="0"/>
        <w:spacing w:line="240" w:lineRule="auto"/>
        <w:ind w:left="0"/>
        <w:rPr>
          <w:rFonts w:ascii="Times New Roman" w:hAnsi="Times New Roman"/>
          <w:bCs/>
          <w:color w:val="000000"/>
          <w:lang w:val="en-US"/>
        </w:rPr>
      </w:pPr>
      <w:r w:rsidRPr="007D770B">
        <w:rPr>
          <w:rFonts w:ascii="Times New Roman" w:hAnsi="Times New Roman"/>
          <w:bCs/>
          <w:color w:val="000000"/>
          <w:lang w:val="en-US"/>
        </w:rPr>
        <w:t xml:space="preserve">In the absence of an intention to exercise this right or to settle simultaneously, the amount and timing of future cash flows remains unchanged. </w:t>
      </w:r>
    </w:p>
    <w:p w14:paraId="0C76D337" w14:textId="77777777" w:rsidR="00331FED" w:rsidRPr="007D770B" w:rsidRDefault="00331FED" w:rsidP="00331FED">
      <w:pPr>
        <w:autoSpaceDE w:val="0"/>
        <w:autoSpaceDN w:val="0"/>
        <w:adjustRightInd w:val="0"/>
        <w:spacing w:line="240" w:lineRule="auto"/>
        <w:ind w:left="0"/>
        <w:rPr>
          <w:rFonts w:ascii="Times New Roman" w:hAnsi="Times New Roman"/>
          <w:bCs/>
          <w:color w:val="000000"/>
          <w:lang w:val="en-US"/>
        </w:rPr>
      </w:pPr>
      <w:r w:rsidRPr="007D770B">
        <w:rPr>
          <w:rFonts w:ascii="Times New Roman" w:hAnsi="Times New Roman"/>
          <w:bCs/>
          <w:color w:val="000000"/>
          <w:lang w:val="en-US"/>
        </w:rPr>
        <w:t xml:space="preserve">Where the Bank intends to exercise its right or settle simultaneously, the presentation of the asset and liability on a net basis better reflects the amount and timing of expected future cash flows and the risks to which those cash flows are exposed. </w:t>
      </w:r>
    </w:p>
    <w:p w14:paraId="4591AB57" w14:textId="77777777" w:rsidR="00331FED" w:rsidRPr="007D770B" w:rsidRDefault="00331FED" w:rsidP="00331FED">
      <w:pPr>
        <w:autoSpaceDE w:val="0"/>
        <w:autoSpaceDN w:val="0"/>
        <w:adjustRightInd w:val="0"/>
        <w:spacing w:line="240" w:lineRule="auto"/>
        <w:ind w:left="0"/>
        <w:rPr>
          <w:rFonts w:ascii="Times New Roman" w:hAnsi="Times New Roman"/>
          <w:bCs/>
          <w:color w:val="000000"/>
          <w:lang w:val="en-US"/>
        </w:rPr>
      </w:pPr>
      <w:r w:rsidRPr="007D770B">
        <w:rPr>
          <w:rFonts w:ascii="Times New Roman" w:hAnsi="Times New Roman"/>
          <w:bCs/>
          <w:color w:val="000000"/>
          <w:lang w:val="en-US"/>
        </w:rPr>
        <w:t>The intention of one or both parties to settle on a net basis without a legally enforceable right is not a sufficient justification for offsetting because the rights and obligations associated with the individual financial asset and financial liability remain unchanged.</w:t>
      </w:r>
    </w:p>
    <w:p w14:paraId="0066F197" w14:textId="77777777" w:rsidR="00331FED" w:rsidRPr="007D770B" w:rsidRDefault="00331FED" w:rsidP="00331FED">
      <w:pPr>
        <w:autoSpaceDE w:val="0"/>
        <w:autoSpaceDN w:val="0"/>
        <w:adjustRightInd w:val="0"/>
        <w:spacing w:line="240" w:lineRule="auto"/>
        <w:ind w:left="0"/>
        <w:rPr>
          <w:rFonts w:ascii="Times New Roman" w:hAnsi="Times New Roman"/>
          <w:bCs/>
          <w:color w:val="000000"/>
          <w:lang w:val="en-US"/>
        </w:rPr>
      </w:pPr>
      <w:r w:rsidRPr="007D770B">
        <w:rPr>
          <w:rFonts w:ascii="Times New Roman" w:hAnsi="Times New Roman"/>
          <w:bCs/>
          <w:color w:val="000000"/>
          <w:lang w:val="en-US"/>
        </w:rPr>
        <w:t xml:space="preserve">The Bank's intention to settle specific assets and liabilities may be affected by the Bank's usual business practices, financial market requirements and other circumstances that may limit the Bank's ability to settle on a net basis or to settle on a net basis simultaneously. </w:t>
      </w:r>
    </w:p>
    <w:p w14:paraId="084EDE30" w14:textId="2D76BFAF" w:rsidR="00331FED" w:rsidRPr="007D770B" w:rsidRDefault="00331FED" w:rsidP="00331FED">
      <w:pPr>
        <w:autoSpaceDE w:val="0"/>
        <w:autoSpaceDN w:val="0"/>
        <w:adjustRightInd w:val="0"/>
        <w:spacing w:line="240" w:lineRule="auto"/>
        <w:ind w:left="0"/>
        <w:rPr>
          <w:rFonts w:ascii="Times New Roman" w:hAnsi="Times New Roman"/>
          <w:bCs/>
          <w:color w:val="000000"/>
          <w:lang w:val="en-US"/>
        </w:rPr>
      </w:pPr>
      <w:r w:rsidRPr="007D770B">
        <w:rPr>
          <w:rFonts w:ascii="Times New Roman" w:hAnsi="Times New Roman"/>
          <w:bCs/>
          <w:color w:val="000000"/>
          <w:lang w:val="en-US"/>
        </w:rPr>
        <w:lastRenderedPageBreak/>
        <w:t>If the Bank has a right of set-off but does not intend to net settle or realize the asset and simultaneously settle the liability, the effect of that right on the Bank's credit risk exposure is disclosed in accordance with the requirements of IFRS 7.</w:t>
      </w:r>
    </w:p>
    <w:p w14:paraId="54AE90FC" w14:textId="77777777" w:rsidR="00331FED" w:rsidRPr="007D770B" w:rsidRDefault="00331FED" w:rsidP="00331FED">
      <w:pPr>
        <w:autoSpaceDE w:val="0"/>
        <w:autoSpaceDN w:val="0"/>
        <w:adjustRightInd w:val="0"/>
        <w:spacing w:line="240" w:lineRule="auto"/>
        <w:ind w:left="0"/>
        <w:rPr>
          <w:rFonts w:ascii="Times New Roman" w:hAnsi="Times New Roman"/>
          <w:bCs/>
          <w:color w:val="000000"/>
          <w:lang w:val="en-US"/>
        </w:rPr>
      </w:pPr>
      <w:r w:rsidRPr="007D770B">
        <w:rPr>
          <w:rFonts w:ascii="Times New Roman" w:hAnsi="Times New Roman"/>
          <w:bCs/>
          <w:color w:val="000000"/>
          <w:lang w:val="en-US"/>
        </w:rPr>
        <w:t xml:space="preserve">Simultaneous settlement of two financial instruments may occur, for example, through a clearing house in an organized financial market or when exchanged directly between the participants in a transaction. </w:t>
      </w:r>
    </w:p>
    <w:p w14:paraId="47FCE895" w14:textId="77777777" w:rsidR="00331FED" w:rsidRPr="007D770B" w:rsidRDefault="00331FED" w:rsidP="00331FED">
      <w:pPr>
        <w:autoSpaceDE w:val="0"/>
        <w:autoSpaceDN w:val="0"/>
        <w:adjustRightInd w:val="0"/>
        <w:spacing w:line="240" w:lineRule="auto"/>
        <w:ind w:left="0"/>
        <w:rPr>
          <w:rFonts w:ascii="Times New Roman" w:hAnsi="Times New Roman"/>
          <w:bCs/>
          <w:color w:val="000000"/>
          <w:lang w:val="en-US"/>
        </w:rPr>
      </w:pPr>
      <w:r w:rsidRPr="007D770B">
        <w:rPr>
          <w:rFonts w:ascii="Times New Roman" w:hAnsi="Times New Roman"/>
          <w:bCs/>
          <w:color w:val="000000"/>
          <w:lang w:val="en-US"/>
        </w:rPr>
        <w:t xml:space="preserve">Under these circumstances, cash flows are essentially equivalent to one net amount and there is no exposure to credit or liquidity risk. </w:t>
      </w:r>
    </w:p>
    <w:p w14:paraId="4C736CE7" w14:textId="77777777" w:rsidR="00331FED" w:rsidRPr="007D770B" w:rsidRDefault="00331FED" w:rsidP="00331FED">
      <w:pPr>
        <w:autoSpaceDE w:val="0"/>
        <w:autoSpaceDN w:val="0"/>
        <w:adjustRightInd w:val="0"/>
        <w:spacing w:line="240" w:lineRule="auto"/>
        <w:ind w:left="0"/>
        <w:rPr>
          <w:rFonts w:ascii="Times New Roman" w:hAnsi="Times New Roman"/>
          <w:bCs/>
          <w:color w:val="000000"/>
          <w:lang w:val="en-US"/>
        </w:rPr>
      </w:pPr>
      <w:r w:rsidRPr="007D770B">
        <w:rPr>
          <w:rFonts w:ascii="Times New Roman" w:hAnsi="Times New Roman"/>
          <w:bCs/>
          <w:color w:val="000000"/>
          <w:lang w:val="en-US"/>
        </w:rPr>
        <w:t xml:space="preserve">In other cases, the Bank may settle the two instruments by receiving and paying separate amounts, exposing it to credit risk for the full amount of the asset or liquidity risk for the full amount of the liability. </w:t>
      </w:r>
    </w:p>
    <w:p w14:paraId="0325AC6B" w14:textId="77777777" w:rsidR="00331FED" w:rsidRPr="007D770B" w:rsidRDefault="00331FED" w:rsidP="00331FED">
      <w:pPr>
        <w:autoSpaceDE w:val="0"/>
        <w:autoSpaceDN w:val="0"/>
        <w:adjustRightInd w:val="0"/>
        <w:spacing w:line="240" w:lineRule="auto"/>
        <w:ind w:left="0"/>
        <w:rPr>
          <w:rFonts w:ascii="Times New Roman" w:hAnsi="Times New Roman"/>
          <w:bCs/>
          <w:color w:val="000000"/>
          <w:lang w:val="en-US"/>
        </w:rPr>
      </w:pPr>
      <w:r w:rsidRPr="007D770B">
        <w:rPr>
          <w:rFonts w:ascii="Times New Roman" w:hAnsi="Times New Roman"/>
          <w:bCs/>
          <w:color w:val="000000"/>
          <w:lang w:val="en-US"/>
        </w:rPr>
        <w:t>Such risks may be significant, although relatively short-lived. Accordingly, the realization of a financial asset and the settlement of a financial liability are considered simultaneous only when the transactions occur at the same time.</w:t>
      </w:r>
    </w:p>
    <w:p w14:paraId="575437D2" w14:textId="77777777" w:rsidR="00331FED" w:rsidRPr="007D770B" w:rsidRDefault="00331FED" w:rsidP="00331FED">
      <w:pPr>
        <w:autoSpaceDE w:val="0"/>
        <w:autoSpaceDN w:val="0"/>
        <w:adjustRightInd w:val="0"/>
        <w:spacing w:line="240" w:lineRule="auto"/>
        <w:ind w:left="0"/>
        <w:rPr>
          <w:rFonts w:ascii="Times New Roman" w:hAnsi="Times New Roman"/>
          <w:bCs/>
          <w:color w:val="000000"/>
          <w:lang w:val="en-US"/>
        </w:rPr>
      </w:pPr>
      <w:r w:rsidRPr="007D770B">
        <w:rPr>
          <w:rFonts w:ascii="Times New Roman" w:hAnsi="Times New Roman"/>
          <w:bCs/>
          <w:color w:val="000000"/>
          <w:lang w:val="en-US"/>
        </w:rPr>
        <w:t>The conditions listed above do not apply and netting is generally inappropriate when</w:t>
      </w:r>
    </w:p>
    <w:p w14:paraId="54EE60E9" w14:textId="15F5A6E4" w:rsidR="00331FED" w:rsidRPr="007D770B" w:rsidRDefault="00331FED" w:rsidP="00AE698A">
      <w:pPr>
        <w:pStyle w:val="aa"/>
        <w:numPr>
          <w:ilvl w:val="0"/>
          <w:numId w:val="268"/>
        </w:numPr>
        <w:autoSpaceDE w:val="0"/>
        <w:autoSpaceDN w:val="0"/>
        <w:adjustRightInd w:val="0"/>
        <w:spacing w:line="240" w:lineRule="auto"/>
        <w:contextualSpacing w:val="0"/>
        <w:rPr>
          <w:rFonts w:ascii="Times New Roman" w:hAnsi="Times New Roman"/>
          <w:bCs/>
          <w:color w:val="000000"/>
          <w:lang w:val="en-US"/>
        </w:rPr>
      </w:pPr>
      <w:r w:rsidRPr="007D770B">
        <w:rPr>
          <w:rFonts w:ascii="Times New Roman" w:hAnsi="Times New Roman"/>
          <w:bCs/>
          <w:color w:val="000000"/>
          <w:lang w:val="en-US"/>
        </w:rPr>
        <w:t>several different financial instruments are used to replicate the characteristics of a single financial instrument (</w:t>
      </w:r>
      <w:r w:rsidR="00802136" w:rsidRPr="007D770B">
        <w:rPr>
          <w:rFonts w:ascii="Times New Roman" w:hAnsi="Times New Roman"/>
          <w:bCs/>
          <w:color w:val="000000"/>
          <w:lang w:val="en-US"/>
        </w:rPr>
        <w:t>"</w:t>
      </w:r>
      <w:r w:rsidRPr="007D770B">
        <w:rPr>
          <w:rFonts w:ascii="Times New Roman" w:hAnsi="Times New Roman"/>
          <w:bCs/>
          <w:color w:val="000000"/>
          <w:lang w:val="en-US"/>
        </w:rPr>
        <w:t>synthetic instrument</w:t>
      </w:r>
      <w:r w:rsidR="00802136" w:rsidRPr="007D770B">
        <w:rPr>
          <w:rFonts w:ascii="Times New Roman" w:hAnsi="Times New Roman"/>
          <w:bCs/>
          <w:color w:val="000000"/>
          <w:lang w:val="en-US"/>
        </w:rPr>
        <w:t>"</w:t>
      </w:r>
      <w:r w:rsidRPr="007D770B">
        <w:rPr>
          <w:rFonts w:ascii="Times New Roman" w:hAnsi="Times New Roman"/>
          <w:bCs/>
          <w:color w:val="000000"/>
          <w:lang w:val="en-US"/>
        </w:rPr>
        <w:t>);</w:t>
      </w:r>
    </w:p>
    <w:p w14:paraId="5808B185" w14:textId="77777777" w:rsidR="00331FED" w:rsidRPr="007D770B" w:rsidRDefault="00331FED" w:rsidP="00AE698A">
      <w:pPr>
        <w:pStyle w:val="aa"/>
        <w:numPr>
          <w:ilvl w:val="0"/>
          <w:numId w:val="268"/>
        </w:numPr>
        <w:autoSpaceDE w:val="0"/>
        <w:autoSpaceDN w:val="0"/>
        <w:adjustRightInd w:val="0"/>
        <w:spacing w:line="240" w:lineRule="auto"/>
        <w:contextualSpacing w:val="0"/>
        <w:rPr>
          <w:rFonts w:ascii="Times New Roman" w:hAnsi="Times New Roman"/>
          <w:bCs/>
          <w:color w:val="000000"/>
          <w:lang w:val="en-US"/>
        </w:rPr>
      </w:pPr>
      <w:r w:rsidRPr="007D770B">
        <w:rPr>
          <w:rFonts w:ascii="Times New Roman" w:hAnsi="Times New Roman"/>
          <w:bCs/>
          <w:color w:val="000000"/>
          <w:lang w:val="en-US"/>
        </w:rPr>
        <w:t>financial assets and financial liabilities arise from financial instruments that have the same primary risks (for example, assets and liabilities in a portfolio of forward contracts and other derivative instruments) but different counterparties.</w:t>
      </w:r>
    </w:p>
    <w:p w14:paraId="608F2437" w14:textId="77777777" w:rsidR="00331FED" w:rsidRPr="007D770B" w:rsidRDefault="00331FED" w:rsidP="00AE698A">
      <w:pPr>
        <w:pStyle w:val="aa"/>
        <w:numPr>
          <w:ilvl w:val="0"/>
          <w:numId w:val="268"/>
        </w:numPr>
        <w:autoSpaceDE w:val="0"/>
        <w:autoSpaceDN w:val="0"/>
        <w:adjustRightInd w:val="0"/>
        <w:spacing w:line="240" w:lineRule="auto"/>
        <w:contextualSpacing w:val="0"/>
        <w:rPr>
          <w:rFonts w:ascii="Times New Roman" w:hAnsi="Times New Roman"/>
          <w:bCs/>
          <w:color w:val="000000"/>
          <w:lang w:val="en-US"/>
        </w:rPr>
      </w:pPr>
      <w:r w:rsidRPr="007D770B">
        <w:rPr>
          <w:rFonts w:ascii="Times New Roman" w:hAnsi="Times New Roman"/>
          <w:bCs/>
          <w:color w:val="000000"/>
          <w:lang w:val="en-US"/>
        </w:rPr>
        <w:t>financial or other assets are pledged as collateral for non-recourse financial obligations;</w:t>
      </w:r>
    </w:p>
    <w:p w14:paraId="6E6D3735" w14:textId="77777777" w:rsidR="00331FED" w:rsidRPr="007D770B" w:rsidRDefault="00331FED" w:rsidP="00AE698A">
      <w:pPr>
        <w:pStyle w:val="aa"/>
        <w:numPr>
          <w:ilvl w:val="0"/>
          <w:numId w:val="268"/>
        </w:numPr>
        <w:autoSpaceDE w:val="0"/>
        <w:autoSpaceDN w:val="0"/>
        <w:adjustRightInd w:val="0"/>
        <w:spacing w:line="240" w:lineRule="auto"/>
        <w:contextualSpacing w:val="0"/>
        <w:rPr>
          <w:rFonts w:ascii="Times New Roman" w:hAnsi="Times New Roman"/>
          <w:bCs/>
          <w:color w:val="000000"/>
          <w:lang w:val="en-US"/>
        </w:rPr>
      </w:pPr>
      <w:r w:rsidRPr="007D770B">
        <w:rPr>
          <w:rFonts w:ascii="Times New Roman" w:hAnsi="Times New Roman"/>
          <w:bCs/>
          <w:color w:val="000000"/>
          <w:lang w:val="en-US"/>
        </w:rPr>
        <w:t>financial assets have been placed by the borrower in trust for the purpose of satisfying the obligation and the assets have not been accepted by the creditor in settlement of the obligation (e.g., an agreement to organize a repayment fund); or</w:t>
      </w:r>
    </w:p>
    <w:p w14:paraId="6EEBD54D" w14:textId="77777777" w:rsidR="00331FED" w:rsidRPr="007D770B" w:rsidRDefault="00331FED" w:rsidP="00AE698A">
      <w:pPr>
        <w:pStyle w:val="aa"/>
        <w:numPr>
          <w:ilvl w:val="0"/>
          <w:numId w:val="268"/>
        </w:numPr>
        <w:autoSpaceDE w:val="0"/>
        <w:autoSpaceDN w:val="0"/>
        <w:adjustRightInd w:val="0"/>
        <w:spacing w:line="240" w:lineRule="auto"/>
        <w:contextualSpacing w:val="0"/>
        <w:rPr>
          <w:rFonts w:ascii="Times New Roman" w:hAnsi="Times New Roman"/>
          <w:bCs/>
          <w:color w:val="000000"/>
          <w:lang w:val="en-US"/>
        </w:rPr>
      </w:pPr>
      <w:r w:rsidRPr="007D770B">
        <w:rPr>
          <w:rFonts w:ascii="Times New Roman" w:hAnsi="Times New Roman"/>
          <w:bCs/>
          <w:color w:val="000000"/>
          <w:lang w:val="en-US"/>
        </w:rPr>
        <w:t>liabilities incurred as a result of loss events are to be presumed to be indemnified by a third party on the basis of a claim under the insurance contract.</w:t>
      </w:r>
    </w:p>
    <w:p w14:paraId="6862DE49" w14:textId="671B347E" w:rsidR="00331FED" w:rsidRPr="007D770B" w:rsidRDefault="00331FED" w:rsidP="00331FED">
      <w:pPr>
        <w:autoSpaceDE w:val="0"/>
        <w:autoSpaceDN w:val="0"/>
        <w:adjustRightInd w:val="0"/>
        <w:spacing w:line="240" w:lineRule="auto"/>
        <w:ind w:left="0"/>
        <w:rPr>
          <w:rFonts w:ascii="Times New Roman" w:hAnsi="Times New Roman"/>
          <w:bCs/>
          <w:color w:val="000000"/>
          <w:lang w:val="en-US"/>
        </w:rPr>
      </w:pPr>
      <w:r w:rsidRPr="007D770B">
        <w:rPr>
          <w:rFonts w:ascii="Times New Roman" w:hAnsi="Times New Roman"/>
          <w:bCs/>
          <w:color w:val="000000"/>
          <w:lang w:val="en-US"/>
        </w:rPr>
        <w:t xml:space="preserve">If the Bank enters into multiple financial instrument transactions with a single counterparty, it may enter into a </w:t>
      </w:r>
      <w:r w:rsidR="00802136" w:rsidRPr="007D770B">
        <w:rPr>
          <w:rFonts w:ascii="Times New Roman" w:hAnsi="Times New Roman"/>
          <w:bCs/>
          <w:color w:val="000000"/>
          <w:lang w:val="en-US"/>
        </w:rPr>
        <w:t>"</w:t>
      </w:r>
      <w:r w:rsidRPr="007D770B">
        <w:rPr>
          <w:rFonts w:ascii="Times New Roman" w:hAnsi="Times New Roman"/>
          <w:bCs/>
          <w:color w:val="000000"/>
          <w:lang w:val="en-US"/>
        </w:rPr>
        <w:t>master netting agreement</w:t>
      </w:r>
      <w:r w:rsidR="00802136" w:rsidRPr="007D770B">
        <w:rPr>
          <w:rFonts w:ascii="Times New Roman" w:hAnsi="Times New Roman"/>
          <w:bCs/>
          <w:color w:val="000000"/>
          <w:lang w:val="en-US"/>
        </w:rPr>
        <w:t xml:space="preserve">" </w:t>
      </w:r>
      <w:r w:rsidRPr="007D770B">
        <w:rPr>
          <w:rFonts w:ascii="Times New Roman" w:hAnsi="Times New Roman"/>
          <w:bCs/>
          <w:color w:val="000000"/>
          <w:lang w:val="en-US"/>
        </w:rPr>
        <w:t xml:space="preserve">with that party. </w:t>
      </w:r>
    </w:p>
    <w:p w14:paraId="33F68557" w14:textId="77777777" w:rsidR="00331FED" w:rsidRPr="007D770B" w:rsidRDefault="00331FED" w:rsidP="00331FED">
      <w:pPr>
        <w:autoSpaceDE w:val="0"/>
        <w:autoSpaceDN w:val="0"/>
        <w:adjustRightInd w:val="0"/>
        <w:spacing w:line="240" w:lineRule="auto"/>
        <w:ind w:left="0"/>
        <w:rPr>
          <w:rFonts w:ascii="Times New Roman" w:hAnsi="Times New Roman"/>
          <w:bCs/>
          <w:color w:val="000000"/>
          <w:lang w:val="en-US"/>
        </w:rPr>
      </w:pPr>
      <w:r w:rsidRPr="007D770B">
        <w:rPr>
          <w:rFonts w:ascii="Times New Roman" w:hAnsi="Times New Roman"/>
          <w:bCs/>
          <w:color w:val="000000"/>
          <w:lang w:val="en-US"/>
        </w:rPr>
        <w:t xml:space="preserve">Such an agreement provides for a single net settlement of all financial instruments included in the agreement in the event of default or termination of any individual contract. </w:t>
      </w:r>
    </w:p>
    <w:p w14:paraId="136626E3" w14:textId="77777777" w:rsidR="00331FED" w:rsidRPr="007D770B" w:rsidRDefault="00331FED" w:rsidP="00331FED">
      <w:pPr>
        <w:autoSpaceDE w:val="0"/>
        <w:autoSpaceDN w:val="0"/>
        <w:adjustRightInd w:val="0"/>
        <w:spacing w:line="240" w:lineRule="auto"/>
        <w:ind w:left="0"/>
        <w:rPr>
          <w:rFonts w:ascii="Times New Roman" w:hAnsi="Times New Roman"/>
          <w:bCs/>
          <w:color w:val="000000"/>
          <w:lang w:val="en-US"/>
        </w:rPr>
      </w:pPr>
      <w:r w:rsidRPr="007D770B">
        <w:rPr>
          <w:rFonts w:ascii="Times New Roman" w:hAnsi="Times New Roman"/>
          <w:bCs/>
          <w:color w:val="000000"/>
          <w:lang w:val="en-US"/>
        </w:rPr>
        <w:t xml:space="preserve">Such agreements are commonly used by financial institutions to protect against losses in the event of bankruptcy or other circumstances that cause the counterparty to be unable to fulfill its obligations. </w:t>
      </w:r>
    </w:p>
    <w:p w14:paraId="50EE827E" w14:textId="77777777" w:rsidR="00331FED" w:rsidRPr="007D770B" w:rsidRDefault="00331FED" w:rsidP="00331FED">
      <w:pPr>
        <w:autoSpaceDE w:val="0"/>
        <w:autoSpaceDN w:val="0"/>
        <w:adjustRightInd w:val="0"/>
        <w:spacing w:line="240" w:lineRule="auto"/>
        <w:ind w:left="0"/>
        <w:rPr>
          <w:rFonts w:ascii="Times New Roman" w:hAnsi="Times New Roman"/>
          <w:bCs/>
          <w:color w:val="000000"/>
          <w:lang w:val="en-US"/>
        </w:rPr>
      </w:pPr>
      <w:r w:rsidRPr="007D770B">
        <w:rPr>
          <w:rFonts w:ascii="Times New Roman" w:hAnsi="Times New Roman"/>
          <w:bCs/>
          <w:color w:val="000000"/>
          <w:lang w:val="en-US"/>
        </w:rPr>
        <w:t xml:space="preserve">A master netting agreement generally creates a right of set-off that becomes legally enforceable and has an impact on the realization or settlement of individual financial assets or financial liabilities only upon the occurrence of a specified event of default or other circumstances not expected in the normal course of business. </w:t>
      </w:r>
    </w:p>
    <w:p w14:paraId="6911062B" w14:textId="77777777" w:rsidR="00331FED" w:rsidRPr="007D770B" w:rsidRDefault="00331FED" w:rsidP="00331FED">
      <w:pPr>
        <w:autoSpaceDE w:val="0"/>
        <w:autoSpaceDN w:val="0"/>
        <w:adjustRightInd w:val="0"/>
        <w:spacing w:line="240" w:lineRule="auto"/>
        <w:ind w:left="0"/>
        <w:rPr>
          <w:rFonts w:ascii="Times New Roman" w:hAnsi="Times New Roman"/>
          <w:bCs/>
          <w:color w:val="000000"/>
          <w:lang w:val="en-US"/>
        </w:rPr>
      </w:pPr>
      <w:r w:rsidRPr="007D770B">
        <w:rPr>
          <w:rFonts w:ascii="Times New Roman" w:hAnsi="Times New Roman"/>
          <w:bCs/>
          <w:color w:val="000000"/>
          <w:lang w:val="en-US"/>
        </w:rPr>
        <w:t xml:space="preserve">A master netting agreement does not create a basis for offsetting unless both of the criteria for offsetting set out at the beginning of this section are met. </w:t>
      </w:r>
    </w:p>
    <w:p w14:paraId="4D269D20" w14:textId="77777777" w:rsidR="00331FED" w:rsidRPr="007D770B" w:rsidRDefault="00331FED" w:rsidP="00331FED">
      <w:pPr>
        <w:autoSpaceDE w:val="0"/>
        <w:autoSpaceDN w:val="0"/>
        <w:adjustRightInd w:val="0"/>
        <w:spacing w:line="240" w:lineRule="auto"/>
        <w:ind w:left="0"/>
        <w:rPr>
          <w:rFonts w:ascii="Times New Roman" w:hAnsi="Times New Roman"/>
          <w:bCs/>
          <w:color w:val="000000"/>
          <w:lang w:val="en-US"/>
        </w:rPr>
      </w:pPr>
      <w:r w:rsidRPr="007D770B">
        <w:rPr>
          <w:rFonts w:ascii="Times New Roman" w:hAnsi="Times New Roman"/>
          <w:bCs/>
          <w:color w:val="000000"/>
          <w:lang w:val="en-US"/>
        </w:rPr>
        <w:t>Where financial assets and financial liabilities included in a master netting arrangement are not offset, the effects of the netting arrangement on the Bank's exposure to credit risk are disclosed in accordance with the requirements of IFRS 7.</w:t>
      </w:r>
    </w:p>
    <w:p w14:paraId="5D66B7FA" w14:textId="3FA47344" w:rsidR="00331FED" w:rsidRPr="007D770B" w:rsidRDefault="00331FED" w:rsidP="00E61D21">
      <w:pPr>
        <w:pStyle w:val="3"/>
        <w:rPr>
          <w:lang w:val="en-US"/>
        </w:rPr>
      </w:pPr>
      <w:bookmarkStart w:id="118" w:name="_Toc168502038"/>
      <w:r w:rsidRPr="007D770B">
        <w:rPr>
          <w:lang w:val="en-US"/>
        </w:rPr>
        <w:t>3.10. Financial liabilities</w:t>
      </w:r>
      <w:bookmarkEnd w:id="118"/>
    </w:p>
    <w:p w14:paraId="48ACEC7A" w14:textId="77777777" w:rsidR="00331FED" w:rsidRPr="007D770B" w:rsidRDefault="00331FED" w:rsidP="00331FED">
      <w:pPr>
        <w:spacing w:line="240" w:lineRule="auto"/>
        <w:ind w:left="0"/>
        <w:rPr>
          <w:rFonts w:ascii="Times New Roman" w:hAnsi="Times New Roman"/>
          <w:lang w:val="en-US" w:eastAsia="ru-RU"/>
        </w:rPr>
      </w:pPr>
      <w:r w:rsidRPr="007D770B">
        <w:rPr>
          <w:rFonts w:ascii="Times New Roman" w:hAnsi="Times New Roman"/>
          <w:lang w:val="en-US" w:eastAsia="ru-RU"/>
        </w:rPr>
        <w:t>Financial liabilities are classified as:</w:t>
      </w:r>
    </w:p>
    <w:p w14:paraId="2CF8EB6C" w14:textId="77777777" w:rsidR="00331FED" w:rsidRPr="007D770B" w:rsidRDefault="00331FED" w:rsidP="00AE698A">
      <w:pPr>
        <w:pStyle w:val="aa"/>
        <w:numPr>
          <w:ilvl w:val="0"/>
          <w:numId w:val="269"/>
        </w:numPr>
        <w:spacing w:line="240" w:lineRule="auto"/>
        <w:contextualSpacing w:val="0"/>
        <w:rPr>
          <w:rFonts w:ascii="Times New Roman" w:hAnsi="Times New Roman"/>
          <w:lang w:val="en-US" w:eastAsia="ru-RU"/>
        </w:rPr>
      </w:pPr>
      <w:r w:rsidRPr="007D770B">
        <w:rPr>
          <w:rFonts w:ascii="Times New Roman" w:hAnsi="Times New Roman"/>
          <w:lang w:val="en-US" w:eastAsia="ru-RU"/>
        </w:rPr>
        <w:t>Financial liabilities at amortized cost; or</w:t>
      </w:r>
    </w:p>
    <w:p w14:paraId="646C65AC" w14:textId="77777777" w:rsidR="00331FED" w:rsidRPr="007D770B" w:rsidRDefault="00331FED" w:rsidP="00AE698A">
      <w:pPr>
        <w:pStyle w:val="aa"/>
        <w:numPr>
          <w:ilvl w:val="0"/>
          <w:numId w:val="269"/>
        </w:numPr>
        <w:spacing w:line="240" w:lineRule="auto"/>
        <w:contextualSpacing w:val="0"/>
        <w:rPr>
          <w:rFonts w:ascii="Times New Roman" w:hAnsi="Times New Roman"/>
          <w:lang w:val="en-US" w:eastAsia="ru-RU"/>
        </w:rPr>
      </w:pPr>
      <w:r w:rsidRPr="007D770B">
        <w:rPr>
          <w:rFonts w:ascii="Times New Roman" w:hAnsi="Times New Roman"/>
          <w:lang w:val="en-US" w:eastAsia="ru-RU"/>
        </w:rPr>
        <w:t>Financial liabilities at fair value through profit or loss (FVTPL).</w:t>
      </w:r>
    </w:p>
    <w:p w14:paraId="2D8576B7" w14:textId="77777777" w:rsidR="00331FED" w:rsidRPr="007D770B" w:rsidRDefault="00331FED" w:rsidP="00331FED">
      <w:pPr>
        <w:spacing w:line="240" w:lineRule="auto"/>
        <w:ind w:left="0"/>
        <w:rPr>
          <w:rFonts w:ascii="Times New Roman" w:hAnsi="Times New Roman"/>
          <w:lang w:val="en-US" w:eastAsia="ru-RU"/>
        </w:rPr>
      </w:pPr>
      <w:r w:rsidRPr="007D770B">
        <w:rPr>
          <w:rFonts w:ascii="Times New Roman" w:hAnsi="Times New Roman"/>
          <w:lang w:val="en-US" w:eastAsia="ru-RU"/>
        </w:rPr>
        <w:t>Subsequent to initial recognition, the Bank shall measure all financial liabilities at amortized cost using the effective interest method, except:</w:t>
      </w:r>
    </w:p>
    <w:p w14:paraId="74280E4A" w14:textId="17BF3328" w:rsidR="00331FED" w:rsidRPr="007D770B" w:rsidRDefault="00331FED" w:rsidP="00AE698A">
      <w:pPr>
        <w:pStyle w:val="aa"/>
        <w:numPr>
          <w:ilvl w:val="0"/>
          <w:numId w:val="269"/>
        </w:numPr>
        <w:spacing w:line="240" w:lineRule="auto"/>
        <w:contextualSpacing w:val="0"/>
        <w:rPr>
          <w:rFonts w:ascii="Times New Roman" w:hAnsi="Times New Roman"/>
          <w:lang w:val="en-US" w:eastAsia="ru-RU"/>
        </w:rPr>
      </w:pPr>
      <w:r w:rsidRPr="007D770B">
        <w:rPr>
          <w:rFonts w:ascii="Times New Roman" w:hAnsi="Times New Roman"/>
          <w:lang w:val="en-US" w:eastAsia="ru-RU"/>
        </w:rPr>
        <w:lastRenderedPageBreak/>
        <w:t>financial liabilities at fair value through profit or loss. Such liabilities, including derivatives that are liabilities, are required to be measured at fair value;</w:t>
      </w:r>
    </w:p>
    <w:p w14:paraId="3FB9157C" w14:textId="4586DA4E" w:rsidR="00331FED" w:rsidRPr="007D770B" w:rsidRDefault="00331FED" w:rsidP="00AE698A">
      <w:pPr>
        <w:pStyle w:val="aa"/>
        <w:numPr>
          <w:ilvl w:val="0"/>
          <w:numId w:val="269"/>
        </w:numPr>
        <w:spacing w:line="240" w:lineRule="auto"/>
        <w:contextualSpacing w:val="0"/>
        <w:rPr>
          <w:rFonts w:ascii="Times New Roman" w:hAnsi="Times New Roman"/>
          <w:lang w:val="en-US" w:eastAsia="ru-RU"/>
        </w:rPr>
      </w:pPr>
      <w:r w:rsidRPr="007D770B">
        <w:rPr>
          <w:rFonts w:ascii="Times New Roman" w:hAnsi="Times New Roman"/>
          <w:lang w:val="en-US" w:eastAsia="ru-RU"/>
        </w:rPr>
        <w:t xml:space="preserve">financial liabilities arising when a transfer of a financial asset does not qualify for derecognition </w:t>
      </w:r>
      <w:r w:rsidR="00EE3CCF" w:rsidRPr="007D770B">
        <w:rPr>
          <w:rFonts w:ascii="Times New Roman" w:hAnsi="Times New Roman"/>
          <w:lang w:val="en-US" w:eastAsia="ru-RU"/>
        </w:rPr>
        <w:t xml:space="preserve">or </w:t>
      </w:r>
      <w:r w:rsidRPr="007D770B">
        <w:rPr>
          <w:rFonts w:ascii="Times New Roman" w:hAnsi="Times New Roman"/>
          <w:lang w:val="en-US" w:eastAsia="ru-RU"/>
        </w:rPr>
        <w:t>when the continuing involvement approach is applied;</w:t>
      </w:r>
    </w:p>
    <w:p w14:paraId="3A79FF67" w14:textId="77777777" w:rsidR="00331FED" w:rsidRPr="007D770B" w:rsidRDefault="00331FED" w:rsidP="00AE698A">
      <w:pPr>
        <w:pStyle w:val="aa"/>
        <w:numPr>
          <w:ilvl w:val="0"/>
          <w:numId w:val="270"/>
        </w:numPr>
        <w:spacing w:line="240" w:lineRule="auto"/>
        <w:contextualSpacing w:val="0"/>
        <w:rPr>
          <w:rFonts w:ascii="Times New Roman" w:hAnsi="Times New Roman"/>
          <w:lang w:val="en-US" w:eastAsia="ru-RU"/>
        </w:rPr>
      </w:pPr>
      <w:r w:rsidRPr="007D770B">
        <w:rPr>
          <w:rFonts w:ascii="Times New Roman" w:hAnsi="Times New Roman"/>
          <w:lang w:val="en-US" w:eastAsia="ru-RU"/>
        </w:rPr>
        <w:t>financial guarantee contracts commitments to provide a loan at a below-market interest rate.</w:t>
      </w:r>
    </w:p>
    <w:p w14:paraId="7547E596" w14:textId="77777777" w:rsidR="00331FED" w:rsidRPr="007D770B" w:rsidRDefault="00331FED" w:rsidP="00AE698A">
      <w:pPr>
        <w:pStyle w:val="aa"/>
        <w:numPr>
          <w:ilvl w:val="0"/>
          <w:numId w:val="270"/>
        </w:numPr>
        <w:spacing w:line="240" w:lineRule="auto"/>
        <w:rPr>
          <w:rFonts w:ascii="Times New Roman" w:hAnsi="Times New Roman"/>
          <w:lang w:val="en-US" w:eastAsia="ru-RU"/>
        </w:rPr>
      </w:pPr>
      <w:r w:rsidRPr="007D770B">
        <w:rPr>
          <w:rFonts w:ascii="Times New Roman" w:hAnsi="Times New Roman"/>
          <w:lang w:val="en-US" w:eastAsia="ru-RU"/>
        </w:rPr>
        <w:t>contingent consideration recognized by the acquirer in a business combination to which IFRS 3 applies; or</w:t>
      </w:r>
    </w:p>
    <w:p w14:paraId="623F9D28" w14:textId="77777777" w:rsidR="00331FED" w:rsidRPr="007D770B" w:rsidRDefault="00331FED" w:rsidP="00331FED">
      <w:pPr>
        <w:pStyle w:val="aa"/>
        <w:spacing w:line="240" w:lineRule="auto"/>
        <w:rPr>
          <w:rFonts w:ascii="Times New Roman" w:hAnsi="Times New Roman"/>
          <w:lang w:val="en-US" w:eastAsia="ru-RU"/>
        </w:rPr>
      </w:pPr>
    </w:p>
    <w:p w14:paraId="3D7CF680" w14:textId="61D72CD5" w:rsidR="00331FED" w:rsidRPr="007D770B" w:rsidRDefault="00331FED" w:rsidP="00AE698A">
      <w:pPr>
        <w:pStyle w:val="aa"/>
        <w:numPr>
          <w:ilvl w:val="0"/>
          <w:numId w:val="270"/>
        </w:numPr>
        <w:spacing w:line="240" w:lineRule="auto"/>
        <w:rPr>
          <w:rFonts w:ascii="Times New Roman" w:hAnsi="Times New Roman"/>
          <w:lang w:val="en-US" w:eastAsia="ru-RU"/>
        </w:rPr>
      </w:pPr>
      <w:r w:rsidRPr="007D770B">
        <w:rPr>
          <w:rFonts w:ascii="Times New Roman" w:hAnsi="Times New Roman"/>
          <w:lang w:val="en-US" w:eastAsia="ru-RU"/>
        </w:rPr>
        <w:t xml:space="preserve">At initial recognition of a financial liability, the Bank at its own discretion classified it, without the right of subsequent reclassification, as at fair value through profit or loss if this is permitted by IFRS 9.4.3.5 or provides more relevant information as a result of </w:t>
      </w:r>
      <w:r w:rsidR="00EE3CCF" w:rsidRPr="007D770B">
        <w:rPr>
          <w:rFonts w:ascii="Times New Roman" w:hAnsi="Times New Roman"/>
          <w:lang w:val="en-US" w:eastAsia="ru-RU"/>
        </w:rPr>
        <w:t>something</w:t>
      </w:r>
      <w:r w:rsidRPr="007D770B">
        <w:rPr>
          <w:rFonts w:ascii="Times New Roman" w:hAnsi="Times New Roman"/>
          <w:lang w:val="en-US" w:eastAsia="ru-RU"/>
        </w:rPr>
        <w:t>:</w:t>
      </w:r>
    </w:p>
    <w:p w14:paraId="7E0966B6" w14:textId="04159A37" w:rsidR="00331FED" w:rsidRPr="007D770B" w:rsidRDefault="00331FED" w:rsidP="00AE698A">
      <w:pPr>
        <w:pStyle w:val="aa"/>
        <w:numPr>
          <w:ilvl w:val="1"/>
          <w:numId w:val="317"/>
        </w:numPr>
        <w:spacing w:line="240" w:lineRule="auto"/>
        <w:rPr>
          <w:rFonts w:ascii="Times New Roman" w:hAnsi="Times New Roman"/>
          <w:lang w:val="en-US" w:eastAsia="ru-RU"/>
        </w:rPr>
      </w:pPr>
      <w:r w:rsidRPr="007D770B">
        <w:rPr>
          <w:rFonts w:ascii="Times New Roman" w:hAnsi="Times New Roman"/>
          <w:lang w:val="en-US" w:eastAsia="ru-RU"/>
        </w:rPr>
        <w:t xml:space="preserve">it will eliminate or significantly reduce inconsistent measurement or recognition approaches (sometimes referred to as an </w:t>
      </w:r>
      <w:r w:rsidR="00802136" w:rsidRPr="007D770B">
        <w:rPr>
          <w:rFonts w:ascii="Times New Roman" w:hAnsi="Times New Roman"/>
          <w:lang w:val="en-US" w:eastAsia="ru-RU"/>
        </w:rPr>
        <w:t>"</w:t>
      </w:r>
      <w:r w:rsidRPr="007D770B">
        <w:rPr>
          <w:rFonts w:ascii="Times New Roman" w:hAnsi="Times New Roman"/>
          <w:lang w:val="en-US" w:eastAsia="ru-RU"/>
        </w:rPr>
        <w:t>accounting mismatch</w:t>
      </w:r>
      <w:r w:rsidR="00802136" w:rsidRPr="007D770B">
        <w:rPr>
          <w:rFonts w:ascii="Times New Roman" w:hAnsi="Times New Roman"/>
          <w:lang w:val="en-US" w:eastAsia="ru-RU"/>
        </w:rPr>
        <w:t>"</w:t>
      </w:r>
      <w:r w:rsidRPr="007D770B">
        <w:rPr>
          <w:rFonts w:ascii="Times New Roman" w:hAnsi="Times New Roman"/>
          <w:lang w:val="en-US" w:eastAsia="ru-RU"/>
        </w:rPr>
        <w:t>) that would otherwise arise from using different bases for measuring assets or liabilities or recognizing related gains and losses; or</w:t>
      </w:r>
    </w:p>
    <w:p w14:paraId="49B648A1" w14:textId="1D1A4BBE" w:rsidR="00331FED" w:rsidRPr="007D770B" w:rsidRDefault="00331FED" w:rsidP="00AE698A">
      <w:pPr>
        <w:pStyle w:val="aa"/>
        <w:numPr>
          <w:ilvl w:val="1"/>
          <w:numId w:val="317"/>
        </w:numPr>
        <w:spacing w:line="240" w:lineRule="auto"/>
        <w:rPr>
          <w:rFonts w:ascii="Times New Roman" w:hAnsi="Times New Roman"/>
          <w:lang w:val="en-US" w:eastAsia="ru-RU"/>
        </w:rPr>
      </w:pPr>
      <w:r w:rsidRPr="007D770B">
        <w:rPr>
          <w:rFonts w:ascii="Times New Roman" w:hAnsi="Times New Roman"/>
          <w:lang w:val="en-US" w:eastAsia="ru-RU"/>
        </w:rPr>
        <w:t>a group of financial liabilities or a group of financial assets and financial liabilities is managed and its performance is evaluated on a fair value basis, in accordance with a documented risk management or investment strategy, and internal information about the group is generated and reported to the Bank's key management personnel on that basis.</w:t>
      </w:r>
    </w:p>
    <w:p w14:paraId="710D33B5" w14:textId="77777777" w:rsidR="00331FED" w:rsidRPr="007D770B" w:rsidRDefault="00331FED" w:rsidP="00331FED">
      <w:pPr>
        <w:pStyle w:val="aa"/>
        <w:spacing w:line="240" w:lineRule="auto"/>
        <w:rPr>
          <w:rFonts w:ascii="Times New Roman" w:hAnsi="Times New Roman"/>
          <w:lang w:val="en-US" w:eastAsia="ru-RU"/>
        </w:rPr>
      </w:pPr>
      <w:r w:rsidRPr="007D770B">
        <w:rPr>
          <w:rFonts w:ascii="Times New Roman" w:hAnsi="Times New Roman"/>
          <w:lang w:val="en-US" w:eastAsia="ru-RU"/>
        </w:rPr>
        <w:t>For this classification, the Bank presents gain or loss on financial liability as follows:</w:t>
      </w:r>
    </w:p>
    <w:p w14:paraId="2285A430" w14:textId="77777777" w:rsidR="00331FED" w:rsidRPr="007D770B" w:rsidRDefault="00331FED" w:rsidP="00AE698A">
      <w:pPr>
        <w:pStyle w:val="aa"/>
        <w:numPr>
          <w:ilvl w:val="0"/>
          <w:numId w:val="345"/>
        </w:numPr>
        <w:spacing w:line="240" w:lineRule="auto"/>
        <w:rPr>
          <w:rFonts w:ascii="Times New Roman" w:hAnsi="Times New Roman"/>
          <w:lang w:val="en-US" w:eastAsia="ru-RU"/>
        </w:rPr>
      </w:pPr>
      <w:r w:rsidRPr="007D770B">
        <w:rPr>
          <w:rFonts w:ascii="Times New Roman" w:hAnsi="Times New Roman"/>
          <w:lang w:val="en-US" w:eastAsia="ru-RU"/>
        </w:rPr>
        <w:t>the amount that reflects the change in the fair value of the financial liability attributable to changes in the credit risk of that liability is presented in other comprehensive income;</w:t>
      </w:r>
    </w:p>
    <w:p w14:paraId="7BF87B9B" w14:textId="77777777" w:rsidR="00331FED" w:rsidRPr="007D770B" w:rsidRDefault="00331FED" w:rsidP="00AE698A">
      <w:pPr>
        <w:pStyle w:val="aa"/>
        <w:numPr>
          <w:ilvl w:val="0"/>
          <w:numId w:val="345"/>
        </w:numPr>
        <w:spacing w:line="240" w:lineRule="auto"/>
        <w:rPr>
          <w:rFonts w:ascii="Times New Roman" w:hAnsi="Times New Roman"/>
          <w:lang w:val="en-US" w:eastAsia="ru-RU"/>
        </w:rPr>
      </w:pPr>
      <w:r w:rsidRPr="007D770B">
        <w:rPr>
          <w:rFonts w:ascii="Times New Roman" w:hAnsi="Times New Roman"/>
          <w:lang w:val="en-US" w:eastAsia="ru-RU"/>
        </w:rPr>
        <w:t>The remaining amount of the change in the fair value of the liability is presented in profit or loss.</w:t>
      </w:r>
    </w:p>
    <w:p w14:paraId="06AAF607" w14:textId="77777777" w:rsidR="00331FED" w:rsidRPr="007D770B" w:rsidRDefault="00331FED" w:rsidP="00331FED">
      <w:pPr>
        <w:spacing w:line="240" w:lineRule="auto"/>
        <w:ind w:left="720"/>
        <w:rPr>
          <w:rFonts w:ascii="Times New Roman" w:hAnsi="Times New Roman"/>
          <w:lang w:val="en-US" w:eastAsia="ru-RU"/>
        </w:rPr>
      </w:pPr>
      <w:r w:rsidRPr="007D770B">
        <w:rPr>
          <w:rFonts w:ascii="Times New Roman" w:hAnsi="Times New Roman"/>
          <w:lang w:val="en-US" w:eastAsia="ru-RU"/>
        </w:rPr>
        <w:t>However, if this allocation would create or enlarge the effect on profit or loss of an accounting mismatch, the Bank presents all gains or losses on that liability (including the effect of changes in the credit risk of that liability) in profit or loss.</w:t>
      </w:r>
    </w:p>
    <w:p w14:paraId="67AD22D0" w14:textId="77777777" w:rsidR="00331FED" w:rsidRPr="007D770B" w:rsidRDefault="00331FED" w:rsidP="00331FED">
      <w:pPr>
        <w:pStyle w:val="16"/>
        <w:keepNext w:val="0"/>
        <w:keepLines w:val="0"/>
        <w:tabs>
          <w:tab w:val="clear" w:pos="567"/>
          <w:tab w:val="num" w:pos="2160"/>
        </w:tabs>
        <w:spacing w:after="240"/>
        <w:jc w:val="both"/>
        <w:rPr>
          <w:i/>
          <w:snapToGrid w:val="0"/>
          <w:sz w:val="20"/>
          <w:szCs w:val="20"/>
          <w:lang w:val="en-US" w:eastAsia="ru-RU"/>
        </w:rPr>
      </w:pPr>
      <w:r w:rsidRPr="007D770B">
        <w:rPr>
          <w:i/>
          <w:snapToGrid w:val="0"/>
          <w:sz w:val="20"/>
          <w:szCs w:val="20"/>
          <w:lang w:val="en-US" w:eastAsia="ru-RU"/>
        </w:rPr>
        <w:t>Bonds issued</w:t>
      </w:r>
    </w:p>
    <w:p w14:paraId="781D6F35" w14:textId="77777777" w:rsidR="00331FED" w:rsidRPr="007D770B" w:rsidRDefault="00331FED" w:rsidP="00331FED">
      <w:pPr>
        <w:spacing w:line="240" w:lineRule="auto"/>
        <w:ind w:left="0"/>
        <w:rPr>
          <w:rFonts w:ascii="Times New Roman" w:hAnsi="Times New Roman"/>
          <w:lang w:val="en-US" w:eastAsia="ru-RU"/>
        </w:rPr>
      </w:pPr>
      <w:r w:rsidRPr="007D770B">
        <w:rPr>
          <w:rFonts w:ascii="Times New Roman" w:hAnsi="Times New Roman"/>
          <w:lang w:val="en-US" w:eastAsia="ru-RU"/>
        </w:rPr>
        <w:t>Bonds issued by the Bank are initially recognized at fair value less transaction costs. Subsequent accounting is performed at amortized cost using the effective interest method.</w:t>
      </w:r>
    </w:p>
    <w:p w14:paraId="1C4048CE" w14:textId="77777777" w:rsidR="00331FED" w:rsidRPr="007D770B" w:rsidRDefault="00331FED" w:rsidP="00331FED">
      <w:pPr>
        <w:spacing w:line="240" w:lineRule="auto"/>
        <w:ind w:left="0"/>
        <w:rPr>
          <w:rFonts w:ascii="Times New Roman" w:hAnsi="Times New Roman"/>
          <w:lang w:val="en-US" w:eastAsia="ru-RU"/>
        </w:rPr>
      </w:pPr>
      <w:r w:rsidRPr="007D770B">
        <w:rPr>
          <w:rFonts w:ascii="Times New Roman" w:hAnsi="Times New Roman"/>
          <w:lang w:val="en-US" w:eastAsia="ru-RU"/>
        </w:rPr>
        <w:t>Bonds may be placed at a price different from their face value. Bonds placed at a price lower than face value are called bonds realized at a discount. Bonds placed at a price above par value are called bonds realized at a premium. Premium and discount, including initial transaction costs, are included in the carrying amount of the bond and amortized over the life of the bond issue to the Bank's interest expense.</w:t>
      </w:r>
    </w:p>
    <w:p w14:paraId="6935C6BF" w14:textId="77777777" w:rsidR="00331FED" w:rsidRPr="007D770B" w:rsidRDefault="00331FED" w:rsidP="00331FED">
      <w:pPr>
        <w:spacing w:line="240" w:lineRule="auto"/>
        <w:ind w:left="0"/>
        <w:rPr>
          <w:rFonts w:ascii="Times New Roman" w:hAnsi="Times New Roman"/>
          <w:lang w:val="en-US" w:eastAsia="ru-RU"/>
        </w:rPr>
      </w:pPr>
      <w:r w:rsidRPr="007D770B">
        <w:rPr>
          <w:rFonts w:ascii="Times New Roman" w:hAnsi="Times New Roman"/>
          <w:lang w:val="en-US" w:eastAsia="ru-RU"/>
        </w:rPr>
        <w:t>Transaction costs include additional costs directly attributable to the issue or redemption of bonds, including fees and commissions paid to issue organizers, consultants, brokers and dealers, regulatory and stock exchange fees, as well as taxes and transfer fees.</w:t>
      </w:r>
    </w:p>
    <w:p w14:paraId="4F168B44" w14:textId="77777777" w:rsidR="00331FED" w:rsidRPr="007D770B" w:rsidRDefault="00331FED" w:rsidP="00331FED">
      <w:pPr>
        <w:spacing w:line="240" w:lineRule="auto"/>
        <w:ind w:left="0"/>
        <w:rPr>
          <w:rFonts w:ascii="Times New Roman" w:hAnsi="Times New Roman"/>
          <w:b/>
          <w:i/>
          <w:lang w:val="en-US" w:eastAsia="ru-RU"/>
        </w:rPr>
      </w:pPr>
      <w:r w:rsidRPr="007D770B">
        <w:rPr>
          <w:rFonts w:ascii="Times New Roman" w:hAnsi="Times New Roman"/>
          <w:b/>
          <w:i/>
          <w:lang w:val="en-US" w:eastAsia="ru-RU"/>
        </w:rPr>
        <w:t xml:space="preserve">Interest rates on </w:t>
      </w:r>
    </w:p>
    <w:p w14:paraId="2EE98F8A" w14:textId="77777777" w:rsidR="00331FED" w:rsidRPr="007D770B" w:rsidRDefault="00331FED" w:rsidP="00331FED">
      <w:pPr>
        <w:spacing w:line="240" w:lineRule="auto"/>
        <w:ind w:left="0"/>
        <w:rPr>
          <w:rFonts w:ascii="Times New Roman" w:hAnsi="Times New Roman"/>
          <w:lang w:val="en-US" w:eastAsia="ru-RU"/>
        </w:rPr>
      </w:pPr>
      <w:r w:rsidRPr="007D770B">
        <w:rPr>
          <w:rFonts w:ascii="Times New Roman" w:hAnsi="Times New Roman"/>
          <w:lang w:val="en-US" w:eastAsia="ru-RU"/>
        </w:rPr>
        <w:t>The amount of coupon payments on issued bonds and their periodicity is determined in accordance with the terms and conditions of the bonds issue.</w:t>
      </w:r>
    </w:p>
    <w:p w14:paraId="513460D2" w14:textId="77777777" w:rsidR="00331FED" w:rsidRPr="007D770B" w:rsidRDefault="00331FED" w:rsidP="00331FED">
      <w:pPr>
        <w:spacing w:line="240" w:lineRule="auto"/>
        <w:ind w:left="0"/>
        <w:rPr>
          <w:rFonts w:ascii="Times New Roman" w:hAnsi="Times New Roman"/>
          <w:lang w:val="en-US" w:eastAsia="ru-RU"/>
        </w:rPr>
      </w:pPr>
      <w:r w:rsidRPr="007D770B">
        <w:rPr>
          <w:rFonts w:ascii="Times New Roman" w:hAnsi="Times New Roman"/>
          <w:lang w:val="en-US" w:eastAsia="ru-RU"/>
        </w:rPr>
        <w:t>Indexation of bonds, which issue terms stipulate indexation, is made daily at the market rate. At that, the index component of bonds should be accounted for in the order provided for accounting of embedded derivatives.</w:t>
      </w:r>
    </w:p>
    <w:p w14:paraId="61734143" w14:textId="77777777" w:rsidR="00331FED" w:rsidRPr="007D770B" w:rsidRDefault="00331FED" w:rsidP="00331FED">
      <w:pPr>
        <w:spacing w:line="240" w:lineRule="auto"/>
        <w:ind w:left="0"/>
        <w:rPr>
          <w:rFonts w:ascii="Times New Roman" w:hAnsi="Times New Roman"/>
          <w:lang w:val="en-US" w:eastAsia="ru-RU"/>
        </w:rPr>
      </w:pPr>
      <w:r w:rsidRPr="007D770B">
        <w:rPr>
          <w:rFonts w:ascii="Times New Roman" w:hAnsi="Times New Roman"/>
          <w:lang w:val="en-US" w:eastAsia="ru-RU"/>
        </w:rPr>
        <w:t>If the Bank repurchases a portion of outstanding bonds issued with different amortized cost basis, the previous carrying amount of the bonds is allocated between the portion that continues to be recognized and the portion that is derecognized. The carrying amount is allocated based on the relative fair values of the portions at the redemption date using the weighted average method of write-off.</w:t>
      </w:r>
    </w:p>
    <w:p w14:paraId="1D9B938A" w14:textId="4EC3321C" w:rsidR="00331FED" w:rsidRPr="007D770B" w:rsidRDefault="00331FED" w:rsidP="00331FED">
      <w:pPr>
        <w:spacing w:line="240" w:lineRule="auto"/>
        <w:ind w:left="0"/>
        <w:rPr>
          <w:rFonts w:ascii="Times New Roman" w:hAnsi="Times New Roman"/>
          <w:lang w:val="en-US" w:eastAsia="ru-RU"/>
        </w:rPr>
      </w:pPr>
      <w:r w:rsidRPr="007D770B">
        <w:rPr>
          <w:rFonts w:ascii="Times New Roman" w:hAnsi="Times New Roman"/>
          <w:lang w:val="en-US" w:eastAsia="ru-RU"/>
        </w:rPr>
        <w:t>The bonds issued into circulation are redeemed at maturity date by paying their face value. On the day of bonds redemption the additional interest for the last coupon period is made.</w:t>
      </w:r>
    </w:p>
    <w:p w14:paraId="7477D3B2" w14:textId="77777777" w:rsidR="00331FED" w:rsidRPr="007D770B" w:rsidRDefault="00331FED" w:rsidP="00331FED">
      <w:pPr>
        <w:pStyle w:val="16"/>
        <w:keepNext w:val="0"/>
        <w:keepLines w:val="0"/>
        <w:tabs>
          <w:tab w:val="clear" w:pos="567"/>
          <w:tab w:val="num" w:pos="2160"/>
        </w:tabs>
        <w:spacing w:after="240"/>
        <w:jc w:val="both"/>
        <w:rPr>
          <w:i/>
          <w:snapToGrid w:val="0"/>
          <w:sz w:val="20"/>
          <w:szCs w:val="20"/>
          <w:lang w:val="en-US" w:eastAsia="ru-RU"/>
        </w:rPr>
      </w:pPr>
      <w:r w:rsidRPr="007D770B">
        <w:rPr>
          <w:i/>
          <w:sz w:val="20"/>
          <w:szCs w:val="20"/>
          <w:lang w:val="en-US"/>
        </w:rPr>
        <w:t>Transactions under sale and repurchase agreements, securities loans</w:t>
      </w:r>
    </w:p>
    <w:p w14:paraId="34014734" w14:textId="1C1C2630" w:rsidR="00331FED" w:rsidRPr="007D770B" w:rsidRDefault="00331FED" w:rsidP="00331FED">
      <w:pPr>
        <w:pStyle w:val="ABC-paragrahinNotes"/>
        <w:autoSpaceDE w:val="0"/>
        <w:autoSpaceDN w:val="0"/>
        <w:adjustRightInd w:val="0"/>
        <w:rPr>
          <w:rFonts w:ascii="Times New Roman" w:hAnsi="Times New Roman"/>
          <w:sz w:val="20"/>
          <w:lang w:val="en-US"/>
        </w:rPr>
      </w:pPr>
      <w:r w:rsidRPr="007D770B">
        <w:rPr>
          <w:rFonts w:ascii="Times New Roman" w:hAnsi="Times New Roman"/>
          <w:i/>
          <w:sz w:val="20"/>
          <w:lang w:val="en-US"/>
        </w:rPr>
        <w:lastRenderedPageBreak/>
        <w:t xml:space="preserve">Transactions under sale and </w:t>
      </w:r>
      <w:r w:rsidRPr="007D770B">
        <w:rPr>
          <w:rFonts w:ascii="Times New Roman" w:hAnsi="Times New Roman"/>
          <w:sz w:val="20"/>
          <w:lang w:val="en-US"/>
        </w:rPr>
        <w:t>repurchase</w:t>
      </w:r>
      <w:r w:rsidRPr="007D770B">
        <w:rPr>
          <w:rFonts w:ascii="Times New Roman" w:hAnsi="Times New Roman"/>
          <w:i/>
          <w:sz w:val="20"/>
          <w:lang w:val="en-US"/>
        </w:rPr>
        <w:t xml:space="preserve"> agreements </w:t>
      </w:r>
      <w:r w:rsidRPr="007D770B">
        <w:rPr>
          <w:rFonts w:ascii="Times New Roman" w:hAnsi="Times New Roman"/>
          <w:sz w:val="20"/>
          <w:lang w:val="en-US"/>
        </w:rPr>
        <w:t xml:space="preserve">(repurchase agreements), which actually provide the counterparty with a lender's return, are treated as secured financing transactions. </w:t>
      </w:r>
      <w:r w:rsidRPr="007D770B">
        <w:rPr>
          <w:i/>
          <w:lang w:val="en-US"/>
        </w:rPr>
        <w:t xml:space="preserve">       </w:t>
      </w:r>
    </w:p>
    <w:p w14:paraId="30157354" w14:textId="77777777" w:rsidR="00331FED" w:rsidRPr="007D770B" w:rsidRDefault="00331FED" w:rsidP="00331FED">
      <w:pPr>
        <w:pStyle w:val="ABC-paragrahinNotes"/>
        <w:autoSpaceDE w:val="0"/>
        <w:autoSpaceDN w:val="0"/>
        <w:adjustRightInd w:val="0"/>
        <w:rPr>
          <w:rFonts w:ascii="Times New Roman" w:hAnsi="Times New Roman"/>
          <w:sz w:val="20"/>
          <w:lang w:val="en-US"/>
        </w:rPr>
      </w:pPr>
      <w:r w:rsidRPr="007D770B">
        <w:rPr>
          <w:rFonts w:ascii="Times New Roman" w:hAnsi="Times New Roman"/>
          <w:sz w:val="20"/>
          <w:lang w:val="en-US"/>
        </w:rPr>
        <w:t xml:space="preserve">Securities sold under sale and repurchase agreements are not derecognized. </w:t>
      </w:r>
    </w:p>
    <w:p w14:paraId="41F62466" w14:textId="29E8041F" w:rsidR="00331FED" w:rsidRPr="007D770B" w:rsidRDefault="00331FED" w:rsidP="00331FED">
      <w:pPr>
        <w:pStyle w:val="ABC-paragrahinNotes"/>
        <w:autoSpaceDE w:val="0"/>
        <w:autoSpaceDN w:val="0"/>
        <w:adjustRightInd w:val="0"/>
        <w:rPr>
          <w:rFonts w:ascii="Times New Roman" w:hAnsi="Times New Roman"/>
          <w:sz w:val="20"/>
          <w:lang w:val="en-US"/>
        </w:rPr>
      </w:pPr>
      <w:r w:rsidRPr="007D770B">
        <w:rPr>
          <w:rFonts w:ascii="Times New Roman" w:hAnsi="Times New Roman"/>
          <w:sz w:val="20"/>
          <w:lang w:val="en-US"/>
        </w:rPr>
        <w:t xml:space="preserve">Securities are not reclassified to another balance sheet caption unless the transferee has the right by contract or custom to sell or repledge the securities, in which case they are reclassified as repurchase receivables. In such cases they are classified as repurchase receivables. The corresponding liability is presented </w:t>
      </w:r>
      <w:r w:rsidR="00802136" w:rsidRPr="007D770B">
        <w:rPr>
          <w:rFonts w:ascii="Times New Roman" w:hAnsi="Times New Roman"/>
          <w:sz w:val="20"/>
          <w:lang w:val="en-US"/>
        </w:rPr>
        <w:t xml:space="preserve">within </w:t>
      </w:r>
      <w:r w:rsidRPr="007D770B">
        <w:rPr>
          <w:rFonts w:ascii="Times New Roman" w:hAnsi="Times New Roman"/>
          <w:sz w:val="20"/>
          <w:lang w:val="en-US"/>
        </w:rPr>
        <w:t xml:space="preserve">amounts due to other banks or other borrowed funds or other financial liabilities. </w:t>
      </w:r>
    </w:p>
    <w:p w14:paraId="1ADF3074" w14:textId="2F4804E6" w:rsidR="00331FED" w:rsidRPr="007D770B" w:rsidRDefault="00331FED" w:rsidP="00331FED">
      <w:pPr>
        <w:pStyle w:val="ABC-paragrahinNotes"/>
        <w:autoSpaceDE w:val="0"/>
        <w:autoSpaceDN w:val="0"/>
        <w:adjustRightInd w:val="0"/>
        <w:rPr>
          <w:rFonts w:ascii="Times New Roman" w:hAnsi="Times New Roman"/>
          <w:sz w:val="20"/>
          <w:lang w:val="en-US"/>
        </w:rPr>
      </w:pPr>
      <w:r w:rsidRPr="007D770B">
        <w:rPr>
          <w:rFonts w:ascii="Times New Roman" w:hAnsi="Times New Roman"/>
          <w:b/>
          <w:i/>
          <w:sz w:val="20"/>
          <w:lang w:val="en-US"/>
        </w:rPr>
        <w:t xml:space="preserve">Securities purchased under agreements to resell </w:t>
      </w:r>
      <w:r w:rsidRPr="007D770B">
        <w:rPr>
          <w:rFonts w:ascii="Times New Roman" w:hAnsi="Times New Roman"/>
          <w:b/>
          <w:sz w:val="20"/>
          <w:lang w:val="en-US"/>
        </w:rPr>
        <w:t>(</w:t>
      </w:r>
      <w:r w:rsidR="00802136" w:rsidRPr="007D770B">
        <w:rPr>
          <w:rFonts w:ascii="Times New Roman" w:hAnsi="Times New Roman"/>
          <w:b/>
          <w:sz w:val="20"/>
          <w:lang w:val="en-US"/>
        </w:rPr>
        <w:t>"</w:t>
      </w:r>
      <w:r w:rsidRPr="007D770B">
        <w:rPr>
          <w:rFonts w:ascii="Times New Roman" w:hAnsi="Times New Roman"/>
          <w:b/>
          <w:sz w:val="20"/>
          <w:lang w:val="en-US"/>
        </w:rPr>
        <w:t>reverse repo</w:t>
      </w:r>
      <w:r w:rsidR="00802136" w:rsidRPr="007D770B">
        <w:rPr>
          <w:rFonts w:ascii="Times New Roman" w:hAnsi="Times New Roman"/>
          <w:b/>
          <w:sz w:val="20"/>
          <w:lang w:val="en-US"/>
        </w:rPr>
        <w:t>"</w:t>
      </w:r>
      <w:r w:rsidRPr="007D770B">
        <w:rPr>
          <w:rFonts w:ascii="Times New Roman" w:hAnsi="Times New Roman"/>
          <w:b/>
          <w:sz w:val="20"/>
          <w:lang w:val="en-US"/>
        </w:rPr>
        <w:t xml:space="preserve">) </w:t>
      </w:r>
      <w:r w:rsidRPr="007D770B">
        <w:rPr>
          <w:rFonts w:ascii="Times New Roman" w:hAnsi="Times New Roman"/>
          <w:sz w:val="20"/>
          <w:lang w:val="en-US"/>
        </w:rPr>
        <w:t>which effectively provide a lender</w:t>
      </w:r>
      <w:r w:rsidRPr="007D770B">
        <w:rPr>
          <w:rFonts w:ascii="Times New Roman" w:hAnsi="Times New Roman"/>
          <w:b/>
          <w:i/>
          <w:sz w:val="20"/>
          <w:lang w:val="en-US"/>
        </w:rPr>
        <w:t>'</w:t>
      </w:r>
      <w:r w:rsidRPr="007D770B">
        <w:rPr>
          <w:rFonts w:ascii="Times New Roman" w:hAnsi="Times New Roman"/>
          <w:sz w:val="20"/>
          <w:lang w:val="en-US"/>
        </w:rPr>
        <w:t xml:space="preserve">s return to the Bank are not recognized as an asset, but rather the rights of claim against the counterparty are recorded as </w:t>
      </w:r>
      <w:r w:rsidR="00802136" w:rsidRPr="007D770B">
        <w:rPr>
          <w:rFonts w:ascii="Times New Roman" w:hAnsi="Times New Roman"/>
          <w:sz w:val="20"/>
          <w:lang w:val="en-US"/>
        </w:rPr>
        <w:t>"</w:t>
      </w:r>
      <w:r w:rsidRPr="007D770B">
        <w:rPr>
          <w:rFonts w:ascii="Times New Roman" w:hAnsi="Times New Roman"/>
          <w:sz w:val="20"/>
          <w:lang w:val="en-US"/>
        </w:rPr>
        <w:t>Repurchase receivables</w:t>
      </w:r>
      <w:r w:rsidR="00802136" w:rsidRPr="007D770B">
        <w:rPr>
          <w:rFonts w:ascii="Times New Roman" w:hAnsi="Times New Roman"/>
          <w:sz w:val="20"/>
          <w:lang w:val="en-US"/>
        </w:rPr>
        <w:t xml:space="preserve">" </w:t>
      </w:r>
      <w:r w:rsidRPr="007D770B">
        <w:rPr>
          <w:rFonts w:ascii="Times New Roman" w:hAnsi="Times New Roman"/>
          <w:sz w:val="20"/>
          <w:lang w:val="en-US"/>
        </w:rPr>
        <w:t xml:space="preserve">and </w:t>
      </w:r>
      <w:r w:rsidR="00802136" w:rsidRPr="007D770B">
        <w:rPr>
          <w:rFonts w:ascii="Times New Roman" w:hAnsi="Times New Roman"/>
          <w:sz w:val="20"/>
          <w:lang w:val="en-US"/>
        </w:rPr>
        <w:t>"</w:t>
      </w:r>
      <w:r w:rsidRPr="007D770B">
        <w:rPr>
          <w:rFonts w:ascii="Times New Roman" w:hAnsi="Times New Roman"/>
          <w:sz w:val="20"/>
          <w:lang w:val="en-US"/>
        </w:rPr>
        <w:t>Cash and cash equivalents</w:t>
      </w:r>
      <w:r w:rsidR="00802136" w:rsidRPr="007D770B">
        <w:rPr>
          <w:rFonts w:ascii="Times New Roman" w:hAnsi="Times New Roman"/>
          <w:sz w:val="20"/>
          <w:lang w:val="en-US"/>
        </w:rPr>
        <w:t xml:space="preserve">" </w:t>
      </w:r>
      <w:r w:rsidRPr="007D770B">
        <w:rPr>
          <w:rFonts w:ascii="Times New Roman" w:hAnsi="Times New Roman"/>
          <w:sz w:val="20"/>
          <w:lang w:val="en-US"/>
        </w:rPr>
        <w:t xml:space="preserve">depending on their maturity. The difference between the sale and repurchase price is recognized as interest income and accrued over the life of repo agreements using the effective interest method. </w:t>
      </w:r>
    </w:p>
    <w:p w14:paraId="7F528BFB" w14:textId="39FEF995" w:rsidR="00331FED" w:rsidRPr="007D770B" w:rsidRDefault="00331FED" w:rsidP="00331FED">
      <w:pPr>
        <w:spacing w:line="240" w:lineRule="auto"/>
        <w:ind w:left="0"/>
        <w:rPr>
          <w:rFonts w:ascii="Times New Roman" w:hAnsi="Times New Roman"/>
          <w:lang w:val="en-US"/>
        </w:rPr>
      </w:pPr>
      <w:r w:rsidRPr="007D770B">
        <w:rPr>
          <w:rFonts w:ascii="Times New Roman" w:hAnsi="Times New Roman"/>
          <w:lang w:val="en-US"/>
        </w:rPr>
        <w:t xml:space="preserve">Securities lent to counterparties for a fixed fee are retained in the financial statements in their original balance sheet caption unless the counterparty has the right by contract or custom to sell or repledge the securities, in which case they are reclassified to a separate balance sheet caption. In such cases, they are reclassified to a separate balance sheet item. </w:t>
      </w:r>
    </w:p>
    <w:p w14:paraId="1CD12514" w14:textId="1079CBD0" w:rsidR="00331FED" w:rsidRPr="007D770B" w:rsidRDefault="00331FED" w:rsidP="00331FED">
      <w:pPr>
        <w:spacing w:line="240" w:lineRule="auto"/>
        <w:ind w:left="0"/>
        <w:rPr>
          <w:rFonts w:ascii="Times New Roman" w:hAnsi="Times New Roman"/>
          <w:b/>
          <w:i/>
          <w:lang w:val="en-US"/>
        </w:rPr>
      </w:pPr>
      <w:r w:rsidRPr="007D770B">
        <w:rPr>
          <w:rFonts w:ascii="Times New Roman" w:hAnsi="Times New Roman"/>
          <w:lang w:val="en-US"/>
        </w:rPr>
        <w:t xml:space="preserve">Securities borrowed for a fixed fee are not recognized in the financial statements, unless they are sold to third parties. In such cases, the financial result from purchase and sale of these securities is recognized in profit or loss in the line </w:t>
      </w:r>
      <w:r w:rsidR="00802136" w:rsidRPr="007D770B">
        <w:rPr>
          <w:rFonts w:ascii="Times New Roman" w:hAnsi="Times New Roman"/>
          <w:lang w:val="en-US"/>
        </w:rPr>
        <w:t>"</w:t>
      </w:r>
      <w:r w:rsidRPr="007D770B">
        <w:rPr>
          <w:rFonts w:ascii="Times New Roman" w:hAnsi="Times New Roman"/>
          <w:lang w:val="en-US"/>
        </w:rPr>
        <w:t>Gains less losses arising from trading securities</w:t>
      </w:r>
      <w:r w:rsidR="00802136" w:rsidRPr="007D770B">
        <w:rPr>
          <w:rFonts w:ascii="Times New Roman" w:hAnsi="Times New Roman"/>
          <w:lang w:val="en-US"/>
        </w:rPr>
        <w:t>"</w:t>
      </w:r>
      <w:r w:rsidRPr="007D770B">
        <w:rPr>
          <w:rFonts w:ascii="Times New Roman" w:hAnsi="Times New Roman"/>
          <w:lang w:val="en-US"/>
        </w:rPr>
        <w:t xml:space="preserve">. The obligation to return securities is recorded at fair value within </w:t>
      </w:r>
      <w:r w:rsidR="00802136" w:rsidRPr="007D770B">
        <w:rPr>
          <w:rFonts w:ascii="Times New Roman" w:hAnsi="Times New Roman"/>
          <w:lang w:val="en-US"/>
        </w:rPr>
        <w:t>"</w:t>
      </w:r>
      <w:r w:rsidRPr="007D770B">
        <w:rPr>
          <w:rFonts w:ascii="Times New Roman" w:hAnsi="Times New Roman"/>
          <w:lang w:val="en-US"/>
        </w:rPr>
        <w:t>Other borrowed funds</w:t>
      </w:r>
      <w:r w:rsidR="00802136" w:rsidRPr="007D770B">
        <w:rPr>
          <w:rFonts w:ascii="Times New Roman" w:hAnsi="Times New Roman"/>
          <w:lang w:val="en-US"/>
        </w:rPr>
        <w:t>"</w:t>
      </w:r>
    </w:p>
    <w:p w14:paraId="1E8844B6" w14:textId="77777777" w:rsidR="00331FED" w:rsidRPr="007D770B" w:rsidRDefault="00331FED" w:rsidP="00331FED">
      <w:pPr>
        <w:spacing w:line="240" w:lineRule="auto"/>
        <w:ind w:left="0"/>
        <w:rPr>
          <w:rFonts w:ascii="Times New Roman" w:hAnsi="Times New Roman"/>
          <w:b/>
          <w:i/>
          <w:lang w:val="en-US"/>
        </w:rPr>
      </w:pPr>
      <w:r w:rsidRPr="007D770B">
        <w:rPr>
          <w:rFonts w:ascii="Times New Roman" w:hAnsi="Times New Roman"/>
          <w:b/>
          <w:i/>
          <w:lang w:val="en-US"/>
        </w:rPr>
        <w:t>Amounts due to customers</w:t>
      </w:r>
    </w:p>
    <w:p w14:paraId="084DF779" w14:textId="495C1C37" w:rsidR="003C7B2F" w:rsidRPr="007D770B" w:rsidRDefault="003C7B2F" w:rsidP="003A587C">
      <w:pPr>
        <w:tabs>
          <w:tab w:val="left" w:pos="624"/>
          <w:tab w:val="left" w:pos="1134"/>
        </w:tabs>
        <w:spacing w:before="120"/>
        <w:ind w:left="0"/>
        <w:rPr>
          <w:rFonts w:ascii="Times New Roman" w:hAnsi="Times New Roman"/>
          <w:lang w:val="en-US"/>
        </w:rPr>
      </w:pPr>
      <w:r w:rsidRPr="007D770B">
        <w:rPr>
          <w:rFonts w:ascii="Times New Roman" w:hAnsi="Times New Roman"/>
          <w:lang w:val="en-US"/>
        </w:rPr>
        <w:t xml:space="preserve">            Attracted deposits and funds on current accounts of customers are accounted by the Bank separately for each type of deposit and depositor on the basis of the concluded agreement on housing construction savings (hereinafter referred to as HCS agreement), agreement on educational savings deposit and current account of customers on the respective balance sheet accounts in KZT, taking into account the sign of residency. </w:t>
      </w:r>
    </w:p>
    <w:p w14:paraId="321B9395" w14:textId="77777777" w:rsidR="003C7B2F" w:rsidRPr="007D770B" w:rsidRDefault="003C7B2F" w:rsidP="003C7B2F">
      <w:pPr>
        <w:pStyle w:val="aa"/>
        <w:tabs>
          <w:tab w:val="left" w:pos="720"/>
          <w:tab w:val="left" w:pos="993"/>
        </w:tabs>
        <w:spacing w:before="120"/>
        <w:ind w:left="0" w:firstLine="567"/>
        <w:rPr>
          <w:rFonts w:ascii="Times New Roman" w:hAnsi="Times New Roman"/>
          <w:lang w:val="en-US"/>
        </w:rPr>
      </w:pPr>
      <w:r w:rsidRPr="007D770B">
        <w:rPr>
          <w:rFonts w:ascii="Times New Roman" w:hAnsi="Times New Roman"/>
          <w:lang w:val="en-US"/>
        </w:rPr>
        <w:t>Deposits are recognized in the accounting records at the moment when money is credited to the deposit account, unless otherwise provided for by the terms and conditions of the concluded agreement. Depending on the terms and types of attracted deposits are classified as:</w:t>
      </w:r>
    </w:p>
    <w:p w14:paraId="66F97E90" w14:textId="77777777" w:rsidR="003C7B2F" w:rsidRPr="007D770B" w:rsidRDefault="003C7B2F" w:rsidP="003C7B2F">
      <w:pPr>
        <w:pStyle w:val="aa"/>
        <w:tabs>
          <w:tab w:val="left" w:pos="720"/>
          <w:tab w:val="left" w:pos="993"/>
        </w:tabs>
        <w:spacing w:before="120"/>
        <w:ind w:left="0" w:firstLine="567"/>
        <w:rPr>
          <w:rFonts w:ascii="Times New Roman" w:hAnsi="Times New Roman"/>
          <w:lang w:val="en-US"/>
        </w:rPr>
      </w:pPr>
      <w:r w:rsidRPr="007D770B">
        <w:rPr>
          <w:rFonts w:ascii="Times New Roman" w:hAnsi="Times New Roman"/>
          <w:lang w:val="en-US"/>
        </w:rPr>
        <w:t>-</w:t>
      </w:r>
      <w:r w:rsidRPr="007D770B">
        <w:rPr>
          <w:rFonts w:ascii="Times New Roman" w:hAnsi="Times New Roman"/>
          <w:lang w:val="en-US"/>
        </w:rPr>
        <w:tab/>
        <w:t>short-term deposits (up to one year), including deposits subject to mandatory collective guarantee;</w:t>
      </w:r>
    </w:p>
    <w:p w14:paraId="0C794670" w14:textId="77777777" w:rsidR="003C7B2F" w:rsidRPr="007D770B" w:rsidRDefault="003C7B2F" w:rsidP="003C7B2F">
      <w:pPr>
        <w:pStyle w:val="aa"/>
        <w:tabs>
          <w:tab w:val="left" w:pos="720"/>
          <w:tab w:val="left" w:pos="993"/>
        </w:tabs>
        <w:spacing w:before="120"/>
        <w:ind w:left="0" w:firstLine="567"/>
        <w:rPr>
          <w:rFonts w:ascii="Times New Roman" w:hAnsi="Times New Roman"/>
          <w:lang w:val="en-US"/>
        </w:rPr>
      </w:pPr>
      <w:r w:rsidRPr="007D770B">
        <w:rPr>
          <w:rFonts w:ascii="Times New Roman" w:hAnsi="Times New Roman"/>
          <w:lang w:val="en-US"/>
        </w:rPr>
        <w:t>-</w:t>
      </w:r>
      <w:r w:rsidRPr="007D770B">
        <w:rPr>
          <w:rFonts w:ascii="Times New Roman" w:hAnsi="Times New Roman"/>
          <w:lang w:val="en-US"/>
        </w:rPr>
        <w:tab/>
        <w:t>long-term deposits (over one year), including deposits subject to mandatory collective guarantee;</w:t>
      </w:r>
    </w:p>
    <w:p w14:paraId="238FEE49" w14:textId="77777777" w:rsidR="003C7B2F" w:rsidRPr="007D770B" w:rsidRDefault="003C7B2F" w:rsidP="003C7B2F">
      <w:pPr>
        <w:pStyle w:val="aa"/>
        <w:tabs>
          <w:tab w:val="left" w:pos="720"/>
          <w:tab w:val="left" w:pos="993"/>
        </w:tabs>
        <w:spacing w:before="120"/>
        <w:ind w:left="0" w:firstLine="567"/>
        <w:rPr>
          <w:rFonts w:ascii="Times New Roman" w:hAnsi="Times New Roman"/>
          <w:lang w:val="en-US"/>
        </w:rPr>
      </w:pPr>
      <w:r w:rsidRPr="007D770B">
        <w:rPr>
          <w:rFonts w:ascii="Times New Roman" w:hAnsi="Times New Roman"/>
          <w:lang w:val="en-US"/>
        </w:rPr>
        <w:t>-</w:t>
      </w:r>
      <w:r w:rsidRPr="007D770B">
        <w:rPr>
          <w:rFonts w:ascii="Times New Roman" w:hAnsi="Times New Roman"/>
          <w:lang w:val="en-US"/>
        </w:rPr>
        <w:tab/>
        <w:t>deposits that are collateral (pledge, guarantee, deposit) of customers' obligations.</w:t>
      </w:r>
    </w:p>
    <w:p w14:paraId="63B537D1" w14:textId="77777777" w:rsidR="003C7B2F" w:rsidRPr="007D770B" w:rsidRDefault="003C7B2F" w:rsidP="003C7B2F">
      <w:pPr>
        <w:pStyle w:val="aa"/>
        <w:tabs>
          <w:tab w:val="left" w:pos="720"/>
          <w:tab w:val="left" w:pos="993"/>
        </w:tabs>
        <w:spacing w:before="120"/>
        <w:ind w:left="0"/>
        <w:rPr>
          <w:rFonts w:ascii="Times New Roman" w:hAnsi="Times New Roman"/>
          <w:lang w:val="en-US"/>
        </w:rPr>
      </w:pPr>
    </w:p>
    <w:p w14:paraId="3A2B29D6" w14:textId="77777777" w:rsidR="003C7B2F" w:rsidRPr="007D770B" w:rsidRDefault="003C7B2F" w:rsidP="003C7B2F">
      <w:pPr>
        <w:pStyle w:val="aa"/>
        <w:tabs>
          <w:tab w:val="left" w:pos="720"/>
          <w:tab w:val="left" w:pos="993"/>
        </w:tabs>
        <w:spacing w:before="120"/>
        <w:ind w:left="0" w:firstLine="567"/>
        <w:rPr>
          <w:rFonts w:ascii="Times New Roman" w:hAnsi="Times New Roman"/>
          <w:lang w:val="en-US"/>
        </w:rPr>
      </w:pPr>
      <w:r w:rsidRPr="007D770B">
        <w:rPr>
          <w:rFonts w:ascii="Times New Roman" w:hAnsi="Times New Roman"/>
          <w:lang w:val="en-US"/>
        </w:rPr>
        <w:t>At initial recognition, contributions are recognized at amortized cost using the effective interest method.</w:t>
      </w:r>
    </w:p>
    <w:p w14:paraId="24F0D993" w14:textId="77777777" w:rsidR="003C7B2F" w:rsidRPr="007D770B" w:rsidRDefault="003C7B2F" w:rsidP="003C7B2F">
      <w:pPr>
        <w:pStyle w:val="aa"/>
        <w:tabs>
          <w:tab w:val="left" w:pos="720"/>
          <w:tab w:val="left" w:pos="993"/>
        </w:tabs>
        <w:spacing w:before="120"/>
        <w:ind w:left="0" w:firstLine="567"/>
        <w:rPr>
          <w:rFonts w:ascii="Times New Roman" w:hAnsi="Times New Roman"/>
          <w:lang w:val="en-US"/>
        </w:rPr>
      </w:pPr>
    </w:p>
    <w:p w14:paraId="46D7A648" w14:textId="77777777" w:rsidR="003C7B2F" w:rsidRPr="007D770B" w:rsidRDefault="003C7B2F" w:rsidP="003C7B2F">
      <w:pPr>
        <w:pStyle w:val="aa"/>
        <w:tabs>
          <w:tab w:val="left" w:pos="720"/>
          <w:tab w:val="left" w:pos="993"/>
        </w:tabs>
        <w:spacing w:before="120"/>
        <w:ind w:left="0" w:firstLine="567"/>
        <w:rPr>
          <w:rFonts w:ascii="Times New Roman" w:hAnsi="Times New Roman"/>
          <w:lang w:val="en-US"/>
        </w:rPr>
      </w:pPr>
      <w:r w:rsidRPr="007D770B">
        <w:rPr>
          <w:rFonts w:ascii="Times New Roman" w:hAnsi="Times New Roman"/>
          <w:lang w:val="en-US"/>
        </w:rPr>
        <w:t>Amounts of rates, procedure for payment of remuneration on customer deposits and funds on current accounts of customers - legal entities are established in the agreement.</w:t>
      </w:r>
    </w:p>
    <w:p w14:paraId="5A12F5BE" w14:textId="77777777" w:rsidR="003C7B2F" w:rsidRPr="007D770B" w:rsidRDefault="003C7B2F" w:rsidP="003C7B2F">
      <w:pPr>
        <w:pStyle w:val="aa"/>
        <w:tabs>
          <w:tab w:val="left" w:pos="720"/>
          <w:tab w:val="left" w:pos="993"/>
        </w:tabs>
        <w:spacing w:before="120"/>
        <w:ind w:left="0" w:firstLine="567"/>
        <w:rPr>
          <w:rFonts w:ascii="Times New Roman" w:hAnsi="Times New Roman"/>
          <w:lang w:val="en-US"/>
        </w:rPr>
      </w:pPr>
    </w:p>
    <w:p w14:paraId="246A4ED8" w14:textId="77777777" w:rsidR="003C7B2F" w:rsidRPr="007D770B" w:rsidRDefault="003C7B2F" w:rsidP="003C7B2F">
      <w:pPr>
        <w:pStyle w:val="aa"/>
        <w:tabs>
          <w:tab w:val="left" w:pos="720"/>
          <w:tab w:val="left" w:pos="993"/>
        </w:tabs>
        <w:spacing w:before="120"/>
        <w:ind w:left="0" w:firstLine="567"/>
        <w:rPr>
          <w:rFonts w:ascii="Times New Roman" w:hAnsi="Times New Roman"/>
          <w:lang w:val="en-US"/>
        </w:rPr>
      </w:pPr>
      <w:r w:rsidRPr="007D770B">
        <w:rPr>
          <w:rFonts w:ascii="Times New Roman" w:hAnsi="Times New Roman"/>
          <w:lang w:val="en-US"/>
        </w:rPr>
        <w:t>When calculating interest on term deposits and funds on current accounts of legal entities, the number of days in a year equal to 360 days and 30 days in a month shall be taken into account, unless otherwise provided for by the terms and conditions of the concluded agreement.</w:t>
      </w:r>
    </w:p>
    <w:p w14:paraId="1D5F7FA0" w14:textId="77777777" w:rsidR="003C7B2F" w:rsidRPr="007D770B" w:rsidRDefault="003C7B2F" w:rsidP="003C7B2F">
      <w:pPr>
        <w:pStyle w:val="aa"/>
        <w:tabs>
          <w:tab w:val="left" w:pos="720"/>
          <w:tab w:val="left" w:pos="993"/>
        </w:tabs>
        <w:spacing w:before="120"/>
        <w:ind w:left="0" w:firstLine="567"/>
        <w:rPr>
          <w:rFonts w:ascii="Times New Roman" w:hAnsi="Times New Roman"/>
          <w:lang w:val="en-US"/>
        </w:rPr>
      </w:pPr>
    </w:p>
    <w:p w14:paraId="73AFD7B7" w14:textId="77777777" w:rsidR="003C7B2F" w:rsidRPr="007D770B" w:rsidRDefault="003C7B2F" w:rsidP="003C7B2F">
      <w:pPr>
        <w:pStyle w:val="aa"/>
        <w:tabs>
          <w:tab w:val="left" w:pos="720"/>
          <w:tab w:val="left" w:pos="993"/>
        </w:tabs>
        <w:spacing w:before="120"/>
        <w:ind w:left="0" w:firstLine="567"/>
        <w:rPr>
          <w:rFonts w:ascii="Times New Roman" w:hAnsi="Times New Roman"/>
          <w:lang w:val="en-US"/>
        </w:rPr>
      </w:pPr>
      <w:r w:rsidRPr="007D770B">
        <w:rPr>
          <w:rFonts w:ascii="Times New Roman" w:hAnsi="Times New Roman"/>
          <w:lang w:val="en-US"/>
        </w:rPr>
        <w:t xml:space="preserve">Remuneration on attracted customer funds is accrued at the interest rate in accordance with the terms and conditions of the concluded agreement and is recognized in the Bank's expenses at least once a month, not later than the last working day of the month. </w:t>
      </w:r>
    </w:p>
    <w:p w14:paraId="3BF38955" w14:textId="77777777" w:rsidR="003C7B2F" w:rsidRPr="007D770B" w:rsidRDefault="003C7B2F" w:rsidP="003C7B2F">
      <w:pPr>
        <w:pStyle w:val="aa"/>
        <w:tabs>
          <w:tab w:val="left" w:pos="720"/>
          <w:tab w:val="left" w:pos="993"/>
        </w:tabs>
        <w:spacing w:before="120"/>
        <w:ind w:left="0" w:firstLine="567"/>
        <w:rPr>
          <w:rFonts w:ascii="Times New Roman" w:hAnsi="Times New Roman"/>
          <w:lang w:val="en-US"/>
        </w:rPr>
      </w:pPr>
    </w:p>
    <w:p w14:paraId="08E8537B" w14:textId="77777777" w:rsidR="003C7B2F" w:rsidRPr="007D770B" w:rsidRDefault="003C7B2F" w:rsidP="003C7B2F">
      <w:pPr>
        <w:pStyle w:val="aa"/>
        <w:tabs>
          <w:tab w:val="left" w:pos="720"/>
          <w:tab w:val="left" w:pos="993"/>
        </w:tabs>
        <w:spacing w:before="120"/>
        <w:ind w:left="0" w:firstLine="567"/>
        <w:rPr>
          <w:rFonts w:ascii="Times New Roman" w:hAnsi="Times New Roman"/>
          <w:lang w:val="en-US"/>
        </w:rPr>
      </w:pPr>
      <w:r w:rsidRPr="007D770B">
        <w:rPr>
          <w:rFonts w:ascii="Times New Roman" w:hAnsi="Times New Roman"/>
          <w:lang w:val="en-US"/>
        </w:rPr>
        <w:t xml:space="preserve">Under educational savings deposit agreements, capitalization of accrued interest on deposits is made monthly at the opening of the operating day, of the following month.  </w:t>
      </w:r>
    </w:p>
    <w:p w14:paraId="53D741BE" w14:textId="77777777" w:rsidR="003C7B2F" w:rsidRPr="007D770B" w:rsidRDefault="003C7B2F" w:rsidP="003C7B2F">
      <w:pPr>
        <w:pStyle w:val="aa"/>
        <w:tabs>
          <w:tab w:val="left" w:pos="720"/>
          <w:tab w:val="left" w:pos="993"/>
        </w:tabs>
        <w:spacing w:before="120"/>
        <w:ind w:left="0" w:firstLine="567"/>
        <w:rPr>
          <w:rFonts w:ascii="Times New Roman" w:hAnsi="Times New Roman"/>
          <w:lang w:val="en-US"/>
        </w:rPr>
      </w:pPr>
    </w:p>
    <w:p w14:paraId="0401E860" w14:textId="77777777" w:rsidR="003C7B2F" w:rsidRPr="007D770B" w:rsidRDefault="003C7B2F" w:rsidP="003C7B2F">
      <w:pPr>
        <w:pStyle w:val="aa"/>
        <w:tabs>
          <w:tab w:val="left" w:pos="720"/>
          <w:tab w:val="left" w:pos="993"/>
        </w:tabs>
        <w:spacing w:before="120"/>
        <w:ind w:left="0" w:firstLine="567"/>
        <w:rPr>
          <w:rFonts w:ascii="Times New Roman" w:hAnsi="Times New Roman"/>
          <w:lang w:val="en-US"/>
        </w:rPr>
      </w:pPr>
      <w:r w:rsidRPr="007D770B">
        <w:rPr>
          <w:rFonts w:ascii="Times New Roman" w:hAnsi="Times New Roman"/>
          <w:lang w:val="en-US"/>
        </w:rPr>
        <w:t>At the end of the year, no later than the last working day, the accrued interest under HCS contracts is capitalized.</w:t>
      </w:r>
    </w:p>
    <w:p w14:paraId="583C4FE3" w14:textId="77777777" w:rsidR="003C7B2F" w:rsidRPr="007D770B" w:rsidRDefault="003C7B2F" w:rsidP="003C7B2F">
      <w:pPr>
        <w:pStyle w:val="aa"/>
        <w:tabs>
          <w:tab w:val="left" w:pos="720"/>
          <w:tab w:val="left" w:pos="993"/>
        </w:tabs>
        <w:spacing w:before="120"/>
        <w:ind w:left="0" w:firstLine="567"/>
        <w:rPr>
          <w:rFonts w:ascii="Times New Roman" w:hAnsi="Times New Roman"/>
          <w:highlight w:val="yellow"/>
          <w:lang w:val="en-US"/>
        </w:rPr>
      </w:pPr>
    </w:p>
    <w:p w14:paraId="1CD1AD54" w14:textId="77777777" w:rsidR="003C7B2F" w:rsidRPr="007D770B" w:rsidRDefault="003C7B2F" w:rsidP="003C7B2F">
      <w:pPr>
        <w:pStyle w:val="aa"/>
        <w:tabs>
          <w:tab w:val="left" w:pos="720"/>
          <w:tab w:val="left" w:pos="993"/>
        </w:tabs>
        <w:spacing w:before="120"/>
        <w:ind w:left="0" w:firstLine="567"/>
        <w:rPr>
          <w:rFonts w:ascii="Times New Roman" w:hAnsi="Times New Roman"/>
          <w:lang w:val="en-US"/>
        </w:rPr>
      </w:pPr>
      <w:r w:rsidRPr="007D770B">
        <w:rPr>
          <w:rFonts w:ascii="Times New Roman" w:hAnsi="Times New Roman"/>
          <w:lang w:val="en-US"/>
        </w:rPr>
        <w:t xml:space="preserve">Long-term deposits denominated in tenge are not subject to indexation for changes in the exchange rate. </w:t>
      </w:r>
    </w:p>
    <w:p w14:paraId="32F33EA4" w14:textId="77777777" w:rsidR="003C7B2F" w:rsidRPr="007D770B" w:rsidRDefault="003C7B2F" w:rsidP="003C7B2F">
      <w:pPr>
        <w:pStyle w:val="aa"/>
        <w:tabs>
          <w:tab w:val="left" w:pos="720"/>
          <w:tab w:val="left" w:pos="993"/>
        </w:tabs>
        <w:spacing w:before="120"/>
        <w:ind w:left="0" w:firstLine="567"/>
        <w:rPr>
          <w:rFonts w:ascii="Times New Roman" w:hAnsi="Times New Roman"/>
          <w:lang w:val="en-US"/>
        </w:rPr>
      </w:pPr>
      <w:r w:rsidRPr="007D770B">
        <w:rPr>
          <w:rFonts w:ascii="Times New Roman" w:hAnsi="Times New Roman"/>
          <w:lang w:val="en-US"/>
        </w:rPr>
        <w:t xml:space="preserve">In case of early withdrawal of the deposit amount by the depositor by means of full withdrawal of money from the account (termination of the HCS agreement and the educational savings deposit agreement), the amount of interest shall be recalculated/added or reversed in accordance with the internal document regulating the accounting of attracted money. </w:t>
      </w:r>
    </w:p>
    <w:p w14:paraId="38B6EC3A" w14:textId="77777777" w:rsidR="003C7B2F" w:rsidRPr="007D770B" w:rsidRDefault="003C7B2F" w:rsidP="003C7B2F">
      <w:pPr>
        <w:pStyle w:val="aa"/>
        <w:tabs>
          <w:tab w:val="left" w:pos="720"/>
          <w:tab w:val="left" w:pos="993"/>
        </w:tabs>
        <w:spacing w:before="120"/>
        <w:ind w:left="0" w:firstLine="567"/>
        <w:rPr>
          <w:rFonts w:ascii="Times New Roman" w:hAnsi="Times New Roman"/>
          <w:highlight w:val="yellow"/>
          <w:lang w:val="en-US"/>
        </w:rPr>
      </w:pPr>
    </w:p>
    <w:p w14:paraId="5C912DF5" w14:textId="77777777" w:rsidR="003C7B2F" w:rsidRPr="007D770B" w:rsidRDefault="003C7B2F" w:rsidP="003C7B2F">
      <w:pPr>
        <w:pStyle w:val="aa"/>
        <w:tabs>
          <w:tab w:val="left" w:pos="720"/>
          <w:tab w:val="left" w:pos="993"/>
        </w:tabs>
        <w:spacing w:before="120"/>
        <w:ind w:left="0" w:firstLine="567"/>
        <w:rPr>
          <w:rFonts w:ascii="Times New Roman" w:hAnsi="Times New Roman"/>
          <w:lang w:val="en-US"/>
        </w:rPr>
      </w:pPr>
      <w:r w:rsidRPr="007D770B">
        <w:rPr>
          <w:rFonts w:ascii="Times New Roman" w:hAnsi="Times New Roman"/>
          <w:lang w:val="en-US"/>
        </w:rPr>
        <w:lastRenderedPageBreak/>
        <w:t xml:space="preserve">In case of accepting money (deposit) as a pledge (security) for fulfillment of depositor's liabilities to the Bank, the amount of money accepted as a pledge shall be reflected on the account "Short-term/long-term deposit of individuals as a security of customers' liabilities". </w:t>
      </w:r>
    </w:p>
    <w:p w14:paraId="489CF562" w14:textId="77777777" w:rsidR="003C7B2F" w:rsidRPr="007D770B" w:rsidRDefault="003C7B2F" w:rsidP="003C7B2F">
      <w:pPr>
        <w:pStyle w:val="aa"/>
        <w:tabs>
          <w:tab w:val="left" w:pos="720"/>
          <w:tab w:val="left" w:pos="993"/>
        </w:tabs>
        <w:spacing w:before="120"/>
        <w:ind w:left="0" w:firstLine="567"/>
        <w:rPr>
          <w:rFonts w:ascii="Times New Roman" w:hAnsi="Times New Roman"/>
          <w:highlight w:val="yellow"/>
          <w:lang w:val="en-US"/>
        </w:rPr>
      </w:pPr>
    </w:p>
    <w:p w14:paraId="487E8139" w14:textId="77777777" w:rsidR="003C7B2F" w:rsidRPr="007D770B" w:rsidRDefault="003C7B2F" w:rsidP="003C7B2F">
      <w:pPr>
        <w:pStyle w:val="aa"/>
        <w:tabs>
          <w:tab w:val="left" w:pos="720"/>
          <w:tab w:val="left" w:pos="993"/>
        </w:tabs>
        <w:spacing w:before="120"/>
        <w:ind w:left="0" w:firstLine="567"/>
        <w:rPr>
          <w:rFonts w:ascii="Times New Roman" w:hAnsi="Times New Roman"/>
          <w:lang w:val="en-US"/>
        </w:rPr>
      </w:pPr>
      <w:r w:rsidRPr="007D770B">
        <w:rPr>
          <w:rFonts w:ascii="Times New Roman" w:hAnsi="Times New Roman"/>
          <w:lang w:val="en-US"/>
        </w:rPr>
        <w:t xml:space="preserve">In case of accepting money as a security (pledge/pledge) for the client's obligations, it shall be reflected on the account "Account for keeping money accepted as a security (pledge, deposit) for the client's obligations". </w:t>
      </w:r>
    </w:p>
    <w:p w14:paraId="383052A1" w14:textId="77777777" w:rsidR="003C7B2F" w:rsidRPr="007D770B" w:rsidRDefault="003C7B2F" w:rsidP="003C7B2F">
      <w:pPr>
        <w:pStyle w:val="aa"/>
        <w:tabs>
          <w:tab w:val="left" w:pos="720"/>
          <w:tab w:val="left" w:pos="993"/>
        </w:tabs>
        <w:spacing w:before="120"/>
        <w:ind w:left="0" w:firstLine="567"/>
        <w:rPr>
          <w:rFonts w:ascii="Times New Roman" w:hAnsi="Times New Roman"/>
          <w:lang w:val="en-US"/>
        </w:rPr>
      </w:pPr>
    </w:p>
    <w:p w14:paraId="30DECC0C" w14:textId="77777777" w:rsidR="003C7B2F" w:rsidRPr="007D770B" w:rsidRDefault="003C7B2F" w:rsidP="003C7B2F">
      <w:pPr>
        <w:pStyle w:val="aa"/>
        <w:tabs>
          <w:tab w:val="left" w:pos="720"/>
          <w:tab w:val="left" w:pos="993"/>
        </w:tabs>
        <w:spacing w:before="120"/>
        <w:ind w:left="0" w:firstLine="567"/>
        <w:rPr>
          <w:rFonts w:ascii="Times New Roman" w:hAnsi="Times New Roman"/>
          <w:lang w:val="en-US"/>
        </w:rPr>
      </w:pPr>
      <w:r w:rsidRPr="007D770B">
        <w:rPr>
          <w:rFonts w:ascii="Times New Roman" w:hAnsi="Times New Roman"/>
          <w:lang w:val="en-US"/>
        </w:rPr>
        <w:t>Upon reaching certain conditions on the attracted deposit described in internal documents, the Bank recognizes a contingent loan commitment in the amount stipulated in the HCS agreement, which is written off from contingent liability accounts upon loan disbursement or the depositor's refusal to receive the loan.</w:t>
      </w:r>
    </w:p>
    <w:p w14:paraId="6E46AEDD" w14:textId="77777777" w:rsidR="003C7B2F" w:rsidRPr="007D770B" w:rsidRDefault="003C7B2F" w:rsidP="003C7B2F">
      <w:pPr>
        <w:pStyle w:val="aa"/>
        <w:tabs>
          <w:tab w:val="left" w:pos="720"/>
          <w:tab w:val="left" w:pos="993"/>
        </w:tabs>
        <w:spacing w:before="120"/>
        <w:ind w:left="0" w:firstLine="567"/>
        <w:rPr>
          <w:rFonts w:ascii="Times New Roman" w:hAnsi="Times New Roman"/>
          <w:lang w:val="en-US"/>
        </w:rPr>
      </w:pPr>
    </w:p>
    <w:p w14:paraId="3940B6E5" w14:textId="13BE9450" w:rsidR="00331FED" w:rsidRPr="007D770B" w:rsidRDefault="003A587C" w:rsidP="003C7B2F">
      <w:pPr>
        <w:widowControl w:val="0"/>
        <w:tabs>
          <w:tab w:val="left" w:pos="0"/>
        </w:tabs>
        <w:spacing w:line="240" w:lineRule="auto"/>
        <w:ind w:left="0"/>
        <w:rPr>
          <w:rFonts w:ascii="Times New Roman" w:hAnsi="Times New Roman"/>
          <w:lang w:val="en-US"/>
        </w:rPr>
      </w:pPr>
      <w:r w:rsidRPr="007D770B">
        <w:rPr>
          <w:rFonts w:ascii="Times New Roman" w:hAnsi="Times New Roman"/>
          <w:lang w:val="en-US"/>
        </w:rPr>
        <w:tab/>
      </w:r>
      <w:r w:rsidR="003C7B2F" w:rsidRPr="007D770B">
        <w:rPr>
          <w:rFonts w:ascii="Times New Roman" w:hAnsi="Times New Roman"/>
          <w:lang w:val="en-US"/>
        </w:rPr>
        <w:t>At that, the amount of money on bank accounts shall not be more than the amount of transactions performed on them, stipulated by this subparagraph</w:t>
      </w:r>
    </w:p>
    <w:p w14:paraId="5980386A" w14:textId="77777777" w:rsidR="003A587C" w:rsidRPr="007D770B" w:rsidRDefault="002A6F57" w:rsidP="003A587C">
      <w:pPr>
        <w:widowControl w:val="0"/>
        <w:tabs>
          <w:tab w:val="left" w:pos="0"/>
        </w:tabs>
        <w:spacing w:line="240" w:lineRule="auto"/>
        <w:ind w:left="0"/>
        <w:rPr>
          <w:rFonts w:ascii="Times New Roman" w:eastAsia="Times New Roman" w:hAnsi="Times New Roman"/>
          <w:i/>
          <w:snapToGrid w:val="0"/>
          <w:color w:val="1E09B7"/>
          <w:szCs w:val="22"/>
          <w:lang w:val="en-US" w:eastAsia="ru-RU"/>
        </w:rPr>
      </w:pPr>
      <w:r w:rsidRPr="007D770B">
        <w:rPr>
          <w:rFonts w:ascii="Times New Roman" w:eastAsia="Times New Roman" w:hAnsi="Times New Roman"/>
          <w:i/>
          <w:snapToGrid w:val="0"/>
          <w:color w:val="1E09B7"/>
          <w:szCs w:val="22"/>
          <w:lang w:val="en-US" w:eastAsia="ru-RU"/>
        </w:rPr>
        <w:t xml:space="preserve"> (Subparagraph " Loans received and deposits placed with non-market terms " of item 3.10. was excluded by the decision of the Board of Directors dated </w:t>
      </w:r>
      <w:r w:rsidR="00CD5701" w:rsidRPr="007D770B">
        <w:rPr>
          <w:rFonts w:ascii="Times New Roman" w:eastAsia="Times New Roman" w:hAnsi="Times New Roman"/>
          <w:i/>
          <w:snapToGrid w:val="0"/>
          <w:color w:val="1E09B7"/>
          <w:szCs w:val="22"/>
          <w:lang w:val="en-US" w:eastAsia="ru-RU"/>
        </w:rPr>
        <w:t>31</w:t>
      </w:r>
      <w:r w:rsidRPr="007D770B">
        <w:rPr>
          <w:rFonts w:ascii="Times New Roman" w:eastAsia="Times New Roman" w:hAnsi="Times New Roman"/>
          <w:i/>
          <w:snapToGrid w:val="0"/>
          <w:color w:val="1E09B7"/>
          <w:szCs w:val="22"/>
          <w:lang w:val="en-US" w:eastAsia="ru-RU"/>
        </w:rPr>
        <w:t>.</w:t>
      </w:r>
      <w:r w:rsidR="00CD5701" w:rsidRPr="007D770B">
        <w:rPr>
          <w:rFonts w:ascii="Times New Roman" w:eastAsia="Times New Roman" w:hAnsi="Times New Roman"/>
          <w:i/>
          <w:snapToGrid w:val="0"/>
          <w:color w:val="1E09B7"/>
          <w:szCs w:val="22"/>
          <w:lang w:val="en-US" w:eastAsia="ru-RU"/>
        </w:rPr>
        <w:t>10</w:t>
      </w:r>
      <w:r w:rsidRPr="007D770B">
        <w:rPr>
          <w:rFonts w:ascii="Times New Roman" w:eastAsia="Times New Roman" w:hAnsi="Times New Roman"/>
          <w:i/>
          <w:snapToGrid w:val="0"/>
          <w:color w:val="1E09B7"/>
          <w:szCs w:val="22"/>
          <w:lang w:val="en-US" w:eastAsia="ru-RU"/>
        </w:rPr>
        <w:t xml:space="preserve">.2019 (Minutes No. </w:t>
      </w:r>
      <w:r w:rsidR="00CD5701" w:rsidRPr="007D770B">
        <w:rPr>
          <w:rFonts w:ascii="Times New Roman" w:eastAsia="Times New Roman" w:hAnsi="Times New Roman"/>
          <w:i/>
          <w:snapToGrid w:val="0"/>
          <w:color w:val="1E09B7"/>
          <w:szCs w:val="22"/>
          <w:lang w:val="en-US" w:eastAsia="ru-RU"/>
        </w:rPr>
        <w:t>13</w:t>
      </w:r>
      <w:r w:rsidRPr="007D770B">
        <w:rPr>
          <w:rFonts w:ascii="Times New Roman" w:eastAsia="Times New Roman" w:hAnsi="Times New Roman"/>
          <w:i/>
          <w:snapToGrid w:val="0"/>
          <w:color w:val="1E09B7"/>
          <w:szCs w:val="22"/>
          <w:lang w:val="en-US" w:eastAsia="ru-RU"/>
        </w:rPr>
        <w:t>)</w:t>
      </w:r>
      <w:r w:rsidR="003A587C" w:rsidRPr="007D770B">
        <w:rPr>
          <w:rFonts w:ascii="Times New Roman" w:eastAsia="Times New Roman" w:hAnsi="Times New Roman"/>
          <w:i/>
          <w:snapToGrid w:val="0"/>
          <w:color w:val="1E09B7"/>
          <w:szCs w:val="22"/>
          <w:lang w:val="en-US" w:eastAsia="ru-RU"/>
        </w:rPr>
        <w:t>:</w:t>
      </w:r>
    </w:p>
    <w:p w14:paraId="3A2060E2" w14:textId="63D4550C" w:rsidR="003A587C" w:rsidRPr="007D770B" w:rsidRDefault="00A96CC2" w:rsidP="003A587C">
      <w:pPr>
        <w:widowControl w:val="0"/>
        <w:tabs>
          <w:tab w:val="left" w:pos="0"/>
        </w:tabs>
        <w:spacing w:line="240" w:lineRule="auto"/>
        <w:ind w:left="0"/>
        <w:rPr>
          <w:rFonts w:ascii="Times New Roman" w:eastAsia="Times New Roman" w:hAnsi="Times New Roman"/>
          <w:i/>
          <w:snapToGrid w:val="0"/>
          <w:color w:val="1E09B7"/>
          <w:szCs w:val="22"/>
          <w:lang w:val="en-US" w:eastAsia="ru-RU"/>
        </w:rPr>
      </w:pPr>
      <w:r w:rsidRPr="007D770B">
        <w:rPr>
          <w:rFonts w:ascii="Times New Roman" w:eastAsia="Times New Roman" w:hAnsi="Times New Roman"/>
          <w:i/>
          <w:snapToGrid w:val="0"/>
          <w:color w:val="1E09B7"/>
          <w:szCs w:val="22"/>
          <w:lang w:val="en-US" w:eastAsia="ru-RU"/>
        </w:rPr>
        <w:t xml:space="preserve">(Attracted </w:t>
      </w:r>
      <w:r w:rsidR="003A587C" w:rsidRPr="007D770B">
        <w:rPr>
          <w:rFonts w:ascii="Times New Roman" w:eastAsia="Times New Roman" w:hAnsi="Times New Roman"/>
          <w:i/>
          <w:snapToGrid w:val="0"/>
          <w:color w:val="1E09B7"/>
          <w:szCs w:val="22"/>
          <w:lang w:val="en-US" w:eastAsia="ru-RU"/>
        </w:rPr>
        <w:t xml:space="preserve">customer funds " of item 3.10. </w:t>
      </w:r>
      <w:r w:rsidRPr="007D770B">
        <w:rPr>
          <w:rFonts w:ascii="Times New Roman" w:eastAsia="Times New Roman" w:hAnsi="Times New Roman"/>
          <w:i/>
          <w:snapToGrid w:val="0"/>
          <w:color w:val="1E09B7"/>
          <w:szCs w:val="22"/>
          <w:lang w:val="en-US" w:eastAsia="ru-RU"/>
        </w:rPr>
        <w:t xml:space="preserve">was supplemented by </w:t>
      </w:r>
      <w:r w:rsidR="003A587C" w:rsidRPr="007D770B">
        <w:rPr>
          <w:rFonts w:ascii="Times New Roman" w:eastAsia="Times New Roman" w:hAnsi="Times New Roman"/>
          <w:i/>
          <w:snapToGrid w:val="0"/>
          <w:color w:val="1E09B7"/>
          <w:szCs w:val="22"/>
          <w:lang w:val="en-US" w:eastAsia="ru-RU"/>
        </w:rPr>
        <w:t>the decision of the Board of Directors dated 31.05.2024 (Minutes No. 7)</w:t>
      </w:r>
      <w:r w:rsidRPr="007D770B">
        <w:rPr>
          <w:rFonts w:ascii="Times New Roman" w:eastAsia="Times New Roman" w:hAnsi="Times New Roman"/>
          <w:i/>
          <w:snapToGrid w:val="0"/>
          <w:color w:val="1E09B7"/>
          <w:szCs w:val="22"/>
          <w:lang w:val="en-US" w:eastAsia="ru-RU"/>
        </w:rPr>
        <w:t>.</w:t>
      </w:r>
    </w:p>
    <w:p w14:paraId="648A3109" w14:textId="1D03E978" w:rsidR="002A6F57" w:rsidRPr="007D770B" w:rsidRDefault="002A6F57" w:rsidP="002A6F57">
      <w:pPr>
        <w:widowControl w:val="0"/>
        <w:tabs>
          <w:tab w:val="left" w:pos="0"/>
        </w:tabs>
        <w:spacing w:line="240" w:lineRule="auto"/>
        <w:ind w:left="0"/>
        <w:rPr>
          <w:rFonts w:ascii="Times New Roman" w:eastAsia="Times New Roman" w:hAnsi="Times New Roman"/>
          <w:i/>
          <w:snapToGrid w:val="0"/>
          <w:color w:val="3366FF"/>
          <w:szCs w:val="22"/>
          <w:lang w:val="en-US" w:eastAsia="ru-RU"/>
        </w:rPr>
      </w:pPr>
    </w:p>
    <w:p w14:paraId="2C9646EC" w14:textId="77777777" w:rsidR="00331FED" w:rsidRPr="007D770B" w:rsidRDefault="00331FED" w:rsidP="00331FED">
      <w:pPr>
        <w:ind w:left="0"/>
        <w:rPr>
          <w:rFonts w:ascii="Times New Roman" w:hAnsi="Times New Roman"/>
          <w:b/>
          <w:i/>
          <w:iCs/>
          <w:lang w:val="en-US"/>
        </w:rPr>
      </w:pPr>
      <w:r w:rsidRPr="007D770B">
        <w:rPr>
          <w:rFonts w:ascii="Times New Roman" w:hAnsi="Times New Roman"/>
          <w:b/>
          <w:i/>
          <w:iCs/>
          <w:lang w:val="en-US"/>
        </w:rPr>
        <w:t>State's Housing Construction Savings Award</w:t>
      </w:r>
    </w:p>
    <w:p w14:paraId="1C2B8834" w14:textId="376CF54D" w:rsidR="00331FED" w:rsidRPr="007D770B" w:rsidRDefault="00331FED" w:rsidP="00331FED">
      <w:pPr>
        <w:ind w:left="0"/>
        <w:rPr>
          <w:rFonts w:ascii="Times New Roman" w:hAnsi="Times New Roman"/>
          <w:iCs/>
          <w:lang w:val="en-US"/>
        </w:rPr>
      </w:pPr>
      <w:r w:rsidRPr="007D770B">
        <w:rPr>
          <w:rFonts w:ascii="Times New Roman" w:hAnsi="Times New Roman"/>
          <w:iCs/>
          <w:lang w:val="en-US"/>
        </w:rPr>
        <w:t xml:space="preserve">The state premium on housing construction savings (hereinafter - state premium) represents money annually allocated from the state budget and accrued on the accumulated amount of the deposit, taking into account the accrued interest of the Bank as of January 01 of the year following the reporting year. </w:t>
      </w:r>
    </w:p>
    <w:p w14:paraId="4D14FCC5" w14:textId="1FA9453A" w:rsidR="00331FED" w:rsidRPr="007D770B" w:rsidRDefault="00331FED" w:rsidP="00331FED">
      <w:pPr>
        <w:ind w:left="0"/>
        <w:rPr>
          <w:rFonts w:ascii="Times New Roman" w:hAnsi="Times New Roman"/>
          <w:iCs/>
          <w:lang w:val="en-US"/>
        </w:rPr>
      </w:pPr>
      <w:r w:rsidRPr="007D770B">
        <w:rPr>
          <w:rFonts w:ascii="Times New Roman" w:hAnsi="Times New Roman"/>
          <w:iCs/>
          <w:lang w:val="en-US"/>
        </w:rPr>
        <w:t xml:space="preserve">The order and conditions of payment of the state premium </w:t>
      </w:r>
      <w:r w:rsidR="00EE3CCF" w:rsidRPr="007D770B">
        <w:rPr>
          <w:rFonts w:ascii="Times New Roman" w:hAnsi="Times New Roman"/>
          <w:iCs/>
          <w:lang w:val="en-US"/>
        </w:rPr>
        <w:t xml:space="preserve">is carried out in </w:t>
      </w:r>
      <w:r w:rsidRPr="007D770B">
        <w:rPr>
          <w:rFonts w:ascii="Times New Roman" w:hAnsi="Times New Roman"/>
          <w:iCs/>
          <w:lang w:val="en-US"/>
        </w:rPr>
        <w:t>accordance with the normative legal acts of the Republic of Kazakhstan.</w:t>
      </w:r>
    </w:p>
    <w:p w14:paraId="3931EF27" w14:textId="4E84A782" w:rsidR="00331FED" w:rsidRPr="007D770B" w:rsidRDefault="00331FED" w:rsidP="00331FED">
      <w:pPr>
        <w:pStyle w:val="2c"/>
        <w:tabs>
          <w:tab w:val="left" w:pos="900"/>
        </w:tabs>
        <w:jc w:val="both"/>
        <w:rPr>
          <w:rFonts w:eastAsia="Calibri"/>
          <w:iCs/>
          <w:snapToGrid/>
          <w:sz w:val="20"/>
          <w:lang w:val="en-US" w:eastAsia="en-US"/>
        </w:rPr>
      </w:pPr>
      <w:r w:rsidRPr="007D770B">
        <w:rPr>
          <w:rFonts w:eastAsia="Calibri"/>
          <w:iCs/>
          <w:snapToGrid/>
          <w:sz w:val="20"/>
          <w:lang w:val="en-US" w:eastAsia="en-US"/>
        </w:rPr>
        <w:t xml:space="preserve">In case of early termination of the HCS contract in cases stipulated by the Law of the Republic of </w:t>
      </w:r>
      <w:r w:rsidR="00EE3CCF" w:rsidRPr="007D770B">
        <w:rPr>
          <w:rFonts w:eastAsia="Calibri"/>
          <w:iCs/>
          <w:snapToGrid/>
          <w:sz w:val="20"/>
          <w:lang w:val="en-US" w:eastAsia="en-US"/>
        </w:rPr>
        <w:t>Kazakhstan "</w:t>
      </w:r>
      <w:r w:rsidRPr="007D770B">
        <w:rPr>
          <w:rFonts w:eastAsia="Calibri"/>
          <w:iCs/>
          <w:snapToGrid/>
          <w:sz w:val="20"/>
          <w:lang w:val="en-US" w:eastAsia="en-US"/>
        </w:rPr>
        <w:t>On Housing Construction Savings in the Republic of Kazakhstan</w:t>
      </w:r>
      <w:r w:rsidR="00EE3CCF" w:rsidRPr="007D770B">
        <w:rPr>
          <w:rFonts w:eastAsia="Calibri"/>
          <w:iCs/>
          <w:snapToGrid/>
          <w:sz w:val="20"/>
          <w:lang w:val="en-US" w:eastAsia="en-US"/>
        </w:rPr>
        <w:t xml:space="preserve">", the </w:t>
      </w:r>
      <w:r w:rsidRPr="007D770B">
        <w:rPr>
          <w:rFonts w:eastAsia="Calibri"/>
          <w:iCs/>
          <w:snapToGrid/>
          <w:sz w:val="20"/>
          <w:lang w:val="en-US" w:eastAsia="en-US"/>
        </w:rPr>
        <w:t xml:space="preserve">state </w:t>
      </w:r>
      <w:r w:rsidR="00EE3CCF" w:rsidRPr="007D770B">
        <w:rPr>
          <w:rFonts w:eastAsia="Calibri"/>
          <w:iCs/>
          <w:snapToGrid/>
          <w:sz w:val="20"/>
          <w:lang w:val="en-US" w:eastAsia="en-US"/>
        </w:rPr>
        <w:t xml:space="preserve">premium is </w:t>
      </w:r>
      <w:r w:rsidRPr="007D770B">
        <w:rPr>
          <w:rFonts w:eastAsia="Calibri"/>
          <w:iCs/>
          <w:snapToGrid/>
          <w:sz w:val="20"/>
          <w:lang w:val="en-US" w:eastAsia="en-US"/>
        </w:rPr>
        <w:t xml:space="preserve">subject to return to the budget if the term of accumulation of </w:t>
      </w:r>
      <w:r w:rsidR="00EE3CCF" w:rsidRPr="007D770B">
        <w:rPr>
          <w:rFonts w:eastAsia="Calibri"/>
          <w:iCs/>
          <w:snapToGrid/>
          <w:sz w:val="20"/>
          <w:lang w:val="en-US" w:eastAsia="en-US"/>
        </w:rPr>
        <w:t xml:space="preserve">deposits is less than </w:t>
      </w:r>
      <w:r w:rsidRPr="007D770B">
        <w:rPr>
          <w:rFonts w:eastAsia="Calibri"/>
          <w:iCs/>
          <w:snapToGrid/>
          <w:sz w:val="20"/>
          <w:lang w:val="en-US" w:eastAsia="en-US"/>
        </w:rPr>
        <w:t xml:space="preserve">three years. </w:t>
      </w:r>
    </w:p>
    <w:p w14:paraId="4BB07FFD" w14:textId="77777777" w:rsidR="00331FED" w:rsidRPr="007D770B" w:rsidRDefault="00331FED" w:rsidP="00331FED">
      <w:pPr>
        <w:pStyle w:val="2c"/>
        <w:tabs>
          <w:tab w:val="left" w:pos="900"/>
        </w:tabs>
        <w:jc w:val="both"/>
        <w:rPr>
          <w:rFonts w:eastAsia="Calibri"/>
          <w:iCs/>
          <w:snapToGrid/>
          <w:sz w:val="20"/>
          <w:lang w:val="en-US" w:eastAsia="en-US"/>
        </w:rPr>
      </w:pPr>
      <w:r w:rsidRPr="007D770B">
        <w:rPr>
          <w:rFonts w:eastAsia="Calibri"/>
          <w:iCs/>
          <w:snapToGrid/>
          <w:sz w:val="20"/>
          <w:lang w:val="en-US" w:eastAsia="en-US"/>
        </w:rPr>
        <w:t xml:space="preserve">    </w:t>
      </w:r>
    </w:p>
    <w:p w14:paraId="4D2AD810" w14:textId="287FCB05" w:rsidR="00331FED" w:rsidRPr="007D770B" w:rsidRDefault="00331FED" w:rsidP="00331FED">
      <w:pPr>
        <w:pStyle w:val="2c"/>
        <w:tabs>
          <w:tab w:val="left" w:pos="900"/>
        </w:tabs>
        <w:jc w:val="both"/>
        <w:rPr>
          <w:rFonts w:eastAsia="Calibri"/>
          <w:iCs/>
          <w:snapToGrid/>
          <w:sz w:val="20"/>
          <w:lang w:val="en-US" w:eastAsia="en-US"/>
        </w:rPr>
      </w:pPr>
      <w:r w:rsidRPr="007D770B">
        <w:rPr>
          <w:rFonts w:eastAsia="Calibri"/>
          <w:iCs/>
          <w:snapToGrid/>
          <w:sz w:val="20"/>
          <w:lang w:val="en-US" w:eastAsia="en-US"/>
        </w:rPr>
        <w:t xml:space="preserve">Corrective accounting entries are made for the amount of </w:t>
      </w:r>
      <w:r w:rsidR="00EE3CCF" w:rsidRPr="007D770B">
        <w:rPr>
          <w:rFonts w:eastAsia="Calibri"/>
          <w:iCs/>
          <w:snapToGrid/>
          <w:sz w:val="20"/>
          <w:lang w:val="en-US" w:eastAsia="en-US"/>
        </w:rPr>
        <w:t xml:space="preserve">accrued remuneration </w:t>
      </w:r>
      <w:r w:rsidRPr="007D770B">
        <w:rPr>
          <w:rFonts w:eastAsia="Calibri"/>
          <w:iCs/>
          <w:snapToGrid/>
          <w:sz w:val="20"/>
          <w:lang w:val="en-US" w:eastAsia="en-US"/>
        </w:rPr>
        <w:t xml:space="preserve">for the state bonus in the current reporting period </w:t>
      </w:r>
      <w:r w:rsidR="00EE3CCF" w:rsidRPr="007D770B">
        <w:rPr>
          <w:rFonts w:eastAsia="Calibri"/>
          <w:iCs/>
          <w:snapToGrid/>
          <w:sz w:val="20"/>
          <w:lang w:val="en-US" w:eastAsia="en-US"/>
        </w:rPr>
        <w:t xml:space="preserve">to reverse the </w:t>
      </w:r>
      <w:r w:rsidRPr="007D770B">
        <w:rPr>
          <w:rFonts w:eastAsia="Calibri"/>
          <w:iCs/>
          <w:snapToGrid/>
          <w:sz w:val="20"/>
          <w:lang w:val="en-US" w:eastAsia="en-US"/>
        </w:rPr>
        <w:t xml:space="preserve">accrued remuneration and reduce the expenses of the reporting period. </w:t>
      </w:r>
    </w:p>
    <w:p w14:paraId="7FAFBEC4" w14:textId="6A43B8A0" w:rsidR="00331FED" w:rsidRPr="007D770B" w:rsidRDefault="00331FED" w:rsidP="00331FED">
      <w:pPr>
        <w:ind w:left="0"/>
        <w:rPr>
          <w:rFonts w:ascii="Times New Roman" w:hAnsi="Times New Roman"/>
          <w:iCs/>
          <w:lang w:val="en-US"/>
        </w:rPr>
      </w:pPr>
      <w:r w:rsidRPr="007D770B">
        <w:rPr>
          <w:rFonts w:ascii="Times New Roman" w:hAnsi="Times New Roman"/>
          <w:iCs/>
          <w:lang w:val="en-US"/>
        </w:rPr>
        <w:t xml:space="preserve">Corrective accounting entries shall be made for the amount from </w:t>
      </w:r>
      <w:r w:rsidR="00EE3CCF" w:rsidRPr="007D770B">
        <w:rPr>
          <w:rFonts w:ascii="Times New Roman" w:hAnsi="Times New Roman"/>
          <w:iCs/>
          <w:lang w:val="en-US"/>
        </w:rPr>
        <w:t xml:space="preserve">capitalized remuneration </w:t>
      </w:r>
      <w:r w:rsidRPr="007D770B">
        <w:rPr>
          <w:rFonts w:ascii="Times New Roman" w:hAnsi="Times New Roman"/>
          <w:iCs/>
          <w:lang w:val="en-US"/>
        </w:rPr>
        <w:t xml:space="preserve">to prior years' State premium to reverse it from the contribution account and reduce the expenditure of the accounting period. </w:t>
      </w:r>
    </w:p>
    <w:p w14:paraId="1436670F" w14:textId="0BC8D050" w:rsidR="00331FED" w:rsidRPr="007D770B" w:rsidRDefault="00331FED" w:rsidP="00331FED">
      <w:pPr>
        <w:ind w:left="0"/>
        <w:rPr>
          <w:rFonts w:ascii="Times New Roman" w:hAnsi="Times New Roman"/>
          <w:iCs/>
          <w:lang w:val="en-US"/>
        </w:rPr>
      </w:pPr>
      <w:r w:rsidRPr="007D770B">
        <w:rPr>
          <w:rFonts w:ascii="Times New Roman" w:hAnsi="Times New Roman"/>
          <w:iCs/>
          <w:lang w:val="en-US"/>
        </w:rPr>
        <w:t xml:space="preserve">Crediting of the state premium amount to the depositors' accounts is made after its actual receipt from the Budget Program Administrator in accordance with the requirements of the legislation of the Republic of </w:t>
      </w:r>
      <w:r w:rsidR="00EE3CCF" w:rsidRPr="007D770B">
        <w:rPr>
          <w:rFonts w:ascii="Times New Roman" w:hAnsi="Times New Roman"/>
          <w:iCs/>
          <w:lang w:val="en-US"/>
        </w:rPr>
        <w:t>Kazakhstan</w:t>
      </w:r>
    </w:p>
    <w:p w14:paraId="17D010EC" w14:textId="28233FD0" w:rsidR="007130BA" w:rsidRPr="007D770B" w:rsidRDefault="007130BA" w:rsidP="007130BA">
      <w:pPr>
        <w:tabs>
          <w:tab w:val="left" w:pos="720"/>
          <w:tab w:val="left" w:pos="993"/>
        </w:tabs>
        <w:spacing w:before="120"/>
        <w:ind w:left="0"/>
        <w:rPr>
          <w:rFonts w:ascii="Times New Roman" w:hAnsi="Times New Roman"/>
          <w:b/>
          <w:i/>
          <w:iCs/>
          <w:lang w:val="en-US"/>
        </w:rPr>
      </w:pPr>
      <w:r w:rsidRPr="007D770B">
        <w:rPr>
          <w:rFonts w:ascii="Times New Roman" w:hAnsi="Times New Roman"/>
          <w:b/>
          <w:i/>
          <w:iCs/>
          <w:lang w:val="en-US"/>
        </w:rPr>
        <w:t>State premium under the educational savings deposit agreement</w:t>
      </w:r>
    </w:p>
    <w:p w14:paraId="22CB85EB" w14:textId="590FDDCF" w:rsidR="007039A1" w:rsidRPr="007D770B" w:rsidRDefault="007130BA" w:rsidP="00331FED">
      <w:pPr>
        <w:ind w:left="0"/>
        <w:rPr>
          <w:rFonts w:ascii="Times New Roman" w:hAnsi="Times New Roman"/>
          <w:iCs/>
          <w:lang w:val="en-US"/>
        </w:rPr>
      </w:pPr>
      <w:r w:rsidRPr="007D770B">
        <w:rPr>
          <w:rFonts w:ascii="Times New Roman" w:hAnsi="Times New Roman"/>
          <w:iCs/>
          <w:lang w:val="en-US"/>
        </w:rPr>
        <w:t>The order and conditions of accrual, payment and repayment of the state premium under educational savings deposit agreements are regulated by the Law of the Republic of Kazakhstan "On the State Educational Savings System".</w:t>
      </w:r>
    </w:p>
    <w:p w14:paraId="50BD3586" w14:textId="71B7681F" w:rsidR="007130BA" w:rsidRPr="007D770B" w:rsidRDefault="00FC22CE" w:rsidP="00331FED">
      <w:pPr>
        <w:ind w:left="0"/>
        <w:rPr>
          <w:rFonts w:ascii="Times New Roman" w:hAnsi="Times New Roman"/>
          <w:b/>
          <w:i/>
          <w:iCs/>
          <w:color w:val="3317A9"/>
          <w:lang w:val="en-US"/>
        </w:rPr>
      </w:pPr>
      <w:r w:rsidRPr="007D770B">
        <w:rPr>
          <w:rFonts w:ascii="Times New Roman" w:eastAsia="Times New Roman" w:hAnsi="Times New Roman"/>
          <w:i/>
          <w:snapToGrid w:val="0"/>
          <w:color w:val="3317A9"/>
          <w:szCs w:val="22"/>
          <w:lang w:val="en-US" w:eastAsia="ru-RU"/>
        </w:rPr>
        <w:t xml:space="preserve">(The subparagraph " State Premium under the Educational Savings Deposit Agreement" of paragraph 3.10. </w:t>
      </w:r>
      <w:r w:rsidR="00EA7F98" w:rsidRPr="007D770B">
        <w:rPr>
          <w:rFonts w:ascii="Times New Roman" w:eastAsia="Times New Roman" w:hAnsi="Times New Roman"/>
          <w:i/>
          <w:snapToGrid w:val="0"/>
          <w:color w:val="3317A9"/>
          <w:szCs w:val="22"/>
          <w:lang w:val="en-US" w:eastAsia="ru-RU"/>
        </w:rPr>
        <w:t xml:space="preserve">was added by </w:t>
      </w:r>
      <w:r w:rsidRPr="007D770B">
        <w:rPr>
          <w:rFonts w:ascii="Times New Roman" w:eastAsia="Times New Roman" w:hAnsi="Times New Roman"/>
          <w:i/>
          <w:snapToGrid w:val="0"/>
          <w:color w:val="3317A9"/>
          <w:szCs w:val="22"/>
          <w:lang w:val="en-US" w:eastAsia="ru-RU"/>
        </w:rPr>
        <w:t>resolution of the Board of Directors dated May 31, 2024 (Minutes No. 7).</w:t>
      </w:r>
    </w:p>
    <w:p w14:paraId="061C55B0" w14:textId="77777777" w:rsidR="00331FED" w:rsidRPr="007D770B" w:rsidRDefault="00331FED" w:rsidP="00331FED">
      <w:pPr>
        <w:ind w:left="0"/>
        <w:rPr>
          <w:rFonts w:ascii="Times New Roman" w:hAnsi="Times New Roman"/>
          <w:b/>
          <w:i/>
          <w:iCs/>
          <w:lang w:val="en-US"/>
        </w:rPr>
      </w:pPr>
      <w:r w:rsidRPr="007D770B">
        <w:rPr>
          <w:rFonts w:ascii="Times New Roman" w:hAnsi="Times New Roman"/>
          <w:b/>
          <w:i/>
          <w:iCs/>
          <w:lang w:val="en-US"/>
        </w:rPr>
        <w:t>Financial guarantee contracts and loan commitments</w:t>
      </w:r>
    </w:p>
    <w:p w14:paraId="080FED00" w14:textId="77777777" w:rsidR="00331FED" w:rsidRPr="007D770B" w:rsidRDefault="00331FED" w:rsidP="00331FED">
      <w:pPr>
        <w:ind w:left="0"/>
        <w:rPr>
          <w:rFonts w:ascii="Times New Roman" w:hAnsi="Times New Roman"/>
          <w:iCs/>
          <w:lang w:val="en-US"/>
        </w:rPr>
      </w:pPr>
      <w:r w:rsidRPr="007D770B">
        <w:rPr>
          <w:rFonts w:ascii="Times New Roman" w:hAnsi="Times New Roman"/>
          <w:iCs/>
          <w:lang w:val="en-US"/>
        </w:rPr>
        <w:t>Financial guarantee contracts are contracts that require the issuer to make specified payments to reimburse the holder for a loss it incurs because a specified debtor fails to make payments when due in accordance with the terms of a debt instrument. Such financial guarantees are provided to other parties on behalf of customers to secure loans, overdrafts and other banking facilities.</w:t>
      </w:r>
    </w:p>
    <w:p w14:paraId="6603C4FB" w14:textId="77777777" w:rsidR="00331FED" w:rsidRPr="007D770B" w:rsidRDefault="00331FED" w:rsidP="00331FED">
      <w:pPr>
        <w:ind w:left="0"/>
        <w:rPr>
          <w:rFonts w:ascii="Times New Roman" w:hAnsi="Times New Roman"/>
          <w:iCs/>
          <w:lang w:val="en-US"/>
        </w:rPr>
      </w:pPr>
      <w:r w:rsidRPr="007D770B">
        <w:rPr>
          <w:rFonts w:ascii="Times New Roman" w:hAnsi="Times New Roman"/>
          <w:iCs/>
          <w:lang w:val="en-US"/>
        </w:rPr>
        <w:t>Financial guarantee contracts are initially measured at fair value and subsequently measured at the higher of:</w:t>
      </w:r>
    </w:p>
    <w:p w14:paraId="39A8C2ED" w14:textId="74FD5758" w:rsidR="00331FED" w:rsidRPr="007D770B" w:rsidRDefault="00331FED" w:rsidP="00AE698A">
      <w:pPr>
        <w:pStyle w:val="aa"/>
        <w:numPr>
          <w:ilvl w:val="0"/>
          <w:numId w:val="267"/>
        </w:numPr>
        <w:autoSpaceDE w:val="0"/>
        <w:autoSpaceDN w:val="0"/>
        <w:adjustRightInd w:val="0"/>
        <w:spacing w:line="240" w:lineRule="auto"/>
        <w:contextualSpacing w:val="0"/>
        <w:rPr>
          <w:rFonts w:ascii="Times New Roman" w:hAnsi="Times New Roman"/>
          <w:bCs/>
          <w:color w:val="000000"/>
          <w:lang w:val="en-US"/>
        </w:rPr>
      </w:pPr>
      <w:r w:rsidRPr="007D770B">
        <w:rPr>
          <w:rFonts w:ascii="Times New Roman" w:hAnsi="Times New Roman"/>
          <w:bCs/>
          <w:color w:val="000000"/>
          <w:lang w:val="en-US"/>
        </w:rPr>
        <w:t xml:space="preserve">The amount of loss allowance (calculated as described in section 3.8); and </w:t>
      </w:r>
    </w:p>
    <w:p w14:paraId="1A4ACD99" w14:textId="77777777" w:rsidR="00331FED" w:rsidRPr="007D770B" w:rsidRDefault="00331FED" w:rsidP="00AE698A">
      <w:pPr>
        <w:pStyle w:val="aa"/>
        <w:numPr>
          <w:ilvl w:val="0"/>
          <w:numId w:val="267"/>
        </w:numPr>
        <w:autoSpaceDE w:val="0"/>
        <w:autoSpaceDN w:val="0"/>
        <w:adjustRightInd w:val="0"/>
        <w:spacing w:line="240" w:lineRule="auto"/>
        <w:contextualSpacing w:val="0"/>
        <w:rPr>
          <w:rFonts w:ascii="Times New Roman" w:hAnsi="Times New Roman"/>
          <w:bCs/>
          <w:color w:val="000000"/>
          <w:lang w:val="en-US"/>
        </w:rPr>
      </w:pPr>
      <w:r w:rsidRPr="007D770B">
        <w:rPr>
          <w:rFonts w:ascii="Times New Roman" w:hAnsi="Times New Roman"/>
          <w:bCs/>
          <w:color w:val="000000"/>
          <w:lang w:val="en-US"/>
        </w:rPr>
        <w:lastRenderedPageBreak/>
        <w:t>Premium received on initial recognition, net of income recognized in accordance with the principles of IFRS 15.</w:t>
      </w:r>
    </w:p>
    <w:p w14:paraId="42BE35B5" w14:textId="21010995" w:rsidR="00331FED" w:rsidRPr="007D770B" w:rsidRDefault="00331FED" w:rsidP="00331FED">
      <w:pPr>
        <w:ind w:left="0"/>
        <w:rPr>
          <w:rFonts w:ascii="Times New Roman" w:hAnsi="Times New Roman"/>
          <w:iCs/>
          <w:lang w:val="en-US"/>
        </w:rPr>
      </w:pPr>
      <w:r w:rsidRPr="007D770B">
        <w:rPr>
          <w:rFonts w:ascii="Times New Roman" w:hAnsi="Times New Roman"/>
          <w:iCs/>
          <w:lang w:val="en-US"/>
        </w:rPr>
        <w:t xml:space="preserve">Loan commitments collateralized by the Bank are measured at the amount of provision for losses. </w:t>
      </w:r>
    </w:p>
    <w:p w14:paraId="161F3367" w14:textId="77777777" w:rsidR="00331FED" w:rsidRPr="007D770B" w:rsidRDefault="00331FED" w:rsidP="00331FED">
      <w:pPr>
        <w:ind w:left="0"/>
        <w:rPr>
          <w:rFonts w:ascii="Times New Roman" w:hAnsi="Times New Roman"/>
          <w:iCs/>
          <w:lang w:val="en-US"/>
        </w:rPr>
      </w:pPr>
      <w:r w:rsidRPr="007D770B">
        <w:rPr>
          <w:rFonts w:ascii="Times New Roman" w:hAnsi="Times New Roman"/>
          <w:iCs/>
          <w:lang w:val="en-US"/>
        </w:rPr>
        <w:t>For loan commitments and financial guarantee contracts, the allowance for losses is recognized as a provision. However, for contracts that include both a loan and an undrawn commitment, and where the Bank is unable to separately identify the expected credit losses on the undrawn commitment component from those on the loan component, the expected credit losses on the undrawn commitment are recognized together with the allowance for loan losses. To the extent that the aggregate expected credit losses exceed the gross carrying amount of the loan, the expected credit losses are recognized as a provision.</w:t>
      </w:r>
    </w:p>
    <w:p w14:paraId="4603B74E" w14:textId="77777777" w:rsidR="00331FED" w:rsidRPr="007D770B" w:rsidRDefault="00331FED" w:rsidP="00331FED">
      <w:pPr>
        <w:ind w:left="0"/>
        <w:rPr>
          <w:rFonts w:ascii="Times New Roman" w:hAnsi="Times New Roman"/>
          <w:b/>
          <w:i/>
          <w:iCs/>
          <w:lang w:val="en-US"/>
        </w:rPr>
      </w:pPr>
      <w:r w:rsidRPr="007D770B">
        <w:rPr>
          <w:rFonts w:ascii="Times New Roman" w:hAnsi="Times New Roman"/>
          <w:b/>
          <w:i/>
          <w:iCs/>
          <w:lang w:val="en-US"/>
        </w:rPr>
        <w:t>Derecognition</w:t>
      </w:r>
    </w:p>
    <w:p w14:paraId="179C10B7" w14:textId="77777777" w:rsidR="00331FED" w:rsidRPr="007D770B" w:rsidRDefault="00331FED" w:rsidP="00331FED">
      <w:pPr>
        <w:ind w:left="0"/>
        <w:rPr>
          <w:rFonts w:ascii="Times New Roman" w:hAnsi="Times New Roman"/>
          <w:iCs/>
          <w:lang w:val="en-US"/>
        </w:rPr>
      </w:pPr>
      <w:r w:rsidRPr="007D770B">
        <w:rPr>
          <w:rFonts w:ascii="Times New Roman" w:hAnsi="Times New Roman"/>
          <w:iCs/>
          <w:lang w:val="en-US"/>
        </w:rPr>
        <w:t>Financial liabilities are derecognized when they are extinguished (i.e., when a contractual obligation is discharged, cancelled or expires).</w:t>
      </w:r>
    </w:p>
    <w:p w14:paraId="593A0D1A" w14:textId="3FD95E10" w:rsidR="00331FED" w:rsidRPr="007D770B" w:rsidRDefault="00331FED" w:rsidP="00331FED">
      <w:pPr>
        <w:ind w:left="0"/>
        <w:rPr>
          <w:rFonts w:ascii="Times New Roman" w:hAnsi="Times New Roman"/>
          <w:iCs/>
          <w:lang w:val="en-US"/>
        </w:rPr>
      </w:pPr>
      <w:r w:rsidRPr="007D770B">
        <w:rPr>
          <w:rFonts w:ascii="Times New Roman" w:hAnsi="Times New Roman"/>
          <w:iCs/>
          <w:lang w:val="en-US"/>
        </w:rPr>
        <w:t>Exchanges between the Bank and its original lenders of debt instruments with substantially different terms, as well as significant modifications to the terms of existing financial liabilities, are accounted for as extinguishments of the original financial liability and the recognition of a new financial liability. Terms are substantially different if the discounted present value of the cash flows under the new terms, including any fees paid, net of any fees received and discounted using the original effective interest rate, differs by at least 10% from the discounted present value of the remaining cash flows of the original liability. In addition, other qualitative factors such as the currency in which the instrument is denominated, changes in the interest rate, new conversion features of the instrument and changes in covenants are considered. If an exchange of debt instruments or modification of terms is accounted for as a redemption, any costs or fees incurred are recognized in profit or loss on redemption.  If the exchange or modification is not accounted for as a redemption, any costs or fees incurred adjust the carrying amount of the liability and are amortized over the remaining term of the modified liability. The difference between the present values of the new and old cash flows is recognized in profit or loss as income or expense.</w:t>
      </w:r>
    </w:p>
    <w:p w14:paraId="2315895F" w14:textId="10FA69DA" w:rsidR="00331FED" w:rsidRPr="007D770B" w:rsidRDefault="00331FED" w:rsidP="00E61D21">
      <w:pPr>
        <w:pStyle w:val="3"/>
        <w:rPr>
          <w:lang w:val="en-US"/>
        </w:rPr>
      </w:pPr>
      <w:bookmarkStart w:id="119" w:name="_Toc332982927"/>
      <w:bookmarkStart w:id="120" w:name="_Toc333830884"/>
      <w:bookmarkStart w:id="121" w:name="_Toc335757711"/>
      <w:bookmarkStart w:id="122" w:name="_Toc374457882"/>
      <w:bookmarkStart w:id="123" w:name="_Toc168502039"/>
      <w:r w:rsidRPr="007D770B">
        <w:rPr>
          <w:lang w:val="en-US"/>
        </w:rPr>
        <w:t>3.11. Liabilities and equity</w:t>
      </w:r>
      <w:bookmarkEnd w:id="119"/>
      <w:bookmarkEnd w:id="120"/>
      <w:bookmarkEnd w:id="121"/>
      <w:bookmarkEnd w:id="122"/>
      <w:bookmarkEnd w:id="123"/>
    </w:p>
    <w:p w14:paraId="0C43BCB5" w14:textId="77777777" w:rsidR="00331FED" w:rsidRPr="007D770B" w:rsidRDefault="00331FED" w:rsidP="00331FED">
      <w:pPr>
        <w:pStyle w:val="af4"/>
        <w:spacing w:after="240"/>
        <w:ind w:firstLine="0"/>
        <w:rPr>
          <w:sz w:val="20"/>
          <w:szCs w:val="20"/>
          <w:lang w:val="en-US"/>
        </w:rPr>
      </w:pPr>
      <w:r w:rsidRPr="007D770B">
        <w:rPr>
          <w:sz w:val="20"/>
          <w:szCs w:val="20"/>
          <w:lang w:val="en-US"/>
        </w:rPr>
        <w:t xml:space="preserve">The classification of liabilities and equity instruments is a complex process and requires an evaluation of each component of the contractual terms of the instrument. </w:t>
      </w:r>
    </w:p>
    <w:p w14:paraId="1DAB3244" w14:textId="77777777" w:rsidR="00331FED" w:rsidRPr="007D770B" w:rsidRDefault="00331FED" w:rsidP="00331FED">
      <w:pPr>
        <w:pStyle w:val="af4"/>
        <w:spacing w:after="240"/>
        <w:ind w:firstLine="0"/>
        <w:rPr>
          <w:sz w:val="20"/>
          <w:szCs w:val="20"/>
          <w:lang w:val="en-US"/>
        </w:rPr>
      </w:pPr>
      <w:r w:rsidRPr="007D770B">
        <w:rPr>
          <w:sz w:val="20"/>
          <w:szCs w:val="20"/>
          <w:lang w:val="en-US"/>
        </w:rPr>
        <w:t>The Bank, as the issuer of a financial instrument, is required, at initial recognition, to classify the instrument or its components as a financial liability, financial asset or equity instrument in accordance with the substance of the contractual arrangement and the definitions of a financial liability, financial asset and equity instrument.</w:t>
      </w:r>
    </w:p>
    <w:p w14:paraId="4BB40B42" w14:textId="71BB8218" w:rsidR="00331FED" w:rsidRPr="007D770B" w:rsidRDefault="00331FED" w:rsidP="00331FED">
      <w:pPr>
        <w:spacing w:line="240" w:lineRule="auto"/>
        <w:ind w:left="0"/>
        <w:rPr>
          <w:rFonts w:ascii="Times New Roman" w:hAnsi="Times New Roman"/>
          <w:lang w:val="en-US"/>
        </w:rPr>
      </w:pPr>
      <w:r w:rsidRPr="007D770B">
        <w:rPr>
          <w:rFonts w:ascii="Times New Roman" w:hAnsi="Times New Roman"/>
          <w:lang w:val="en-US"/>
        </w:rPr>
        <w:t xml:space="preserve">An instrument shall be classified as an </w:t>
      </w:r>
      <w:r w:rsidRPr="007D770B">
        <w:rPr>
          <w:rFonts w:ascii="Times New Roman" w:hAnsi="Times New Roman"/>
          <w:b/>
          <w:i/>
          <w:lang w:val="en-US"/>
        </w:rPr>
        <w:t xml:space="preserve">equity instrument, </w:t>
      </w:r>
      <w:r w:rsidRPr="007D770B">
        <w:rPr>
          <w:rFonts w:ascii="Times New Roman" w:hAnsi="Times New Roman"/>
          <w:lang w:val="en-US"/>
        </w:rPr>
        <w:t>rather than a financial liability, only when both of the following conditions are met:</w:t>
      </w:r>
    </w:p>
    <w:p w14:paraId="5520B16D" w14:textId="77777777" w:rsidR="00331FED" w:rsidRPr="007D770B" w:rsidRDefault="00331FED" w:rsidP="00AE698A">
      <w:pPr>
        <w:pStyle w:val="aa"/>
        <w:numPr>
          <w:ilvl w:val="1"/>
          <w:numId w:val="30"/>
        </w:numPr>
        <w:tabs>
          <w:tab w:val="left" w:pos="-4500"/>
        </w:tabs>
        <w:spacing w:line="240" w:lineRule="auto"/>
        <w:ind w:left="720"/>
        <w:contextualSpacing w:val="0"/>
        <w:rPr>
          <w:rFonts w:ascii="Times New Roman" w:hAnsi="Times New Roman"/>
          <w:lang w:val="en-US"/>
        </w:rPr>
      </w:pPr>
      <w:r w:rsidRPr="007D770B">
        <w:rPr>
          <w:rFonts w:ascii="Times New Roman" w:hAnsi="Times New Roman"/>
          <w:lang w:val="en-US"/>
        </w:rPr>
        <w:t>instrument does not contain a contractual obligation:</w:t>
      </w:r>
    </w:p>
    <w:p w14:paraId="62438341" w14:textId="77777777" w:rsidR="00331FED" w:rsidRPr="007D770B" w:rsidRDefault="00331FED" w:rsidP="00AE698A">
      <w:pPr>
        <w:pStyle w:val="21"/>
        <w:numPr>
          <w:ilvl w:val="0"/>
          <w:numId w:val="27"/>
        </w:numPr>
        <w:spacing w:after="240"/>
        <w:ind w:left="1080"/>
        <w:rPr>
          <w:sz w:val="20"/>
          <w:szCs w:val="20"/>
          <w:lang w:val="en-US"/>
        </w:rPr>
      </w:pPr>
      <w:r w:rsidRPr="007D770B">
        <w:rPr>
          <w:sz w:val="20"/>
          <w:szCs w:val="20"/>
          <w:lang w:val="en-US"/>
        </w:rPr>
        <w:t xml:space="preserve">Transfer cash or another financial asset to another entity; or </w:t>
      </w:r>
    </w:p>
    <w:p w14:paraId="530F3A97" w14:textId="77777777" w:rsidR="00331FED" w:rsidRPr="007D770B" w:rsidRDefault="00331FED" w:rsidP="00AE698A">
      <w:pPr>
        <w:pStyle w:val="21"/>
        <w:numPr>
          <w:ilvl w:val="0"/>
          <w:numId w:val="27"/>
        </w:numPr>
        <w:spacing w:after="240"/>
        <w:ind w:left="1080"/>
        <w:rPr>
          <w:sz w:val="20"/>
          <w:szCs w:val="20"/>
          <w:lang w:val="en-US"/>
        </w:rPr>
      </w:pPr>
      <w:r w:rsidRPr="007D770B">
        <w:rPr>
          <w:sz w:val="20"/>
          <w:szCs w:val="20"/>
          <w:lang w:val="en-US"/>
        </w:rPr>
        <w:t>exchange financial assets or financial liabilities with another entity on terms that are potentially unfavorable to the issuer.</w:t>
      </w:r>
    </w:p>
    <w:p w14:paraId="0A4794DE" w14:textId="77777777" w:rsidR="00331FED" w:rsidRPr="007D770B" w:rsidRDefault="00331FED" w:rsidP="00AE698A">
      <w:pPr>
        <w:pStyle w:val="aa"/>
        <w:numPr>
          <w:ilvl w:val="1"/>
          <w:numId w:val="30"/>
        </w:numPr>
        <w:tabs>
          <w:tab w:val="left" w:pos="-4500"/>
        </w:tabs>
        <w:spacing w:line="240" w:lineRule="auto"/>
        <w:ind w:left="720"/>
        <w:contextualSpacing w:val="0"/>
        <w:rPr>
          <w:rFonts w:ascii="Times New Roman" w:hAnsi="Times New Roman"/>
          <w:lang w:val="en-US"/>
        </w:rPr>
      </w:pPr>
      <w:r w:rsidRPr="007D770B">
        <w:rPr>
          <w:rFonts w:ascii="Times New Roman" w:hAnsi="Times New Roman"/>
          <w:lang w:val="en-US"/>
        </w:rPr>
        <w:t xml:space="preserve">if the instrument will or can be settled by delivery of the issuer's own equity instruments, it is: </w:t>
      </w:r>
    </w:p>
    <w:p w14:paraId="7726AC3D" w14:textId="77777777" w:rsidR="00331FED" w:rsidRPr="007D770B" w:rsidRDefault="00331FED" w:rsidP="00AE698A">
      <w:pPr>
        <w:pStyle w:val="21"/>
        <w:numPr>
          <w:ilvl w:val="0"/>
          <w:numId w:val="27"/>
        </w:numPr>
        <w:spacing w:after="240"/>
        <w:ind w:left="1080"/>
        <w:rPr>
          <w:sz w:val="20"/>
          <w:szCs w:val="20"/>
          <w:lang w:val="en-US"/>
        </w:rPr>
      </w:pPr>
      <w:r w:rsidRPr="007D770B">
        <w:rPr>
          <w:sz w:val="20"/>
          <w:szCs w:val="20"/>
          <w:lang w:val="en-US"/>
        </w:rPr>
        <w:t>A non-derivative instrument for which the issuer has no contractual obligation to deliver a variable number of its own equity instruments; or</w:t>
      </w:r>
    </w:p>
    <w:p w14:paraId="21AA84B7" w14:textId="77777777" w:rsidR="00331FED" w:rsidRPr="007D770B" w:rsidRDefault="00331FED" w:rsidP="00AE698A">
      <w:pPr>
        <w:pStyle w:val="21"/>
        <w:numPr>
          <w:ilvl w:val="0"/>
          <w:numId w:val="27"/>
        </w:numPr>
        <w:spacing w:after="240"/>
        <w:ind w:left="1080"/>
        <w:rPr>
          <w:sz w:val="20"/>
          <w:szCs w:val="20"/>
          <w:lang w:val="en-US"/>
        </w:rPr>
      </w:pPr>
      <w:r w:rsidRPr="007D770B">
        <w:rPr>
          <w:sz w:val="20"/>
          <w:szCs w:val="20"/>
          <w:lang w:val="en-US"/>
        </w:rPr>
        <w:t xml:space="preserve">a derivative instrument that will be settled by the issuer only by exchanging a fixed amount of cash or another financial asset for a fixed number of its own equity instruments. </w:t>
      </w:r>
    </w:p>
    <w:p w14:paraId="25B23154" w14:textId="77777777" w:rsidR="00331FED" w:rsidRPr="007D770B" w:rsidRDefault="00331FED" w:rsidP="00331FED">
      <w:pPr>
        <w:spacing w:line="240" w:lineRule="auto"/>
        <w:ind w:left="0"/>
        <w:rPr>
          <w:rFonts w:ascii="Times New Roman" w:hAnsi="Times New Roman"/>
          <w:lang w:val="en-US"/>
        </w:rPr>
      </w:pPr>
      <w:r w:rsidRPr="007D770B">
        <w:rPr>
          <w:rFonts w:ascii="Times New Roman" w:hAnsi="Times New Roman"/>
          <w:lang w:val="en-US"/>
        </w:rPr>
        <w:t>A contractual obligation, including one arising in connection with a derivative financial instrument, that is or may be expected to result in the future receipt or delivery of the issuer's own equity instruments but that does not meet the above conditions (a) and (b) is not an equity instrument</w:t>
      </w:r>
    </w:p>
    <w:p w14:paraId="401B3CFB" w14:textId="417AD1DF" w:rsidR="00331FED" w:rsidRPr="007D770B" w:rsidRDefault="00331FED" w:rsidP="00331FED">
      <w:pPr>
        <w:spacing w:line="240" w:lineRule="auto"/>
        <w:ind w:left="0"/>
        <w:rPr>
          <w:rFonts w:ascii="Times New Roman" w:hAnsi="Times New Roman"/>
          <w:lang w:val="en-US"/>
        </w:rPr>
      </w:pPr>
      <w:r w:rsidRPr="007D770B">
        <w:rPr>
          <w:rFonts w:ascii="Times New Roman" w:hAnsi="Times New Roman"/>
          <w:lang w:val="en-US"/>
        </w:rPr>
        <w:t>The following table reflects the classification of a financial instrument as either a liability or equity for derivative instruments that are settled only by exchanging cash or another financial asset for own equity instruments: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18"/>
        <w:gridCol w:w="2519"/>
        <w:gridCol w:w="2519"/>
        <w:gridCol w:w="2519"/>
      </w:tblGrid>
      <w:tr w:rsidR="00331FED" w:rsidRPr="00F41327" w14:paraId="1C7D47B9" w14:textId="77777777" w:rsidTr="008D54EC">
        <w:trPr>
          <w:tblHeader/>
        </w:trPr>
        <w:tc>
          <w:tcPr>
            <w:tcW w:w="1250" w:type="pct"/>
            <w:shd w:val="clear" w:color="auto" w:fill="auto"/>
          </w:tcPr>
          <w:p w14:paraId="6FFF3E60" w14:textId="77777777" w:rsidR="00331FED" w:rsidRPr="007D770B" w:rsidRDefault="00331FED" w:rsidP="008D54EC">
            <w:pPr>
              <w:spacing w:after="0" w:line="240" w:lineRule="auto"/>
              <w:ind w:left="0"/>
              <w:rPr>
                <w:rFonts w:ascii="Times New Roman" w:hAnsi="Times New Roman"/>
                <w:b/>
                <w:lang w:val="en-US"/>
              </w:rPr>
            </w:pPr>
            <w:r w:rsidRPr="007D770B">
              <w:rPr>
                <w:rFonts w:ascii="Times New Roman" w:hAnsi="Times New Roman"/>
                <w:b/>
                <w:lang w:val="en-US"/>
              </w:rPr>
              <w:lastRenderedPageBreak/>
              <w:t>The agreement is settled by equity instruments</w:t>
            </w:r>
          </w:p>
        </w:tc>
        <w:tc>
          <w:tcPr>
            <w:tcW w:w="1250" w:type="pct"/>
            <w:shd w:val="clear" w:color="auto" w:fill="auto"/>
          </w:tcPr>
          <w:p w14:paraId="2E08D6DF" w14:textId="77777777" w:rsidR="00331FED" w:rsidRPr="007D770B" w:rsidRDefault="00331FED" w:rsidP="008D54EC">
            <w:pPr>
              <w:spacing w:after="0" w:line="240" w:lineRule="auto"/>
              <w:ind w:left="0"/>
              <w:jc w:val="left"/>
              <w:rPr>
                <w:rFonts w:ascii="Times New Roman" w:hAnsi="Times New Roman"/>
                <w:b/>
                <w:lang w:val="en-US"/>
              </w:rPr>
            </w:pPr>
            <w:r w:rsidRPr="007D770B">
              <w:rPr>
                <w:rFonts w:ascii="Times New Roman" w:hAnsi="Times New Roman"/>
                <w:b/>
                <w:lang w:val="en-US"/>
              </w:rPr>
              <w:t>Cash amount of the consideration in the issuer's functional currency</w:t>
            </w:r>
          </w:p>
        </w:tc>
        <w:tc>
          <w:tcPr>
            <w:tcW w:w="1250" w:type="pct"/>
            <w:shd w:val="clear" w:color="auto" w:fill="auto"/>
          </w:tcPr>
          <w:p w14:paraId="2427F55E" w14:textId="77777777" w:rsidR="00331FED" w:rsidRPr="00F41327" w:rsidRDefault="00331FED" w:rsidP="008D54EC">
            <w:pPr>
              <w:spacing w:after="0" w:line="240" w:lineRule="auto"/>
              <w:ind w:left="0"/>
              <w:jc w:val="left"/>
              <w:rPr>
                <w:rFonts w:ascii="Times New Roman" w:hAnsi="Times New Roman"/>
                <w:b/>
              </w:rPr>
            </w:pPr>
            <w:r w:rsidRPr="00F41327">
              <w:rPr>
                <w:rFonts w:ascii="Times New Roman" w:hAnsi="Times New Roman"/>
                <w:b/>
              </w:rPr>
              <w:t>Number of equity instruments</w:t>
            </w:r>
          </w:p>
        </w:tc>
        <w:tc>
          <w:tcPr>
            <w:tcW w:w="1250" w:type="pct"/>
            <w:shd w:val="clear" w:color="auto" w:fill="auto"/>
          </w:tcPr>
          <w:p w14:paraId="2BFCCE26" w14:textId="77777777" w:rsidR="00331FED" w:rsidRPr="00F41327" w:rsidRDefault="00331FED" w:rsidP="008D54EC">
            <w:pPr>
              <w:spacing w:after="0" w:line="240" w:lineRule="auto"/>
              <w:ind w:left="0"/>
              <w:jc w:val="left"/>
              <w:rPr>
                <w:rFonts w:ascii="Times New Roman" w:hAnsi="Times New Roman"/>
                <w:b/>
              </w:rPr>
            </w:pPr>
            <w:r w:rsidRPr="00F41327">
              <w:rPr>
                <w:rFonts w:ascii="Times New Roman" w:hAnsi="Times New Roman"/>
                <w:b/>
              </w:rPr>
              <w:t>Classification</w:t>
            </w:r>
          </w:p>
        </w:tc>
      </w:tr>
      <w:tr w:rsidR="00331FED" w:rsidRPr="00F41327" w14:paraId="3A141921" w14:textId="77777777" w:rsidTr="008D54EC">
        <w:tc>
          <w:tcPr>
            <w:tcW w:w="1250" w:type="pct"/>
            <w:shd w:val="clear" w:color="auto" w:fill="auto"/>
          </w:tcPr>
          <w:p w14:paraId="0D35355D" w14:textId="77777777" w:rsidR="00331FED" w:rsidRPr="00F41327" w:rsidRDefault="00331FED" w:rsidP="008D54EC">
            <w:pPr>
              <w:spacing w:after="0" w:line="240" w:lineRule="auto"/>
              <w:ind w:left="0"/>
              <w:rPr>
                <w:rFonts w:ascii="Times New Roman" w:hAnsi="Times New Roman"/>
              </w:rPr>
            </w:pPr>
            <w:r w:rsidRPr="00F41327">
              <w:rPr>
                <w:rFonts w:ascii="Times New Roman" w:hAnsi="Times New Roman"/>
              </w:rPr>
              <w:t>Scenario 1</w:t>
            </w:r>
          </w:p>
        </w:tc>
        <w:tc>
          <w:tcPr>
            <w:tcW w:w="1250" w:type="pct"/>
            <w:shd w:val="clear" w:color="auto" w:fill="auto"/>
          </w:tcPr>
          <w:p w14:paraId="4D4CEA41" w14:textId="77777777" w:rsidR="00331FED" w:rsidRPr="00F41327" w:rsidRDefault="00331FED" w:rsidP="008D54EC">
            <w:pPr>
              <w:spacing w:after="0" w:line="240" w:lineRule="auto"/>
              <w:ind w:left="0"/>
              <w:rPr>
                <w:rFonts w:ascii="Times New Roman" w:hAnsi="Times New Roman"/>
              </w:rPr>
            </w:pPr>
            <w:r w:rsidRPr="00F41327">
              <w:rPr>
                <w:rFonts w:ascii="Times New Roman" w:hAnsi="Times New Roman"/>
              </w:rPr>
              <w:t>Fixed</w:t>
            </w:r>
          </w:p>
        </w:tc>
        <w:tc>
          <w:tcPr>
            <w:tcW w:w="1250" w:type="pct"/>
            <w:shd w:val="clear" w:color="auto" w:fill="auto"/>
          </w:tcPr>
          <w:p w14:paraId="1AC3A5AB" w14:textId="77777777" w:rsidR="00331FED" w:rsidRPr="00F41327" w:rsidRDefault="00331FED" w:rsidP="008D54EC">
            <w:pPr>
              <w:spacing w:after="0" w:line="240" w:lineRule="auto"/>
              <w:ind w:left="0"/>
              <w:rPr>
                <w:rFonts w:ascii="Times New Roman" w:hAnsi="Times New Roman"/>
              </w:rPr>
            </w:pPr>
            <w:r w:rsidRPr="00F41327">
              <w:rPr>
                <w:rFonts w:ascii="Times New Roman" w:hAnsi="Times New Roman"/>
              </w:rPr>
              <w:t>Variable</w:t>
            </w:r>
          </w:p>
        </w:tc>
        <w:tc>
          <w:tcPr>
            <w:tcW w:w="1250" w:type="pct"/>
            <w:shd w:val="clear" w:color="auto" w:fill="auto"/>
          </w:tcPr>
          <w:p w14:paraId="5EB753BB" w14:textId="77777777" w:rsidR="00331FED" w:rsidRPr="00F41327" w:rsidRDefault="00331FED" w:rsidP="008D54EC">
            <w:pPr>
              <w:spacing w:after="0" w:line="240" w:lineRule="auto"/>
              <w:ind w:left="0"/>
              <w:rPr>
                <w:rFonts w:ascii="Times New Roman" w:hAnsi="Times New Roman"/>
              </w:rPr>
            </w:pPr>
            <w:r w:rsidRPr="00F41327">
              <w:rPr>
                <w:rFonts w:ascii="Times New Roman" w:hAnsi="Times New Roman"/>
              </w:rPr>
              <w:t>Financial liability</w:t>
            </w:r>
          </w:p>
        </w:tc>
      </w:tr>
      <w:tr w:rsidR="00331FED" w:rsidRPr="00F41327" w14:paraId="0151AA64" w14:textId="77777777" w:rsidTr="008D54EC">
        <w:tc>
          <w:tcPr>
            <w:tcW w:w="1250" w:type="pct"/>
            <w:shd w:val="clear" w:color="auto" w:fill="auto"/>
          </w:tcPr>
          <w:p w14:paraId="3014EBEB" w14:textId="77777777" w:rsidR="00331FED" w:rsidRPr="00F41327" w:rsidRDefault="00331FED" w:rsidP="008D54EC">
            <w:pPr>
              <w:spacing w:after="0" w:line="240" w:lineRule="auto"/>
              <w:ind w:left="0"/>
              <w:rPr>
                <w:rFonts w:ascii="Times New Roman" w:hAnsi="Times New Roman"/>
              </w:rPr>
            </w:pPr>
            <w:r w:rsidRPr="00F41327">
              <w:rPr>
                <w:rFonts w:ascii="Times New Roman" w:hAnsi="Times New Roman"/>
              </w:rPr>
              <w:t>Scenario 2</w:t>
            </w:r>
          </w:p>
        </w:tc>
        <w:tc>
          <w:tcPr>
            <w:tcW w:w="1250" w:type="pct"/>
            <w:shd w:val="clear" w:color="auto" w:fill="auto"/>
          </w:tcPr>
          <w:p w14:paraId="2DAB638C" w14:textId="77777777" w:rsidR="00331FED" w:rsidRPr="00F41327" w:rsidRDefault="00331FED" w:rsidP="008D54EC">
            <w:pPr>
              <w:spacing w:after="0" w:line="240" w:lineRule="auto"/>
              <w:ind w:left="0"/>
              <w:rPr>
                <w:rFonts w:ascii="Times New Roman" w:hAnsi="Times New Roman"/>
              </w:rPr>
            </w:pPr>
            <w:r w:rsidRPr="00F41327">
              <w:rPr>
                <w:rFonts w:ascii="Times New Roman" w:hAnsi="Times New Roman"/>
              </w:rPr>
              <w:t>Variable</w:t>
            </w:r>
          </w:p>
        </w:tc>
        <w:tc>
          <w:tcPr>
            <w:tcW w:w="1250" w:type="pct"/>
            <w:shd w:val="clear" w:color="auto" w:fill="auto"/>
          </w:tcPr>
          <w:p w14:paraId="2316CF26" w14:textId="77777777" w:rsidR="00331FED" w:rsidRPr="00F41327" w:rsidRDefault="00331FED" w:rsidP="008D54EC">
            <w:pPr>
              <w:spacing w:after="0" w:line="240" w:lineRule="auto"/>
              <w:ind w:left="0"/>
              <w:rPr>
                <w:rFonts w:ascii="Times New Roman" w:hAnsi="Times New Roman"/>
              </w:rPr>
            </w:pPr>
            <w:r w:rsidRPr="00F41327">
              <w:rPr>
                <w:rFonts w:ascii="Times New Roman" w:hAnsi="Times New Roman"/>
              </w:rPr>
              <w:t>Variable</w:t>
            </w:r>
          </w:p>
        </w:tc>
        <w:tc>
          <w:tcPr>
            <w:tcW w:w="1250" w:type="pct"/>
            <w:shd w:val="clear" w:color="auto" w:fill="auto"/>
          </w:tcPr>
          <w:p w14:paraId="3D159DC0" w14:textId="77777777" w:rsidR="00331FED" w:rsidRPr="00F41327" w:rsidRDefault="00331FED" w:rsidP="008D54EC">
            <w:pPr>
              <w:spacing w:after="0" w:line="240" w:lineRule="auto"/>
              <w:ind w:left="0"/>
              <w:rPr>
                <w:rFonts w:ascii="Times New Roman" w:hAnsi="Times New Roman"/>
              </w:rPr>
            </w:pPr>
            <w:r w:rsidRPr="00F41327">
              <w:rPr>
                <w:rFonts w:ascii="Times New Roman" w:hAnsi="Times New Roman"/>
              </w:rPr>
              <w:t>Financial liability</w:t>
            </w:r>
          </w:p>
        </w:tc>
      </w:tr>
      <w:tr w:rsidR="00331FED" w:rsidRPr="00F41327" w14:paraId="643340D5" w14:textId="77777777" w:rsidTr="008D54EC">
        <w:tc>
          <w:tcPr>
            <w:tcW w:w="1250" w:type="pct"/>
            <w:shd w:val="clear" w:color="auto" w:fill="auto"/>
          </w:tcPr>
          <w:p w14:paraId="3502776D" w14:textId="77777777" w:rsidR="00331FED" w:rsidRPr="00F41327" w:rsidRDefault="00331FED" w:rsidP="008D54EC">
            <w:pPr>
              <w:spacing w:after="0" w:line="240" w:lineRule="auto"/>
              <w:ind w:left="0"/>
              <w:rPr>
                <w:rFonts w:ascii="Times New Roman" w:hAnsi="Times New Roman"/>
              </w:rPr>
            </w:pPr>
            <w:r w:rsidRPr="00F41327">
              <w:rPr>
                <w:rFonts w:ascii="Times New Roman" w:hAnsi="Times New Roman"/>
              </w:rPr>
              <w:t>Scenario 3</w:t>
            </w:r>
          </w:p>
        </w:tc>
        <w:tc>
          <w:tcPr>
            <w:tcW w:w="1250" w:type="pct"/>
            <w:shd w:val="clear" w:color="auto" w:fill="auto"/>
          </w:tcPr>
          <w:p w14:paraId="3AAC53CF" w14:textId="77777777" w:rsidR="00331FED" w:rsidRPr="00F41327" w:rsidRDefault="00331FED" w:rsidP="008D54EC">
            <w:pPr>
              <w:spacing w:after="0" w:line="240" w:lineRule="auto"/>
              <w:ind w:left="0"/>
              <w:rPr>
                <w:rFonts w:ascii="Times New Roman" w:hAnsi="Times New Roman"/>
              </w:rPr>
            </w:pPr>
            <w:r w:rsidRPr="00F41327">
              <w:rPr>
                <w:rFonts w:ascii="Times New Roman" w:hAnsi="Times New Roman"/>
              </w:rPr>
              <w:t>Variable</w:t>
            </w:r>
          </w:p>
        </w:tc>
        <w:tc>
          <w:tcPr>
            <w:tcW w:w="1250" w:type="pct"/>
            <w:shd w:val="clear" w:color="auto" w:fill="auto"/>
          </w:tcPr>
          <w:p w14:paraId="00180EEC" w14:textId="77777777" w:rsidR="00331FED" w:rsidRPr="00F41327" w:rsidRDefault="00331FED" w:rsidP="008D54EC">
            <w:pPr>
              <w:spacing w:after="0" w:line="240" w:lineRule="auto"/>
              <w:ind w:left="0"/>
              <w:rPr>
                <w:rFonts w:ascii="Times New Roman" w:hAnsi="Times New Roman"/>
              </w:rPr>
            </w:pPr>
            <w:r w:rsidRPr="00F41327">
              <w:rPr>
                <w:rFonts w:ascii="Times New Roman" w:hAnsi="Times New Roman"/>
              </w:rPr>
              <w:t>Fixed</w:t>
            </w:r>
          </w:p>
        </w:tc>
        <w:tc>
          <w:tcPr>
            <w:tcW w:w="1250" w:type="pct"/>
            <w:shd w:val="clear" w:color="auto" w:fill="auto"/>
          </w:tcPr>
          <w:p w14:paraId="36011FF1" w14:textId="77777777" w:rsidR="00331FED" w:rsidRPr="00F41327" w:rsidRDefault="00331FED" w:rsidP="008D54EC">
            <w:pPr>
              <w:spacing w:after="0" w:line="240" w:lineRule="auto"/>
              <w:ind w:left="0"/>
              <w:rPr>
                <w:rFonts w:ascii="Times New Roman" w:hAnsi="Times New Roman"/>
              </w:rPr>
            </w:pPr>
            <w:r w:rsidRPr="00F41327">
              <w:rPr>
                <w:rFonts w:ascii="Times New Roman" w:hAnsi="Times New Roman"/>
              </w:rPr>
              <w:t>Financial liability</w:t>
            </w:r>
          </w:p>
        </w:tc>
      </w:tr>
      <w:tr w:rsidR="00331FED" w:rsidRPr="00F41327" w14:paraId="5C560AB1" w14:textId="77777777" w:rsidTr="008D54EC">
        <w:tc>
          <w:tcPr>
            <w:tcW w:w="1250" w:type="pct"/>
            <w:shd w:val="clear" w:color="auto" w:fill="auto"/>
          </w:tcPr>
          <w:p w14:paraId="1D4B2284" w14:textId="77777777" w:rsidR="00331FED" w:rsidRPr="00F41327" w:rsidRDefault="00331FED" w:rsidP="008D54EC">
            <w:pPr>
              <w:spacing w:after="0" w:line="240" w:lineRule="auto"/>
              <w:ind w:left="0"/>
              <w:rPr>
                <w:rFonts w:ascii="Times New Roman" w:hAnsi="Times New Roman"/>
              </w:rPr>
            </w:pPr>
            <w:r w:rsidRPr="00F41327">
              <w:rPr>
                <w:rFonts w:ascii="Times New Roman" w:hAnsi="Times New Roman"/>
              </w:rPr>
              <w:t>Scenario 4</w:t>
            </w:r>
          </w:p>
        </w:tc>
        <w:tc>
          <w:tcPr>
            <w:tcW w:w="1250" w:type="pct"/>
            <w:shd w:val="clear" w:color="auto" w:fill="auto"/>
          </w:tcPr>
          <w:p w14:paraId="6677F472" w14:textId="77777777" w:rsidR="00331FED" w:rsidRPr="007D770B" w:rsidRDefault="00331FED" w:rsidP="008D54EC">
            <w:pPr>
              <w:spacing w:after="0" w:line="240" w:lineRule="auto"/>
              <w:ind w:left="0"/>
              <w:jc w:val="left"/>
              <w:rPr>
                <w:rFonts w:ascii="Times New Roman" w:hAnsi="Times New Roman"/>
                <w:lang w:val="en-US"/>
              </w:rPr>
            </w:pPr>
            <w:r w:rsidRPr="007D770B">
              <w:rPr>
                <w:rFonts w:ascii="Times New Roman" w:hAnsi="Times New Roman"/>
                <w:lang w:val="en-US"/>
              </w:rPr>
              <w:t>Fixed in a currency other than the functional currency</w:t>
            </w:r>
          </w:p>
        </w:tc>
        <w:tc>
          <w:tcPr>
            <w:tcW w:w="1250" w:type="pct"/>
            <w:shd w:val="clear" w:color="auto" w:fill="auto"/>
          </w:tcPr>
          <w:p w14:paraId="22E9B918" w14:textId="77777777" w:rsidR="00331FED" w:rsidRPr="00F41327" w:rsidRDefault="00331FED" w:rsidP="008D54EC">
            <w:pPr>
              <w:spacing w:after="0" w:line="240" w:lineRule="auto"/>
              <w:ind w:left="0"/>
              <w:rPr>
                <w:rFonts w:ascii="Times New Roman" w:hAnsi="Times New Roman"/>
              </w:rPr>
            </w:pPr>
            <w:r w:rsidRPr="00F41327">
              <w:rPr>
                <w:rFonts w:ascii="Times New Roman" w:hAnsi="Times New Roman"/>
              </w:rPr>
              <w:t>Fixed</w:t>
            </w:r>
          </w:p>
        </w:tc>
        <w:tc>
          <w:tcPr>
            <w:tcW w:w="1250" w:type="pct"/>
            <w:shd w:val="clear" w:color="auto" w:fill="auto"/>
          </w:tcPr>
          <w:p w14:paraId="7B6E94F9" w14:textId="77777777" w:rsidR="00331FED" w:rsidRPr="00F41327" w:rsidRDefault="00331FED" w:rsidP="008D54EC">
            <w:pPr>
              <w:spacing w:after="0" w:line="240" w:lineRule="auto"/>
              <w:ind w:left="0"/>
              <w:rPr>
                <w:rFonts w:ascii="Times New Roman" w:hAnsi="Times New Roman"/>
              </w:rPr>
            </w:pPr>
            <w:r w:rsidRPr="00F41327">
              <w:rPr>
                <w:rFonts w:ascii="Times New Roman" w:hAnsi="Times New Roman"/>
              </w:rPr>
              <w:t>Financial liability</w:t>
            </w:r>
          </w:p>
        </w:tc>
      </w:tr>
      <w:tr w:rsidR="00331FED" w:rsidRPr="00F41327" w14:paraId="50C4F193" w14:textId="77777777" w:rsidTr="008D54EC">
        <w:tc>
          <w:tcPr>
            <w:tcW w:w="1250" w:type="pct"/>
            <w:shd w:val="clear" w:color="auto" w:fill="auto"/>
          </w:tcPr>
          <w:p w14:paraId="6BE51A6A" w14:textId="77777777" w:rsidR="00331FED" w:rsidRPr="00F41327" w:rsidRDefault="00331FED" w:rsidP="008D54EC">
            <w:pPr>
              <w:spacing w:after="0" w:line="240" w:lineRule="auto"/>
              <w:ind w:left="0"/>
              <w:rPr>
                <w:rFonts w:ascii="Times New Roman" w:hAnsi="Times New Roman"/>
              </w:rPr>
            </w:pPr>
            <w:r w:rsidRPr="00F41327">
              <w:rPr>
                <w:rFonts w:ascii="Times New Roman" w:hAnsi="Times New Roman"/>
              </w:rPr>
              <w:t>Scenario 5</w:t>
            </w:r>
          </w:p>
        </w:tc>
        <w:tc>
          <w:tcPr>
            <w:tcW w:w="1250" w:type="pct"/>
            <w:shd w:val="clear" w:color="auto" w:fill="auto"/>
          </w:tcPr>
          <w:p w14:paraId="4F3346D9" w14:textId="77777777" w:rsidR="00331FED" w:rsidRPr="00F41327" w:rsidRDefault="00331FED" w:rsidP="008D54EC">
            <w:pPr>
              <w:spacing w:after="0" w:line="240" w:lineRule="auto"/>
              <w:ind w:left="0"/>
              <w:rPr>
                <w:rFonts w:ascii="Times New Roman" w:hAnsi="Times New Roman"/>
              </w:rPr>
            </w:pPr>
            <w:r w:rsidRPr="00F41327">
              <w:rPr>
                <w:rFonts w:ascii="Times New Roman" w:hAnsi="Times New Roman"/>
              </w:rPr>
              <w:t>Fixed</w:t>
            </w:r>
          </w:p>
        </w:tc>
        <w:tc>
          <w:tcPr>
            <w:tcW w:w="1250" w:type="pct"/>
            <w:shd w:val="clear" w:color="auto" w:fill="auto"/>
          </w:tcPr>
          <w:p w14:paraId="7D31D3DC" w14:textId="77777777" w:rsidR="00331FED" w:rsidRPr="00F41327" w:rsidRDefault="00331FED" w:rsidP="008D54EC">
            <w:pPr>
              <w:spacing w:after="0" w:line="240" w:lineRule="auto"/>
              <w:ind w:left="0"/>
              <w:rPr>
                <w:rFonts w:ascii="Times New Roman" w:hAnsi="Times New Roman"/>
              </w:rPr>
            </w:pPr>
            <w:r w:rsidRPr="00F41327">
              <w:rPr>
                <w:rFonts w:ascii="Times New Roman" w:hAnsi="Times New Roman"/>
              </w:rPr>
              <w:t>Fixed</w:t>
            </w:r>
          </w:p>
        </w:tc>
        <w:tc>
          <w:tcPr>
            <w:tcW w:w="1250" w:type="pct"/>
            <w:shd w:val="clear" w:color="auto" w:fill="auto"/>
          </w:tcPr>
          <w:p w14:paraId="7B99A7BD" w14:textId="77777777" w:rsidR="00331FED" w:rsidRPr="00F41327" w:rsidRDefault="00331FED" w:rsidP="008D54EC">
            <w:pPr>
              <w:spacing w:after="0" w:line="240" w:lineRule="auto"/>
              <w:ind w:left="0"/>
              <w:rPr>
                <w:rFonts w:ascii="Times New Roman" w:hAnsi="Times New Roman"/>
              </w:rPr>
            </w:pPr>
            <w:r w:rsidRPr="00F41327">
              <w:rPr>
                <w:rFonts w:ascii="Times New Roman" w:hAnsi="Times New Roman"/>
              </w:rPr>
              <w:t>Capital</w:t>
            </w:r>
          </w:p>
        </w:tc>
      </w:tr>
    </w:tbl>
    <w:p w14:paraId="2E746E3E" w14:textId="77777777" w:rsidR="00331FED" w:rsidRPr="007D770B" w:rsidRDefault="00331FED" w:rsidP="00331FED">
      <w:pPr>
        <w:spacing w:before="240" w:line="240" w:lineRule="auto"/>
        <w:ind w:left="0"/>
        <w:rPr>
          <w:rFonts w:ascii="Times New Roman" w:hAnsi="Times New Roman"/>
          <w:lang w:val="en-US"/>
        </w:rPr>
      </w:pPr>
      <w:r w:rsidRPr="007D770B">
        <w:rPr>
          <w:rFonts w:ascii="Times New Roman" w:hAnsi="Times New Roman"/>
          <w:lang w:val="en-US"/>
        </w:rPr>
        <w:t xml:space="preserve">An exception to the definitions above is an instrument that would fall within the scope of a financial liability but is classified as an equity instrument if it has all the characteristics and conditions specified below: </w:t>
      </w:r>
    </w:p>
    <w:p w14:paraId="43B61232" w14:textId="77777777" w:rsidR="00331FED" w:rsidRPr="007D770B" w:rsidRDefault="00331FED" w:rsidP="00AE698A">
      <w:pPr>
        <w:numPr>
          <w:ilvl w:val="0"/>
          <w:numId w:val="272"/>
        </w:numPr>
        <w:spacing w:line="240" w:lineRule="auto"/>
        <w:rPr>
          <w:rFonts w:ascii="Times New Roman" w:hAnsi="Times New Roman"/>
          <w:lang w:val="en-US"/>
        </w:rPr>
      </w:pPr>
      <w:r w:rsidRPr="007D770B">
        <w:rPr>
          <w:rFonts w:ascii="Times New Roman" w:hAnsi="Times New Roman"/>
          <w:lang w:val="en-US"/>
        </w:rPr>
        <w:t xml:space="preserve">A puttable instrument is a financial instrument that gives the holder the right to return it to the issuer (i.e. the Bank) in exchange for cash or another financial asset. </w:t>
      </w:r>
    </w:p>
    <w:p w14:paraId="3AE4E18E" w14:textId="77777777" w:rsidR="00331FED" w:rsidRPr="007D770B" w:rsidRDefault="00331FED" w:rsidP="00AE698A">
      <w:pPr>
        <w:numPr>
          <w:ilvl w:val="0"/>
          <w:numId w:val="272"/>
        </w:numPr>
        <w:spacing w:line="240" w:lineRule="auto"/>
        <w:rPr>
          <w:rFonts w:ascii="Times New Roman" w:hAnsi="Times New Roman"/>
          <w:lang w:val="en-US"/>
        </w:rPr>
      </w:pPr>
      <w:r w:rsidRPr="007D770B">
        <w:rPr>
          <w:rFonts w:ascii="Times New Roman" w:hAnsi="Times New Roman"/>
          <w:lang w:val="en-US"/>
        </w:rPr>
        <w:t xml:space="preserve">Instruments, or components of instruments, that expose the Bank to an obligation to deliver to the other party a pro rata share of the net assets only on liquidation. The obligation arises when liquidation is certain (in the case of companies with a finite life) or when liquidation is uncertain but the holder of the instrument has the right (option) to liquidate. </w:t>
      </w:r>
    </w:p>
    <w:p w14:paraId="79ADD2CF" w14:textId="77777777" w:rsidR="00331FED" w:rsidRPr="007D770B" w:rsidRDefault="00331FED" w:rsidP="00331FED">
      <w:pPr>
        <w:pStyle w:val="af4"/>
        <w:spacing w:after="240"/>
        <w:ind w:firstLine="0"/>
        <w:rPr>
          <w:sz w:val="20"/>
          <w:szCs w:val="20"/>
          <w:lang w:val="en-US"/>
        </w:rPr>
      </w:pPr>
      <w:r w:rsidRPr="007D770B">
        <w:rPr>
          <w:sz w:val="20"/>
          <w:szCs w:val="20"/>
          <w:lang w:val="en-US"/>
        </w:rPr>
        <w:t xml:space="preserve">A non-derivative puttable financial instrument or a liability on liquidation (for example, for an entity with a finite life) is classified as equity if it meets all of the criteria below: </w:t>
      </w:r>
    </w:p>
    <w:tbl>
      <w:tblPr>
        <w:tblW w:w="5067" w:type="pct"/>
        <w:tblCellMar>
          <w:top w:w="30" w:type="dxa"/>
          <w:left w:w="30" w:type="dxa"/>
          <w:bottom w:w="30" w:type="dxa"/>
          <w:right w:w="30" w:type="dxa"/>
        </w:tblCellMar>
        <w:tblLook w:val="0000" w:firstRow="0" w:lastRow="0" w:firstColumn="0" w:lastColumn="0" w:noHBand="0" w:noVBand="0"/>
      </w:tblPr>
      <w:tblGrid>
        <w:gridCol w:w="5040"/>
        <w:gridCol w:w="5170"/>
      </w:tblGrid>
      <w:tr w:rsidR="00331FED" w:rsidRPr="00F41327" w14:paraId="7CFD0C2B" w14:textId="77777777" w:rsidTr="008D54EC">
        <w:trPr>
          <w:trHeight w:val="20"/>
          <w:tblHeader/>
        </w:trPr>
        <w:tc>
          <w:tcPr>
            <w:tcW w:w="2468"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14:paraId="1C7D4151" w14:textId="77777777" w:rsidR="00331FED" w:rsidRPr="00F41327" w:rsidRDefault="00331FED" w:rsidP="008D54EC">
            <w:pPr>
              <w:spacing w:after="0" w:line="240" w:lineRule="auto"/>
              <w:ind w:left="90" w:right="136"/>
              <w:rPr>
                <w:rFonts w:ascii="Times New Roman" w:hAnsi="Times New Roman"/>
              </w:rPr>
            </w:pPr>
            <w:r w:rsidRPr="00F41327">
              <w:rPr>
                <w:rStyle w:val="afffd"/>
                <w:rFonts w:ascii="Times New Roman" w:hAnsi="Times New Roman"/>
              </w:rPr>
              <w:t>Criteria</w:t>
            </w:r>
          </w:p>
        </w:tc>
        <w:tc>
          <w:tcPr>
            <w:tcW w:w="2532"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14:paraId="0C3F8C7B" w14:textId="77777777" w:rsidR="00331FED" w:rsidRPr="00F41327" w:rsidRDefault="00331FED" w:rsidP="008D54EC">
            <w:pPr>
              <w:spacing w:after="0" w:line="240" w:lineRule="auto"/>
              <w:ind w:left="62" w:right="124"/>
              <w:rPr>
                <w:rFonts w:ascii="Times New Roman" w:hAnsi="Times New Roman"/>
              </w:rPr>
            </w:pPr>
            <w:r w:rsidRPr="00F41327">
              <w:rPr>
                <w:rStyle w:val="afffd"/>
                <w:rFonts w:ascii="Times New Roman" w:hAnsi="Times New Roman"/>
              </w:rPr>
              <w:t>Comments</w:t>
            </w:r>
          </w:p>
        </w:tc>
      </w:tr>
      <w:tr w:rsidR="00331FED" w:rsidRPr="00E60FFF" w14:paraId="151F5EA8" w14:textId="77777777" w:rsidTr="008D54EC">
        <w:trPr>
          <w:trHeight w:val="20"/>
        </w:trPr>
        <w:tc>
          <w:tcPr>
            <w:tcW w:w="2468"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14:paraId="12C8C463" w14:textId="77777777" w:rsidR="00331FED" w:rsidRPr="00F41327" w:rsidRDefault="00331FED" w:rsidP="008D54EC">
            <w:pPr>
              <w:spacing w:after="0" w:line="240" w:lineRule="auto"/>
              <w:ind w:left="86" w:right="136"/>
              <w:rPr>
                <w:rFonts w:ascii="Times New Roman" w:hAnsi="Times New Roman"/>
              </w:rPr>
            </w:pPr>
            <w:r w:rsidRPr="007D770B">
              <w:rPr>
                <w:rFonts w:ascii="Times New Roman" w:hAnsi="Times New Roman"/>
                <w:lang w:val="en-US"/>
              </w:rPr>
              <w:t xml:space="preserve">1- An instrument is a member of a class of instruments that are subordinate to all other classes of instruments. </w:t>
            </w:r>
            <w:r w:rsidRPr="00F41327">
              <w:rPr>
                <w:rFonts w:ascii="Times New Roman" w:hAnsi="Times New Roman"/>
              </w:rPr>
              <w:t xml:space="preserve">This means that </w:t>
            </w:r>
            <w:r>
              <w:rPr>
                <w:rFonts w:ascii="Times New Roman" w:hAnsi="Times New Roman"/>
              </w:rPr>
              <w:t>it</w:t>
            </w:r>
            <w:r w:rsidRPr="00F41327">
              <w:rPr>
                <w:rFonts w:ascii="Times New Roman" w:hAnsi="Times New Roman"/>
              </w:rPr>
              <w:t xml:space="preserve">: </w:t>
            </w:r>
          </w:p>
          <w:p w14:paraId="3B22B9B2" w14:textId="77777777" w:rsidR="00331FED" w:rsidRPr="007D770B" w:rsidRDefault="00331FED" w:rsidP="00AE698A">
            <w:pPr>
              <w:numPr>
                <w:ilvl w:val="0"/>
                <w:numId w:val="32"/>
              </w:numPr>
              <w:spacing w:after="0" w:line="240" w:lineRule="auto"/>
              <w:ind w:left="446" w:right="130"/>
              <w:jc w:val="left"/>
              <w:rPr>
                <w:rFonts w:ascii="Times New Roman" w:hAnsi="Times New Roman"/>
                <w:lang w:val="en-US"/>
              </w:rPr>
            </w:pPr>
            <w:r w:rsidRPr="007D770B">
              <w:rPr>
                <w:rFonts w:ascii="Times New Roman" w:hAnsi="Times New Roman"/>
                <w:lang w:val="en-US"/>
              </w:rPr>
              <w:t xml:space="preserve">should not have any priority over other claims on the Bank's assets on liquidation, and </w:t>
            </w:r>
          </w:p>
          <w:p w14:paraId="3E3AB030" w14:textId="77777777" w:rsidR="00331FED" w:rsidRPr="007D770B" w:rsidRDefault="00331FED" w:rsidP="00AE698A">
            <w:pPr>
              <w:pStyle w:val="aa"/>
              <w:numPr>
                <w:ilvl w:val="0"/>
                <w:numId w:val="265"/>
              </w:numPr>
              <w:spacing w:after="0" w:line="240" w:lineRule="auto"/>
              <w:ind w:left="450"/>
              <w:contextualSpacing w:val="0"/>
              <w:jc w:val="left"/>
              <w:rPr>
                <w:rFonts w:ascii="Times New Roman" w:hAnsi="Times New Roman"/>
                <w:lang w:val="en-US"/>
              </w:rPr>
            </w:pPr>
            <w:r w:rsidRPr="007D770B">
              <w:rPr>
                <w:rFonts w:ascii="Times New Roman" w:hAnsi="Times New Roman"/>
                <w:lang w:val="en-US"/>
              </w:rPr>
              <w:t>need not be convertible into another instrument before it is included in a class of instruments subordinate to all other classes of instruments.</w:t>
            </w:r>
          </w:p>
        </w:tc>
        <w:tc>
          <w:tcPr>
            <w:tcW w:w="2532"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14:paraId="6C860910" w14:textId="77777777" w:rsidR="00331FED" w:rsidRPr="007D770B" w:rsidRDefault="00331FED" w:rsidP="008D54EC">
            <w:pPr>
              <w:spacing w:after="0" w:line="240" w:lineRule="auto"/>
              <w:ind w:left="58" w:right="124"/>
              <w:rPr>
                <w:rFonts w:ascii="Times New Roman" w:hAnsi="Times New Roman"/>
                <w:lang w:val="en-US"/>
              </w:rPr>
            </w:pPr>
            <w:r w:rsidRPr="007D770B">
              <w:rPr>
                <w:rFonts w:ascii="Times New Roman" w:hAnsi="Times New Roman"/>
                <w:lang w:val="en-US"/>
              </w:rPr>
              <w:t xml:space="preserve">The instrument's claim on liquidation is measured as if the Bank were liquidated at the date of classification. </w:t>
            </w:r>
          </w:p>
          <w:p w14:paraId="6D168CAB" w14:textId="77777777" w:rsidR="00331FED" w:rsidRPr="007D770B" w:rsidRDefault="00331FED" w:rsidP="008D54EC">
            <w:pPr>
              <w:spacing w:after="0" w:line="240" w:lineRule="auto"/>
              <w:ind w:left="58" w:right="124"/>
              <w:rPr>
                <w:rFonts w:ascii="Times New Roman" w:hAnsi="Times New Roman"/>
                <w:lang w:val="en-US"/>
              </w:rPr>
            </w:pPr>
            <w:r w:rsidRPr="007D770B">
              <w:rPr>
                <w:rFonts w:ascii="Times New Roman" w:hAnsi="Times New Roman"/>
                <w:lang w:val="en-US"/>
              </w:rPr>
              <w:t xml:space="preserve">If the Bank has two equally subordinated classes of instruments with different terms and conditions, neither can be classified as equity. </w:t>
            </w:r>
          </w:p>
        </w:tc>
      </w:tr>
      <w:tr w:rsidR="00331FED" w:rsidRPr="00E60FFF" w14:paraId="4062A5CB" w14:textId="77777777" w:rsidTr="008D54EC">
        <w:trPr>
          <w:trHeight w:val="20"/>
        </w:trPr>
        <w:tc>
          <w:tcPr>
            <w:tcW w:w="2468"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14:paraId="6F7F011C" w14:textId="293DB4CB" w:rsidR="00331FED" w:rsidRPr="007D770B" w:rsidRDefault="00331FED" w:rsidP="008D54EC">
            <w:pPr>
              <w:spacing w:after="0" w:line="240" w:lineRule="auto"/>
              <w:ind w:left="86" w:right="136"/>
              <w:rPr>
                <w:rFonts w:ascii="Times New Roman" w:hAnsi="Times New Roman"/>
                <w:lang w:val="en-US"/>
              </w:rPr>
            </w:pPr>
            <w:r w:rsidRPr="007D770B">
              <w:rPr>
                <w:rFonts w:ascii="Times New Roman" w:hAnsi="Times New Roman"/>
                <w:lang w:val="en-US"/>
              </w:rPr>
              <w:t xml:space="preserve">2. For instruments with early redemption rights, </w:t>
            </w:r>
            <w:r w:rsidR="00EE3CCF" w:rsidRPr="007D770B">
              <w:rPr>
                <w:rFonts w:ascii="Times New Roman" w:hAnsi="Times New Roman"/>
                <w:lang w:val="en-US"/>
              </w:rPr>
              <w:t xml:space="preserve">all instruments in </w:t>
            </w:r>
            <w:r w:rsidRPr="007D770B">
              <w:rPr>
                <w:rFonts w:ascii="Times New Roman" w:hAnsi="Times New Roman"/>
                <w:lang w:val="en-US"/>
              </w:rPr>
              <w:t xml:space="preserve">the class have the same characteristics. </w:t>
            </w:r>
          </w:p>
          <w:p w14:paraId="765A8435" w14:textId="77777777" w:rsidR="00331FED" w:rsidRPr="007D770B" w:rsidRDefault="00331FED" w:rsidP="008D54EC">
            <w:pPr>
              <w:spacing w:after="0" w:line="240" w:lineRule="auto"/>
              <w:ind w:left="86" w:right="136"/>
              <w:rPr>
                <w:rFonts w:ascii="Times New Roman" w:hAnsi="Times New Roman"/>
                <w:lang w:val="en-US"/>
              </w:rPr>
            </w:pPr>
            <w:r w:rsidRPr="007D770B">
              <w:rPr>
                <w:rFonts w:ascii="Times New Roman" w:hAnsi="Times New Roman"/>
                <w:lang w:val="en-US"/>
              </w:rPr>
              <w:t xml:space="preserve">For liabilities arising on liquidation, only liabilities on liquidation need to be identical for all instruments in that class. </w:t>
            </w:r>
          </w:p>
        </w:tc>
        <w:tc>
          <w:tcPr>
            <w:tcW w:w="2532"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14:paraId="098EDAF8" w14:textId="77777777" w:rsidR="00331FED" w:rsidRPr="007D770B" w:rsidRDefault="00331FED" w:rsidP="008D54EC">
            <w:pPr>
              <w:spacing w:after="0" w:line="240" w:lineRule="auto"/>
              <w:ind w:left="62" w:right="124"/>
              <w:rPr>
                <w:rFonts w:ascii="Times New Roman" w:hAnsi="Times New Roman"/>
                <w:lang w:val="en-US"/>
              </w:rPr>
            </w:pPr>
            <w:r w:rsidRPr="007D770B">
              <w:rPr>
                <w:rFonts w:ascii="Times New Roman" w:hAnsi="Times New Roman"/>
                <w:lang w:val="en-US"/>
              </w:rPr>
              <w:t>In order to be identical, all early redemption instruments in the class must:</w:t>
            </w:r>
          </w:p>
          <w:p w14:paraId="48731D5B" w14:textId="77777777" w:rsidR="00331FED" w:rsidRPr="007D770B" w:rsidRDefault="00331FED" w:rsidP="00AE698A">
            <w:pPr>
              <w:numPr>
                <w:ilvl w:val="0"/>
                <w:numId w:val="33"/>
              </w:numPr>
              <w:spacing w:after="0" w:line="240" w:lineRule="auto"/>
              <w:ind w:right="124"/>
              <w:jc w:val="left"/>
              <w:rPr>
                <w:rFonts w:ascii="Times New Roman" w:hAnsi="Times New Roman"/>
                <w:lang w:val="en-US"/>
              </w:rPr>
            </w:pPr>
            <w:r w:rsidRPr="007D770B">
              <w:rPr>
                <w:rFonts w:ascii="Times New Roman" w:hAnsi="Times New Roman"/>
                <w:lang w:val="en-US"/>
              </w:rPr>
              <w:t xml:space="preserve">have the same formula or a different method of calculating the redemption price; </w:t>
            </w:r>
          </w:p>
          <w:p w14:paraId="033A0DEB" w14:textId="77777777" w:rsidR="00331FED" w:rsidRPr="00F41327" w:rsidRDefault="00331FED" w:rsidP="00AE698A">
            <w:pPr>
              <w:numPr>
                <w:ilvl w:val="0"/>
                <w:numId w:val="33"/>
              </w:numPr>
              <w:spacing w:after="0" w:line="240" w:lineRule="auto"/>
              <w:ind w:right="124"/>
              <w:jc w:val="left"/>
              <w:rPr>
                <w:rFonts w:ascii="Times New Roman" w:hAnsi="Times New Roman"/>
              </w:rPr>
            </w:pPr>
            <w:r w:rsidRPr="00F41327">
              <w:rPr>
                <w:rFonts w:ascii="Times New Roman" w:hAnsi="Times New Roman"/>
              </w:rPr>
              <w:t>equally categorized in liquidation;</w:t>
            </w:r>
          </w:p>
          <w:p w14:paraId="6534AC63" w14:textId="77777777" w:rsidR="00331FED" w:rsidRPr="007D770B" w:rsidRDefault="00331FED" w:rsidP="00AE698A">
            <w:pPr>
              <w:numPr>
                <w:ilvl w:val="0"/>
                <w:numId w:val="33"/>
              </w:numPr>
              <w:spacing w:after="0" w:line="240" w:lineRule="auto"/>
              <w:ind w:right="124"/>
              <w:jc w:val="left"/>
              <w:rPr>
                <w:rFonts w:ascii="Times New Roman" w:hAnsi="Times New Roman"/>
                <w:lang w:val="en-US"/>
              </w:rPr>
            </w:pPr>
            <w:r w:rsidRPr="007D770B">
              <w:rPr>
                <w:rFonts w:ascii="Times New Roman" w:hAnsi="Times New Roman"/>
                <w:lang w:val="en-US"/>
              </w:rPr>
              <w:t xml:space="preserve">have the same voting rights; </w:t>
            </w:r>
          </w:p>
          <w:p w14:paraId="30C63EC4" w14:textId="77777777" w:rsidR="00331FED" w:rsidRPr="007D770B" w:rsidRDefault="00331FED" w:rsidP="00AE698A">
            <w:pPr>
              <w:numPr>
                <w:ilvl w:val="0"/>
                <w:numId w:val="33"/>
              </w:numPr>
              <w:spacing w:after="0" w:line="240" w:lineRule="auto"/>
              <w:ind w:right="124"/>
              <w:jc w:val="left"/>
              <w:rPr>
                <w:rFonts w:ascii="Times New Roman" w:hAnsi="Times New Roman"/>
                <w:lang w:val="en-US"/>
              </w:rPr>
            </w:pPr>
            <w:r w:rsidRPr="007D770B">
              <w:rPr>
                <w:rFonts w:ascii="Times New Roman" w:hAnsi="Times New Roman"/>
                <w:lang w:val="en-US"/>
              </w:rPr>
              <w:t xml:space="preserve">all other characteristics must be the same. </w:t>
            </w:r>
          </w:p>
        </w:tc>
      </w:tr>
      <w:tr w:rsidR="00331FED" w:rsidRPr="00E60FFF" w14:paraId="5FF6FA7B" w14:textId="77777777" w:rsidTr="008D54EC">
        <w:trPr>
          <w:trHeight w:val="20"/>
        </w:trPr>
        <w:tc>
          <w:tcPr>
            <w:tcW w:w="2468"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14:paraId="237F2641" w14:textId="77777777" w:rsidR="00331FED" w:rsidRPr="007D770B" w:rsidRDefault="00331FED" w:rsidP="008D54EC">
            <w:pPr>
              <w:spacing w:after="0" w:line="240" w:lineRule="auto"/>
              <w:ind w:left="86" w:right="136"/>
              <w:rPr>
                <w:rFonts w:ascii="Times New Roman" w:hAnsi="Times New Roman"/>
                <w:lang w:val="en-US"/>
              </w:rPr>
            </w:pPr>
            <w:r w:rsidRPr="007D770B">
              <w:rPr>
                <w:rFonts w:ascii="Times New Roman" w:hAnsi="Times New Roman"/>
                <w:lang w:val="en-US"/>
              </w:rPr>
              <w:t xml:space="preserve">(3) The instrument shall entitle the holder to a pro rata share of the net assets of the entity on liquidation. </w:t>
            </w:r>
          </w:p>
        </w:tc>
        <w:tc>
          <w:tcPr>
            <w:tcW w:w="2532"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14:paraId="5FEB465B" w14:textId="77777777" w:rsidR="00331FED" w:rsidRPr="007D770B" w:rsidRDefault="00331FED" w:rsidP="008D54EC">
            <w:pPr>
              <w:spacing w:after="0" w:line="240" w:lineRule="auto"/>
              <w:ind w:left="58" w:right="124"/>
              <w:rPr>
                <w:rFonts w:ascii="Times New Roman" w:hAnsi="Times New Roman"/>
                <w:lang w:val="en-US"/>
              </w:rPr>
            </w:pPr>
            <w:r w:rsidRPr="007D770B">
              <w:rPr>
                <w:rFonts w:ascii="Times New Roman" w:hAnsi="Times New Roman"/>
                <w:lang w:val="en-US"/>
              </w:rPr>
              <w:t xml:space="preserve">An instrument with a preferential right on redemption is not an instrument with a right to a proportionate share of the entity's net assets. Thus, if an instrument with early redemption rights has a right to a fixed amount of dividends on liquidation in addition to its share of the entity's net assets, but another instrument in the class does not have the same right on liquidation, none of the instruments in the class can be equity. </w:t>
            </w:r>
          </w:p>
        </w:tc>
      </w:tr>
      <w:tr w:rsidR="00331FED" w:rsidRPr="00E60FFF" w14:paraId="13DB9B3A" w14:textId="77777777" w:rsidTr="008D54EC">
        <w:trPr>
          <w:trHeight w:val="20"/>
        </w:trPr>
        <w:tc>
          <w:tcPr>
            <w:tcW w:w="2468"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14:paraId="20F43054" w14:textId="77777777" w:rsidR="00331FED" w:rsidRPr="007D770B" w:rsidRDefault="00331FED" w:rsidP="008D54EC">
            <w:pPr>
              <w:spacing w:after="0" w:line="240" w:lineRule="auto"/>
              <w:ind w:left="86" w:right="136"/>
              <w:rPr>
                <w:rFonts w:ascii="Times New Roman" w:hAnsi="Times New Roman"/>
                <w:lang w:val="en-US"/>
              </w:rPr>
            </w:pPr>
            <w:r w:rsidRPr="007D770B">
              <w:rPr>
                <w:rFonts w:ascii="Times New Roman" w:hAnsi="Times New Roman"/>
                <w:lang w:val="en-US"/>
              </w:rPr>
              <w:t xml:space="preserve">4 For puttable instruments only, the total expected cash flows attributable to the instrument over the life of the instrument must be based substantially on profit or loss, changes in recognized net assets or changes in the fair value of the entity's recognized and unrecognized net assets over the life of the instrument (excluding the effects of the instrument). </w:t>
            </w:r>
          </w:p>
        </w:tc>
        <w:tc>
          <w:tcPr>
            <w:tcW w:w="2532"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14:paraId="52EED2B8" w14:textId="77777777" w:rsidR="00331FED" w:rsidRPr="007D770B" w:rsidRDefault="00331FED" w:rsidP="008D54EC">
            <w:pPr>
              <w:spacing w:after="0" w:line="240" w:lineRule="auto"/>
              <w:ind w:left="58" w:right="124"/>
              <w:rPr>
                <w:rFonts w:ascii="Times New Roman" w:hAnsi="Times New Roman"/>
                <w:lang w:val="en-US"/>
              </w:rPr>
            </w:pPr>
            <w:r w:rsidRPr="007D770B">
              <w:rPr>
                <w:rFonts w:ascii="Times New Roman" w:hAnsi="Times New Roman"/>
                <w:lang w:val="en-US"/>
              </w:rPr>
              <w:t xml:space="preserve">The cash flows attributable to the instrument over its term must be based on the income and expenses or change in net assets of the entity as a whole, not just a portion of the business. </w:t>
            </w:r>
          </w:p>
          <w:p w14:paraId="2F16AC45" w14:textId="77777777" w:rsidR="00331FED" w:rsidRPr="007D770B" w:rsidRDefault="00331FED" w:rsidP="008D54EC">
            <w:pPr>
              <w:spacing w:after="0" w:line="240" w:lineRule="auto"/>
              <w:ind w:left="58" w:right="124"/>
              <w:rPr>
                <w:rFonts w:ascii="Times New Roman" w:hAnsi="Times New Roman"/>
                <w:lang w:val="en-US"/>
              </w:rPr>
            </w:pPr>
          </w:p>
        </w:tc>
      </w:tr>
      <w:tr w:rsidR="00331FED" w:rsidRPr="00E60FFF" w14:paraId="47BD008B" w14:textId="77777777" w:rsidTr="008D54EC">
        <w:trPr>
          <w:trHeight w:val="20"/>
        </w:trPr>
        <w:tc>
          <w:tcPr>
            <w:tcW w:w="2468"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14:paraId="6ADEB079" w14:textId="77777777" w:rsidR="00331FED" w:rsidRPr="007D770B" w:rsidRDefault="00331FED" w:rsidP="008D54EC">
            <w:pPr>
              <w:spacing w:after="0" w:line="240" w:lineRule="auto"/>
              <w:ind w:left="0" w:right="136"/>
              <w:rPr>
                <w:rFonts w:ascii="Times New Roman" w:hAnsi="Times New Roman"/>
                <w:lang w:val="en-US"/>
              </w:rPr>
            </w:pPr>
            <w:r w:rsidRPr="007D770B">
              <w:rPr>
                <w:rFonts w:ascii="Times New Roman" w:hAnsi="Times New Roman"/>
                <w:lang w:val="en-US"/>
              </w:rPr>
              <w:t>5. There are no other tools that:</w:t>
            </w:r>
          </w:p>
          <w:p w14:paraId="7C24F8D5" w14:textId="15D180D0" w:rsidR="00331FED" w:rsidRPr="007D770B" w:rsidRDefault="00331FED" w:rsidP="00AE698A">
            <w:pPr>
              <w:numPr>
                <w:ilvl w:val="0"/>
                <w:numId w:val="34"/>
              </w:numPr>
              <w:spacing w:after="0" w:line="240" w:lineRule="auto"/>
              <w:ind w:right="136"/>
              <w:jc w:val="left"/>
              <w:rPr>
                <w:rFonts w:ascii="Times New Roman" w:hAnsi="Times New Roman"/>
                <w:lang w:val="en-US"/>
              </w:rPr>
            </w:pPr>
            <w:r w:rsidRPr="007D770B">
              <w:rPr>
                <w:rFonts w:ascii="Times New Roman" w:hAnsi="Times New Roman"/>
                <w:lang w:val="en-US"/>
              </w:rPr>
              <w:t xml:space="preserve">significantly limit or lock in </w:t>
            </w:r>
            <w:r w:rsidR="006D1BBB" w:rsidRPr="007D770B">
              <w:rPr>
                <w:rFonts w:ascii="Times New Roman" w:hAnsi="Times New Roman"/>
                <w:lang w:val="en-US"/>
              </w:rPr>
              <w:t xml:space="preserve">the profit </w:t>
            </w:r>
            <w:r w:rsidRPr="007D770B">
              <w:rPr>
                <w:rFonts w:ascii="Times New Roman" w:hAnsi="Times New Roman"/>
                <w:lang w:val="en-US"/>
              </w:rPr>
              <w:t xml:space="preserve">earned by the instrument holder; and </w:t>
            </w:r>
          </w:p>
          <w:p w14:paraId="316AEC5B" w14:textId="77777777" w:rsidR="00331FED" w:rsidRPr="007D770B" w:rsidRDefault="00331FED" w:rsidP="00AE698A">
            <w:pPr>
              <w:numPr>
                <w:ilvl w:val="0"/>
                <w:numId w:val="34"/>
              </w:numPr>
              <w:spacing w:after="0" w:line="240" w:lineRule="auto"/>
              <w:ind w:right="136"/>
              <w:jc w:val="left"/>
              <w:rPr>
                <w:rFonts w:ascii="Times New Roman" w:hAnsi="Times New Roman"/>
                <w:lang w:val="en-US"/>
              </w:rPr>
            </w:pPr>
            <w:r w:rsidRPr="007D770B">
              <w:rPr>
                <w:rFonts w:ascii="Times New Roman" w:hAnsi="Times New Roman"/>
                <w:lang w:val="en-US"/>
              </w:rPr>
              <w:lastRenderedPageBreak/>
              <w:t xml:space="preserve">have total cash flows based primarily on profit or loss, changes in recognized net assets or changes in the fair value of the entity's recognized and unrecognized net assets during the term of the instrument (excluding the effects of the instrument). </w:t>
            </w:r>
          </w:p>
        </w:tc>
        <w:tc>
          <w:tcPr>
            <w:tcW w:w="2532"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14:paraId="6DFA24F7" w14:textId="77777777" w:rsidR="00331FED" w:rsidRPr="007D770B" w:rsidRDefault="00331FED" w:rsidP="008D54EC">
            <w:pPr>
              <w:spacing w:after="0" w:line="240" w:lineRule="auto"/>
              <w:ind w:left="43" w:right="124"/>
              <w:rPr>
                <w:rFonts w:ascii="Times New Roman" w:hAnsi="Times New Roman"/>
                <w:lang w:val="en-US"/>
              </w:rPr>
            </w:pPr>
            <w:r w:rsidRPr="007D770B">
              <w:rPr>
                <w:rFonts w:ascii="Times New Roman" w:hAnsi="Times New Roman"/>
                <w:lang w:val="en-US"/>
              </w:rPr>
              <w:lastRenderedPageBreak/>
              <w:t xml:space="preserve">If a puttable instrument provides a fixed or limited return because of an interaction with other instruments issued by the </w:t>
            </w:r>
            <w:r w:rsidRPr="007D770B">
              <w:rPr>
                <w:rFonts w:ascii="Times New Roman" w:hAnsi="Times New Roman"/>
                <w:lang w:val="en-US"/>
              </w:rPr>
              <w:lastRenderedPageBreak/>
              <w:t xml:space="preserve">entity (e.g., the other instrument participates in a share of net assets), the instrument is not equity. </w:t>
            </w:r>
          </w:p>
          <w:p w14:paraId="306903A1" w14:textId="77777777" w:rsidR="00331FED" w:rsidRPr="007D770B" w:rsidRDefault="00331FED" w:rsidP="008D54EC">
            <w:pPr>
              <w:spacing w:after="0" w:line="240" w:lineRule="auto"/>
              <w:ind w:left="43" w:right="124"/>
              <w:rPr>
                <w:rFonts w:ascii="Times New Roman" w:hAnsi="Times New Roman"/>
                <w:lang w:val="en-US"/>
              </w:rPr>
            </w:pPr>
            <w:r w:rsidRPr="007D770B">
              <w:rPr>
                <w:rFonts w:ascii="Times New Roman" w:hAnsi="Times New Roman"/>
                <w:lang w:val="en-US"/>
              </w:rPr>
              <w:t xml:space="preserve">A non-financial contract with an instrument holder should be disregarded if that contract has the same terms and conditions as a contract with a party that is not the instrument holder. </w:t>
            </w:r>
          </w:p>
        </w:tc>
      </w:tr>
      <w:tr w:rsidR="00331FED" w:rsidRPr="00E60FFF" w14:paraId="05143686" w14:textId="77777777" w:rsidTr="008D54EC">
        <w:trPr>
          <w:trHeight w:val="20"/>
        </w:trPr>
        <w:tc>
          <w:tcPr>
            <w:tcW w:w="2468"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14:paraId="38CAB228" w14:textId="77777777" w:rsidR="00331FED" w:rsidRPr="007D770B" w:rsidRDefault="00331FED" w:rsidP="008D54EC">
            <w:pPr>
              <w:spacing w:after="0" w:line="240" w:lineRule="auto"/>
              <w:ind w:left="86" w:right="136"/>
              <w:rPr>
                <w:rFonts w:ascii="Times New Roman" w:hAnsi="Times New Roman"/>
                <w:lang w:val="en-US"/>
              </w:rPr>
            </w:pPr>
            <w:r w:rsidRPr="007D770B">
              <w:rPr>
                <w:rFonts w:ascii="Times New Roman" w:hAnsi="Times New Roman"/>
                <w:lang w:val="en-US"/>
              </w:rPr>
              <w:lastRenderedPageBreak/>
              <w:t xml:space="preserve">6. For put instruments only, the instrument must not contain any characteristics of the liability other than the put option itself. </w:t>
            </w:r>
          </w:p>
        </w:tc>
        <w:tc>
          <w:tcPr>
            <w:tcW w:w="2532"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14:paraId="53218451" w14:textId="77777777" w:rsidR="00331FED" w:rsidRPr="007D770B" w:rsidRDefault="00331FED" w:rsidP="008D54EC">
            <w:pPr>
              <w:spacing w:after="0" w:line="240" w:lineRule="auto"/>
              <w:ind w:left="43" w:right="124"/>
              <w:rPr>
                <w:rFonts w:ascii="Times New Roman" w:hAnsi="Times New Roman"/>
                <w:lang w:val="en-US"/>
              </w:rPr>
            </w:pPr>
            <w:r w:rsidRPr="007D770B">
              <w:rPr>
                <w:rFonts w:ascii="Times New Roman" w:hAnsi="Times New Roman"/>
                <w:lang w:val="en-US"/>
              </w:rPr>
              <w:t xml:space="preserve">An instrument with an early redemption right cannot have a contractual obligation other than the put option itself and therefore cannot be a compound instrument. However, for instruments with obligations arising on liquidation, there is no requirement for other contractual obligations and therefore the instrument may be a compound instrument. </w:t>
            </w:r>
          </w:p>
          <w:p w14:paraId="47DE04D2" w14:textId="77777777" w:rsidR="00331FED" w:rsidRPr="007D770B" w:rsidRDefault="00331FED" w:rsidP="008D54EC">
            <w:pPr>
              <w:spacing w:after="0" w:line="240" w:lineRule="auto"/>
              <w:ind w:left="43" w:right="124"/>
              <w:rPr>
                <w:rFonts w:ascii="Times New Roman" w:hAnsi="Times New Roman"/>
                <w:lang w:val="en-US"/>
              </w:rPr>
            </w:pPr>
            <w:r w:rsidRPr="007D770B">
              <w:rPr>
                <w:rFonts w:ascii="Times New Roman" w:hAnsi="Times New Roman"/>
                <w:lang w:val="en-US"/>
              </w:rPr>
              <w:t>So, for example, an instrument with an early redemption right that has a liability:</w:t>
            </w:r>
          </w:p>
          <w:p w14:paraId="2B6BCD9F" w14:textId="77777777" w:rsidR="00331FED" w:rsidRPr="007D770B" w:rsidRDefault="00331FED" w:rsidP="00AE698A">
            <w:pPr>
              <w:numPr>
                <w:ilvl w:val="0"/>
                <w:numId w:val="31"/>
              </w:numPr>
              <w:spacing w:after="0" w:line="240" w:lineRule="auto"/>
              <w:ind w:right="124"/>
              <w:jc w:val="left"/>
              <w:rPr>
                <w:rFonts w:ascii="Times New Roman" w:hAnsi="Times New Roman"/>
                <w:lang w:val="en-US"/>
              </w:rPr>
            </w:pPr>
            <w:r w:rsidRPr="007D770B">
              <w:rPr>
                <w:rFonts w:ascii="Times New Roman" w:hAnsi="Times New Roman"/>
                <w:lang w:val="en-US"/>
              </w:rPr>
              <w:t xml:space="preserve">distribute current period profits at the request of each holder on the basis of a pro rata share of the organization's profits; or </w:t>
            </w:r>
          </w:p>
          <w:p w14:paraId="61BC24BA" w14:textId="77777777" w:rsidR="00331FED" w:rsidRPr="007D770B" w:rsidRDefault="00331FED" w:rsidP="00AE698A">
            <w:pPr>
              <w:numPr>
                <w:ilvl w:val="0"/>
                <w:numId w:val="31"/>
              </w:numPr>
              <w:spacing w:after="0" w:line="240" w:lineRule="auto"/>
              <w:ind w:right="124"/>
              <w:jc w:val="left"/>
              <w:rPr>
                <w:rFonts w:ascii="Times New Roman" w:hAnsi="Times New Roman"/>
                <w:lang w:val="en-US"/>
              </w:rPr>
            </w:pPr>
            <w:r w:rsidRPr="007D770B">
              <w:rPr>
                <w:rFonts w:ascii="Times New Roman" w:hAnsi="Times New Roman"/>
                <w:lang w:val="en-US"/>
              </w:rPr>
              <w:t xml:space="preserve">Allocate all taxable income as required by the organization's regulations </w:t>
            </w:r>
          </w:p>
          <w:p w14:paraId="09D9D6DB" w14:textId="77777777" w:rsidR="00331FED" w:rsidRPr="007D770B" w:rsidRDefault="00331FED" w:rsidP="008D54EC">
            <w:pPr>
              <w:spacing w:after="0" w:line="240" w:lineRule="auto"/>
              <w:ind w:left="0" w:right="124"/>
              <w:rPr>
                <w:rFonts w:ascii="Times New Roman" w:hAnsi="Times New Roman"/>
                <w:lang w:val="en-US"/>
              </w:rPr>
            </w:pPr>
            <w:r w:rsidRPr="007D770B">
              <w:rPr>
                <w:rFonts w:ascii="Times New Roman" w:hAnsi="Times New Roman"/>
                <w:lang w:val="en-US"/>
              </w:rPr>
              <w:t>cannot be classified as an equity instrument.</w:t>
            </w:r>
          </w:p>
        </w:tc>
      </w:tr>
    </w:tbl>
    <w:p w14:paraId="737C7789" w14:textId="77777777" w:rsidR="00331FED" w:rsidRPr="007D770B" w:rsidRDefault="00331FED" w:rsidP="00331FED">
      <w:pPr>
        <w:autoSpaceDE w:val="0"/>
        <w:autoSpaceDN w:val="0"/>
        <w:adjustRightInd w:val="0"/>
        <w:spacing w:before="240" w:line="240" w:lineRule="auto"/>
        <w:ind w:left="0"/>
        <w:rPr>
          <w:rFonts w:ascii="Times New Roman" w:hAnsi="Times New Roman"/>
          <w:b/>
          <w:i/>
          <w:lang w:val="en-US"/>
        </w:rPr>
      </w:pPr>
      <w:r w:rsidRPr="007D770B">
        <w:rPr>
          <w:rFonts w:ascii="Times New Roman" w:hAnsi="Times New Roman"/>
          <w:b/>
          <w:i/>
          <w:lang w:val="en-US"/>
        </w:rPr>
        <w:t>No contractual obligation to deliver cash or another financial asset</w:t>
      </w:r>
    </w:p>
    <w:p w14:paraId="0902C034" w14:textId="77777777" w:rsidR="00331FED" w:rsidRPr="007D770B" w:rsidRDefault="00331FED" w:rsidP="00331FED">
      <w:pPr>
        <w:autoSpaceDE w:val="0"/>
        <w:autoSpaceDN w:val="0"/>
        <w:adjustRightInd w:val="0"/>
        <w:spacing w:line="240" w:lineRule="auto"/>
        <w:ind w:left="0"/>
        <w:rPr>
          <w:rFonts w:ascii="Times New Roman" w:hAnsi="Times New Roman"/>
          <w:lang w:val="en-US"/>
        </w:rPr>
      </w:pPr>
      <w:r w:rsidRPr="007D770B">
        <w:rPr>
          <w:rFonts w:ascii="Times New Roman" w:hAnsi="Times New Roman"/>
          <w:lang w:val="en-US"/>
        </w:rPr>
        <w:t>Except for the conditions described in the paragraphs above for puttable instruments, the most important feature of a financial liability that distinguishes it from an equity instrument is the existence of a contractual obligation for one party to the financial instrument (the issuer) to transfer cash or another financial asset to the other party (the holder), or to exchange financial assets or financial liabilities with the holder on terms that are potentially unfavorable to the issuer. Although the holder of an equity instrument may be entitled to receive a pro rata share of dividends or other distributions from equity, the issuer has no contractual obligation to make such distributions because it cannot be required to transfer cash or another financial asset to another party.</w:t>
      </w:r>
    </w:p>
    <w:p w14:paraId="49944110" w14:textId="77777777" w:rsidR="00331FED" w:rsidRPr="007D770B" w:rsidRDefault="00331FED" w:rsidP="00331FED">
      <w:pPr>
        <w:autoSpaceDE w:val="0"/>
        <w:autoSpaceDN w:val="0"/>
        <w:adjustRightInd w:val="0"/>
        <w:spacing w:line="240" w:lineRule="auto"/>
        <w:ind w:left="0"/>
        <w:rPr>
          <w:rFonts w:ascii="Times New Roman" w:hAnsi="Times New Roman"/>
          <w:lang w:val="en-US"/>
        </w:rPr>
      </w:pPr>
      <w:r w:rsidRPr="007D770B">
        <w:rPr>
          <w:rFonts w:ascii="Times New Roman" w:hAnsi="Times New Roman"/>
          <w:lang w:val="en-US"/>
        </w:rPr>
        <w:t xml:space="preserve">The classification of a financial instrument in the Bank's statement of financial position is determined by its substance rather than its legal form. The substance usually corresponds to the legal form, but not always. Some financial instruments have the legal form of equity but the substance of the instrument is a liability, while others may have a combination of the features of both equity instruments and financial liabilities. </w:t>
      </w:r>
    </w:p>
    <w:p w14:paraId="5790E92A" w14:textId="77777777" w:rsidR="00331FED" w:rsidRPr="00F41327" w:rsidRDefault="00331FED" w:rsidP="00331FED">
      <w:pPr>
        <w:autoSpaceDE w:val="0"/>
        <w:autoSpaceDN w:val="0"/>
        <w:adjustRightInd w:val="0"/>
        <w:spacing w:line="240" w:lineRule="auto"/>
        <w:ind w:left="0"/>
        <w:rPr>
          <w:rFonts w:ascii="Times New Roman" w:hAnsi="Times New Roman"/>
        </w:rPr>
      </w:pPr>
      <w:r w:rsidRPr="007D770B">
        <w:rPr>
          <w:rFonts w:ascii="Times New Roman" w:hAnsi="Times New Roman"/>
          <w:lang w:val="en-US"/>
        </w:rPr>
        <w:t xml:space="preserve">If the Bank does not have an unconditional right to avoid transferring cash or another financial asset to settle a contractual obligation, then the obligation meets the definition of a financial liability, except for instruments classified as equity instruments in accordance with the paragraphs above. </w:t>
      </w:r>
      <w:r w:rsidRPr="00F41327">
        <w:rPr>
          <w:rFonts w:ascii="Times New Roman" w:hAnsi="Times New Roman"/>
        </w:rPr>
        <w:t>For example:</w:t>
      </w:r>
    </w:p>
    <w:p w14:paraId="6D4DCEBD" w14:textId="77777777" w:rsidR="00331FED" w:rsidRPr="007D770B" w:rsidRDefault="00331FED" w:rsidP="00AE698A">
      <w:pPr>
        <w:pStyle w:val="aa"/>
        <w:numPr>
          <w:ilvl w:val="0"/>
          <w:numId w:val="273"/>
        </w:numPr>
        <w:autoSpaceDE w:val="0"/>
        <w:autoSpaceDN w:val="0"/>
        <w:adjustRightInd w:val="0"/>
        <w:spacing w:line="240" w:lineRule="auto"/>
        <w:contextualSpacing w:val="0"/>
        <w:rPr>
          <w:rFonts w:ascii="Times New Roman" w:hAnsi="Times New Roman"/>
          <w:lang w:val="en-US"/>
        </w:rPr>
      </w:pPr>
      <w:r w:rsidRPr="007D770B">
        <w:rPr>
          <w:rFonts w:ascii="Times New Roman" w:hAnsi="Times New Roman"/>
          <w:lang w:val="en-US"/>
        </w:rPr>
        <w:t>a limitation on the Bank's ability to meet a contractual obligation, such as the unavailability of foreign currency or the need to obtain regulatory approval for a payment, does not relieve the Bank of its contractual obligations or terminate the holder's contractual rights under the instrument;</w:t>
      </w:r>
    </w:p>
    <w:p w14:paraId="5D012ABC" w14:textId="77777777" w:rsidR="00331FED" w:rsidRPr="007D770B" w:rsidRDefault="00331FED" w:rsidP="00AE698A">
      <w:pPr>
        <w:pStyle w:val="aa"/>
        <w:numPr>
          <w:ilvl w:val="0"/>
          <w:numId w:val="273"/>
        </w:numPr>
        <w:autoSpaceDE w:val="0"/>
        <w:autoSpaceDN w:val="0"/>
        <w:adjustRightInd w:val="0"/>
        <w:spacing w:line="240" w:lineRule="auto"/>
        <w:contextualSpacing w:val="0"/>
        <w:rPr>
          <w:rFonts w:ascii="Times New Roman" w:hAnsi="Times New Roman"/>
          <w:lang w:val="en-US"/>
        </w:rPr>
      </w:pPr>
      <w:r w:rsidRPr="007D770B">
        <w:rPr>
          <w:rFonts w:ascii="Times New Roman" w:hAnsi="Times New Roman"/>
          <w:lang w:val="en-US"/>
        </w:rPr>
        <w:t>a contractual obligation that is contingent upon the other party to the transaction exercising its right of redemption is a financial liability because the Bank does not have an unconditional right to avoid delivering cash or another financial asset.</w:t>
      </w:r>
    </w:p>
    <w:p w14:paraId="10D154BA" w14:textId="77777777" w:rsidR="00331FED" w:rsidRPr="007D770B" w:rsidRDefault="00331FED" w:rsidP="00331FED">
      <w:pPr>
        <w:pStyle w:val="aa"/>
        <w:autoSpaceDE w:val="0"/>
        <w:autoSpaceDN w:val="0"/>
        <w:adjustRightInd w:val="0"/>
        <w:spacing w:line="240" w:lineRule="auto"/>
        <w:ind w:left="0"/>
        <w:contextualSpacing w:val="0"/>
        <w:rPr>
          <w:rFonts w:ascii="Times New Roman" w:hAnsi="Times New Roman"/>
          <w:lang w:val="en-US"/>
        </w:rPr>
      </w:pPr>
      <w:r w:rsidRPr="007D770B">
        <w:rPr>
          <w:rFonts w:ascii="Times New Roman" w:hAnsi="Times New Roman"/>
          <w:lang w:val="en-US"/>
        </w:rPr>
        <w:t xml:space="preserve">A financial instrument that does not explicitly create a contractual obligation to deliver cash or another financial asset may establish it implicitly through terms and conditions. </w:t>
      </w:r>
    </w:p>
    <w:p w14:paraId="49AC22A9" w14:textId="77777777" w:rsidR="00331FED" w:rsidRPr="00F41327" w:rsidRDefault="00331FED" w:rsidP="00331FED">
      <w:pPr>
        <w:pStyle w:val="aa"/>
        <w:autoSpaceDE w:val="0"/>
        <w:autoSpaceDN w:val="0"/>
        <w:adjustRightInd w:val="0"/>
        <w:spacing w:line="240" w:lineRule="auto"/>
        <w:ind w:left="0"/>
        <w:contextualSpacing w:val="0"/>
        <w:rPr>
          <w:rFonts w:ascii="Times New Roman" w:hAnsi="Times New Roman"/>
        </w:rPr>
      </w:pPr>
      <w:r w:rsidRPr="00F41327">
        <w:rPr>
          <w:rFonts w:ascii="Times New Roman" w:hAnsi="Times New Roman"/>
        </w:rPr>
        <w:t>For example:</w:t>
      </w:r>
    </w:p>
    <w:p w14:paraId="6BBA84FC" w14:textId="77777777" w:rsidR="00331FED" w:rsidRPr="007D770B" w:rsidRDefault="00331FED" w:rsidP="00AE698A">
      <w:pPr>
        <w:pStyle w:val="aa"/>
        <w:numPr>
          <w:ilvl w:val="0"/>
          <w:numId w:val="274"/>
        </w:numPr>
        <w:autoSpaceDE w:val="0"/>
        <w:autoSpaceDN w:val="0"/>
        <w:adjustRightInd w:val="0"/>
        <w:spacing w:line="240" w:lineRule="auto"/>
        <w:contextualSpacing w:val="0"/>
        <w:rPr>
          <w:rFonts w:ascii="Times New Roman" w:hAnsi="Times New Roman"/>
          <w:lang w:val="en-US"/>
        </w:rPr>
      </w:pPr>
      <w:r w:rsidRPr="007D770B">
        <w:rPr>
          <w:rFonts w:ascii="Times New Roman" w:hAnsi="Times New Roman"/>
          <w:lang w:val="en-US"/>
        </w:rPr>
        <w:t>a financial instrument may contain a non-financial liability that must be extinguished when, and only when, the Bank fails to make a distribution or redeem the instrument. If the Bank can avoid a transfer of cash or another financial asset only by extinguishing a non-financial liability, the financial instrument is a financial liability;</w:t>
      </w:r>
    </w:p>
    <w:p w14:paraId="6D8C9E59" w14:textId="77777777" w:rsidR="00331FED" w:rsidRPr="007D770B" w:rsidRDefault="00331FED" w:rsidP="00AE698A">
      <w:pPr>
        <w:pStyle w:val="aa"/>
        <w:numPr>
          <w:ilvl w:val="0"/>
          <w:numId w:val="274"/>
        </w:numPr>
        <w:autoSpaceDE w:val="0"/>
        <w:autoSpaceDN w:val="0"/>
        <w:adjustRightInd w:val="0"/>
        <w:spacing w:line="240" w:lineRule="auto"/>
        <w:contextualSpacing w:val="0"/>
        <w:rPr>
          <w:rFonts w:ascii="Times New Roman" w:hAnsi="Times New Roman"/>
          <w:lang w:val="en-US"/>
        </w:rPr>
      </w:pPr>
      <w:r w:rsidRPr="007D770B">
        <w:rPr>
          <w:rFonts w:ascii="Times New Roman" w:hAnsi="Times New Roman"/>
          <w:lang w:val="en-US"/>
        </w:rPr>
        <w:t>a financial instrument is a financial liability if its terms require that the Bank transfers upon maturity:</w:t>
      </w:r>
    </w:p>
    <w:p w14:paraId="46A39E43" w14:textId="77777777" w:rsidR="00331FED" w:rsidRPr="007D770B" w:rsidRDefault="00331FED" w:rsidP="00AE698A">
      <w:pPr>
        <w:numPr>
          <w:ilvl w:val="0"/>
          <w:numId w:val="275"/>
        </w:numPr>
        <w:autoSpaceDE w:val="0"/>
        <w:autoSpaceDN w:val="0"/>
        <w:adjustRightInd w:val="0"/>
        <w:spacing w:line="240" w:lineRule="auto"/>
        <w:ind w:left="1080"/>
        <w:rPr>
          <w:rFonts w:ascii="Times New Roman" w:hAnsi="Times New Roman"/>
          <w:lang w:val="en-US"/>
        </w:rPr>
      </w:pPr>
      <w:r w:rsidRPr="007D770B">
        <w:rPr>
          <w:rFonts w:ascii="Times New Roman" w:hAnsi="Times New Roman"/>
          <w:lang w:val="en-US"/>
        </w:rPr>
        <w:t>either cash or another financial asset; or</w:t>
      </w:r>
    </w:p>
    <w:p w14:paraId="0DFB59C4" w14:textId="77777777" w:rsidR="00331FED" w:rsidRPr="007D770B" w:rsidRDefault="00331FED" w:rsidP="00AE698A">
      <w:pPr>
        <w:numPr>
          <w:ilvl w:val="0"/>
          <w:numId w:val="275"/>
        </w:numPr>
        <w:autoSpaceDE w:val="0"/>
        <w:autoSpaceDN w:val="0"/>
        <w:adjustRightInd w:val="0"/>
        <w:spacing w:line="240" w:lineRule="auto"/>
        <w:ind w:left="1080"/>
        <w:rPr>
          <w:rFonts w:ascii="Times New Roman" w:hAnsi="Times New Roman"/>
          <w:lang w:val="en-US"/>
        </w:rPr>
      </w:pPr>
      <w:r w:rsidRPr="007D770B">
        <w:rPr>
          <w:rFonts w:ascii="Times New Roman" w:hAnsi="Times New Roman"/>
          <w:lang w:val="en-US"/>
        </w:rPr>
        <w:lastRenderedPageBreak/>
        <w:t>its own shares, the value of which would be substantially in excess of cash or another financial asset.</w:t>
      </w:r>
    </w:p>
    <w:p w14:paraId="7EAF7D7B" w14:textId="77777777" w:rsidR="00331FED" w:rsidRPr="007D770B" w:rsidRDefault="00331FED" w:rsidP="00331FED">
      <w:pPr>
        <w:autoSpaceDE w:val="0"/>
        <w:autoSpaceDN w:val="0"/>
        <w:adjustRightInd w:val="0"/>
        <w:spacing w:line="240" w:lineRule="auto"/>
        <w:ind w:left="0"/>
        <w:rPr>
          <w:rFonts w:ascii="Times New Roman" w:hAnsi="Times New Roman"/>
          <w:lang w:val="en-US"/>
        </w:rPr>
      </w:pPr>
      <w:r w:rsidRPr="007D770B">
        <w:rPr>
          <w:rFonts w:ascii="Times New Roman" w:hAnsi="Times New Roman"/>
          <w:lang w:val="en-US"/>
        </w:rPr>
        <w:t>Although the Bank has no explicit contractual obligation to deliver cash or another financial asset, the amount to be settled in shares is such that the Bank will settle in cash. In either case, the holder is essentially guaranteed to receive an amount that is at least equal to the amount settled in cash.</w:t>
      </w:r>
    </w:p>
    <w:p w14:paraId="2D6DCA40" w14:textId="77777777" w:rsidR="00331FED" w:rsidRPr="007D770B" w:rsidRDefault="00331FED" w:rsidP="00331FED">
      <w:pPr>
        <w:autoSpaceDE w:val="0"/>
        <w:autoSpaceDN w:val="0"/>
        <w:adjustRightInd w:val="0"/>
        <w:spacing w:line="240" w:lineRule="auto"/>
        <w:ind w:left="0"/>
        <w:rPr>
          <w:rFonts w:ascii="Times New Roman" w:hAnsi="Times New Roman"/>
          <w:b/>
          <w:i/>
          <w:lang w:val="en-US"/>
        </w:rPr>
      </w:pPr>
      <w:r w:rsidRPr="007D770B">
        <w:rPr>
          <w:rFonts w:ascii="Times New Roman" w:hAnsi="Times New Roman"/>
          <w:b/>
          <w:i/>
          <w:lang w:val="en-US"/>
        </w:rPr>
        <w:t xml:space="preserve">Settlement with own equity instruments </w:t>
      </w:r>
    </w:p>
    <w:p w14:paraId="67F4C8BF" w14:textId="6D513893" w:rsidR="00331FED" w:rsidRPr="007D770B" w:rsidRDefault="00331FED" w:rsidP="00331FED">
      <w:pPr>
        <w:autoSpaceDE w:val="0"/>
        <w:autoSpaceDN w:val="0"/>
        <w:adjustRightInd w:val="0"/>
        <w:spacing w:line="240" w:lineRule="auto"/>
        <w:ind w:left="0"/>
        <w:rPr>
          <w:rFonts w:ascii="Times New Roman" w:hAnsi="Times New Roman"/>
          <w:lang w:val="en-US"/>
        </w:rPr>
      </w:pPr>
      <w:r w:rsidRPr="007D770B">
        <w:rPr>
          <w:rFonts w:ascii="Times New Roman" w:hAnsi="Times New Roman"/>
          <w:lang w:val="en-US"/>
        </w:rPr>
        <w:t xml:space="preserve">A contract is not an equity instrument solely because it may result in the Bank receiving or giving up its own equity instruments. The Bank may have a contractual right or obligation to receive or transfer its own shares or other equity instruments in an amount that varies so that the fair value of the Bank's own </w:t>
      </w:r>
      <w:r w:rsidR="00EE3CCF" w:rsidRPr="007D770B">
        <w:rPr>
          <w:rFonts w:ascii="Times New Roman" w:hAnsi="Times New Roman"/>
          <w:lang w:val="en-US"/>
        </w:rPr>
        <w:t xml:space="preserve">equity instruments </w:t>
      </w:r>
      <w:r w:rsidRPr="007D770B">
        <w:rPr>
          <w:rFonts w:ascii="Times New Roman" w:hAnsi="Times New Roman"/>
          <w:lang w:val="en-US"/>
        </w:rPr>
        <w:t xml:space="preserve">to be received or transferred equals the amount of the contractual right or obligation. </w:t>
      </w:r>
    </w:p>
    <w:p w14:paraId="34C63CE0" w14:textId="77777777" w:rsidR="00331FED" w:rsidRPr="007D770B" w:rsidRDefault="00331FED" w:rsidP="00331FED">
      <w:pPr>
        <w:autoSpaceDE w:val="0"/>
        <w:autoSpaceDN w:val="0"/>
        <w:adjustRightInd w:val="0"/>
        <w:spacing w:line="240" w:lineRule="auto"/>
        <w:ind w:left="0"/>
        <w:rPr>
          <w:rFonts w:ascii="Times New Roman" w:hAnsi="Times New Roman"/>
          <w:lang w:val="en-US"/>
        </w:rPr>
      </w:pPr>
      <w:r w:rsidRPr="007D770B">
        <w:rPr>
          <w:rFonts w:ascii="Times New Roman" w:hAnsi="Times New Roman"/>
          <w:lang w:val="en-US"/>
        </w:rPr>
        <w:t xml:space="preserve">The contractual right or obligation may be a fixed amount or an amount that varies, in part or in full, in response to changes in a variable other than the market price of the Bank's own equity instruments (e.g. interest rate, quoted market price of a commodity or financial instrument). </w:t>
      </w:r>
    </w:p>
    <w:p w14:paraId="341A3006" w14:textId="77777777" w:rsidR="00331FED" w:rsidRPr="007D770B" w:rsidRDefault="00331FED" w:rsidP="00331FED">
      <w:pPr>
        <w:autoSpaceDE w:val="0"/>
        <w:autoSpaceDN w:val="0"/>
        <w:adjustRightInd w:val="0"/>
        <w:spacing w:line="240" w:lineRule="auto"/>
        <w:ind w:left="0"/>
        <w:rPr>
          <w:rFonts w:ascii="Times New Roman" w:hAnsi="Times New Roman"/>
          <w:lang w:val="en-US"/>
        </w:rPr>
      </w:pPr>
      <w:r w:rsidRPr="007D770B">
        <w:rPr>
          <w:rFonts w:ascii="Times New Roman" w:hAnsi="Times New Roman"/>
          <w:lang w:val="en-US"/>
        </w:rPr>
        <w:t xml:space="preserve">Two examples of such contracts are: </w:t>
      </w:r>
    </w:p>
    <w:p w14:paraId="6BB11711" w14:textId="77777777" w:rsidR="00331FED" w:rsidRPr="007D770B" w:rsidRDefault="00331FED" w:rsidP="00AE698A">
      <w:pPr>
        <w:numPr>
          <w:ilvl w:val="0"/>
          <w:numId w:val="276"/>
        </w:numPr>
        <w:autoSpaceDE w:val="0"/>
        <w:autoSpaceDN w:val="0"/>
        <w:adjustRightInd w:val="0"/>
        <w:spacing w:line="240" w:lineRule="auto"/>
        <w:rPr>
          <w:rFonts w:ascii="Times New Roman" w:hAnsi="Times New Roman"/>
          <w:lang w:val="en-US"/>
        </w:rPr>
      </w:pPr>
      <w:r w:rsidRPr="007D770B">
        <w:rPr>
          <w:rFonts w:ascii="Times New Roman" w:hAnsi="Times New Roman"/>
          <w:lang w:val="en-US"/>
        </w:rPr>
        <w:t>a contract to deliver the entity's own equity instruments with an aggregate value equal to 100 US dollars, and</w:t>
      </w:r>
    </w:p>
    <w:p w14:paraId="03CECC8F" w14:textId="77777777" w:rsidR="00331FED" w:rsidRPr="007D770B" w:rsidRDefault="00331FED" w:rsidP="00AE698A">
      <w:pPr>
        <w:numPr>
          <w:ilvl w:val="0"/>
          <w:numId w:val="276"/>
        </w:numPr>
        <w:autoSpaceDE w:val="0"/>
        <w:autoSpaceDN w:val="0"/>
        <w:adjustRightInd w:val="0"/>
        <w:spacing w:line="240" w:lineRule="auto"/>
        <w:rPr>
          <w:rFonts w:ascii="Times New Roman" w:hAnsi="Times New Roman"/>
          <w:lang w:val="en-US"/>
        </w:rPr>
      </w:pPr>
      <w:r w:rsidRPr="007D770B">
        <w:rPr>
          <w:rFonts w:ascii="Times New Roman" w:hAnsi="Times New Roman"/>
          <w:lang w:val="en-US"/>
        </w:rPr>
        <w:t xml:space="preserve">an agreement to deliver the entity's own equity instruments with an aggregate value equal to the value of 100 ounces of gold. </w:t>
      </w:r>
    </w:p>
    <w:p w14:paraId="2F8A3449" w14:textId="77777777" w:rsidR="00331FED" w:rsidRPr="007D770B" w:rsidRDefault="00331FED" w:rsidP="00331FED">
      <w:pPr>
        <w:autoSpaceDE w:val="0"/>
        <w:autoSpaceDN w:val="0"/>
        <w:adjustRightInd w:val="0"/>
        <w:spacing w:line="240" w:lineRule="auto"/>
        <w:ind w:left="0"/>
        <w:rPr>
          <w:rFonts w:ascii="Times New Roman" w:hAnsi="Times New Roman"/>
          <w:lang w:val="en-US"/>
        </w:rPr>
      </w:pPr>
      <w:r w:rsidRPr="007D770B">
        <w:rPr>
          <w:rFonts w:ascii="Times New Roman" w:hAnsi="Times New Roman"/>
          <w:lang w:val="en-US"/>
        </w:rPr>
        <w:t xml:space="preserve">Such contracts are a financial liability of the Bank, even though the Bank is obliged or able to extinguish it by delivering its own equity instruments. </w:t>
      </w:r>
    </w:p>
    <w:p w14:paraId="6404A00C" w14:textId="77777777" w:rsidR="00331FED" w:rsidRPr="007D770B" w:rsidRDefault="00331FED" w:rsidP="00331FED">
      <w:pPr>
        <w:autoSpaceDE w:val="0"/>
        <w:autoSpaceDN w:val="0"/>
        <w:adjustRightInd w:val="0"/>
        <w:spacing w:line="240" w:lineRule="auto"/>
        <w:ind w:left="0"/>
        <w:rPr>
          <w:rFonts w:ascii="Times New Roman" w:hAnsi="Times New Roman"/>
          <w:lang w:val="en-US"/>
        </w:rPr>
      </w:pPr>
      <w:r w:rsidRPr="007D770B">
        <w:rPr>
          <w:rFonts w:ascii="Times New Roman" w:hAnsi="Times New Roman"/>
          <w:lang w:val="en-US"/>
        </w:rPr>
        <w:t>The contract is not an equity instrument because the Bank uses a variable number of its own equity instruments to settle the contract. Accordingly, the contract does not represent the Bank's residual interest in the assets of the Bank after deducting all of its liabilities.</w:t>
      </w:r>
    </w:p>
    <w:p w14:paraId="207CC9CC" w14:textId="77777777" w:rsidR="00331FED" w:rsidRPr="007D770B" w:rsidRDefault="00331FED" w:rsidP="00331FED">
      <w:pPr>
        <w:autoSpaceDE w:val="0"/>
        <w:autoSpaceDN w:val="0"/>
        <w:adjustRightInd w:val="0"/>
        <w:spacing w:line="240" w:lineRule="auto"/>
        <w:ind w:left="0"/>
        <w:rPr>
          <w:rFonts w:ascii="Times New Roman" w:hAnsi="Times New Roman"/>
          <w:lang w:val="en-US"/>
        </w:rPr>
      </w:pPr>
      <w:r w:rsidRPr="007D770B">
        <w:rPr>
          <w:rFonts w:ascii="Times New Roman" w:hAnsi="Times New Roman"/>
          <w:lang w:val="en-US"/>
        </w:rPr>
        <w:t xml:space="preserve">A contract that will be settled by the Bank by giving (or receiving) a fixed number of its own equity instruments in exchange for a fixed amount of cash or another financial asset is an equity instrument. </w:t>
      </w:r>
    </w:p>
    <w:p w14:paraId="6E565DFD" w14:textId="77777777" w:rsidR="00331FED" w:rsidRPr="007D770B" w:rsidRDefault="00331FED" w:rsidP="00331FED">
      <w:pPr>
        <w:autoSpaceDE w:val="0"/>
        <w:autoSpaceDN w:val="0"/>
        <w:adjustRightInd w:val="0"/>
        <w:spacing w:line="240" w:lineRule="auto"/>
        <w:ind w:left="0"/>
        <w:rPr>
          <w:rFonts w:ascii="Times New Roman" w:hAnsi="Times New Roman"/>
          <w:lang w:val="en-US"/>
        </w:rPr>
      </w:pPr>
      <w:r w:rsidRPr="007D770B">
        <w:rPr>
          <w:rFonts w:ascii="Times New Roman" w:hAnsi="Times New Roman"/>
          <w:lang w:val="en-US"/>
        </w:rPr>
        <w:t xml:space="preserve">For example, a stock option issued that entitles the counterparty to purchase a fixed number of shares of the Bank at a fixed price or in exchange for bonds with a fixed principal amount is an equity instrument. </w:t>
      </w:r>
    </w:p>
    <w:p w14:paraId="0260ACAC" w14:textId="77777777" w:rsidR="00331FED" w:rsidRPr="007D770B" w:rsidRDefault="00331FED" w:rsidP="00331FED">
      <w:pPr>
        <w:autoSpaceDE w:val="0"/>
        <w:autoSpaceDN w:val="0"/>
        <w:adjustRightInd w:val="0"/>
        <w:spacing w:line="240" w:lineRule="auto"/>
        <w:ind w:left="0"/>
        <w:rPr>
          <w:rFonts w:ascii="Times New Roman" w:hAnsi="Times New Roman"/>
          <w:lang w:val="en-US"/>
        </w:rPr>
      </w:pPr>
      <w:r w:rsidRPr="007D770B">
        <w:rPr>
          <w:rFonts w:ascii="Times New Roman" w:hAnsi="Times New Roman"/>
          <w:lang w:val="en-US"/>
        </w:rPr>
        <w:t xml:space="preserve">Changes in the fair value of a contract as a result of fluctuations in market interest rates that do not affect the amount of cash or another asset to be paid or received, or the number of equity instruments to be received or given, on settlement of the contract do not prevent the contract from being classified as an equity instrument. </w:t>
      </w:r>
    </w:p>
    <w:p w14:paraId="51CCFC67" w14:textId="77777777" w:rsidR="00331FED" w:rsidRPr="007D770B" w:rsidRDefault="00331FED" w:rsidP="00331FED">
      <w:pPr>
        <w:autoSpaceDE w:val="0"/>
        <w:autoSpaceDN w:val="0"/>
        <w:adjustRightInd w:val="0"/>
        <w:spacing w:line="240" w:lineRule="auto"/>
        <w:ind w:left="0"/>
        <w:rPr>
          <w:rFonts w:ascii="Times New Roman" w:hAnsi="Times New Roman"/>
          <w:lang w:val="en-US"/>
        </w:rPr>
      </w:pPr>
      <w:r w:rsidRPr="007D770B">
        <w:rPr>
          <w:rFonts w:ascii="Times New Roman" w:hAnsi="Times New Roman"/>
          <w:lang w:val="en-US"/>
        </w:rPr>
        <w:t>Any consideration received (such as premium received for an option issued or a warrant over the Bank's own shares) is recognized directly in equity. Consideration paid (such as the premium paid for an option purchased) is deducted directly from equity. Changes in the fair value of an equity instrument are not recognized in the financial statements.</w:t>
      </w:r>
    </w:p>
    <w:p w14:paraId="3FFBE4EB" w14:textId="77777777" w:rsidR="00331FED" w:rsidRPr="007D770B" w:rsidRDefault="00331FED" w:rsidP="00331FED">
      <w:pPr>
        <w:autoSpaceDE w:val="0"/>
        <w:autoSpaceDN w:val="0"/>
        <w:adjustRightInd w:val="0"/>
        <w:spacing w:line="240" w:lineRule="auto"/>
        <w:ind w:left="0"/>
        <w:rPr>
          <w:lang w:val="en-US"/>
        </w:rPr>
      </w:pPr>
      <w:bookmarkStart w:id="124" w:name="_Toc332982926"/>
      <w:bookmarkStart w:id="125" w:name="_Toc333830883"/>
      <w:bookmarkStart w:id="126" w:name="_Toc335757710"/>
      <w:bookmarkStart w:id="127" w:name="_Toc374457881"/>
      <w:r w:rsidRPr="007D770B">
        <w:rPr>
          <w:rFonts w:ascii="Times New Roman" w:hAnsi="Times New Roman"/>
          <w:b/>
          <w:lang w:val="en-US" w:eastAsia="ru-RU"/>
        </w:rPr>
        <w:t>Combined financial instruments</w:t>
      </w:r>
      <w:bookmarkEnd w:id="124"/>
      <w:bookmarkEnd w:id="125"/>
      <w:bookmarkEnd w:id="126"/>
      <w:bookmarkEnd w:id="127"/>
      <w:r w:rsidRPr="007D770B">
        <w:rPr>
          <w:rFonts w:ascii="Times New Roman" w:hAnsi="Times New Roman"/>
          <w:b/>
          <w:lang w:val="en-US" w:eastAsia="ru-RU"/>
        </w:rPr>
        <w:t xml:space="preserve">       </w:t>
      </w:r>
    </w:p>
    <w:p w14:paraId="3D89F29F" w14:textId="77777777" w:rsidR="00331FED" w:rsidRPr="007D770B" w:rsidRDefault="00331FED" w:rsidP="00331FED">
      <w:pPr>
        <w:autoSpaceDE w:val="0"/>
        <w:autoSpaceDN w:val="0"/>
        <w:adjustRightInd w:val="0"/>
        <w:spacing w:line="240" w:lineRule="auto"/>
        <w:ind w:left="0"/>
        <w:rPr>
          <w:rFonts w:ascii="Times New Roman" w:hAnsi="Times New Roman"/>
          <w:lang w:val="en-US" w:eastAsia="ru-RU"/>
        </w:rPr>
      </w:pPr>
      <w:r w:rsidRPr="007D770B">
        <w:rPr>
          <w:rFonts w:ascii="Times New Roman" w:hAnsi="Times New Roman"/>
          <w:lang w:val="en-US" w:eastAsia="ru-RU"/>
        </w:rPr>
        <w:t xml:space="preserve">Some instruments may combine features of both equity instruments and financial liabilities. Such financial instruments are referred to as compound or combined financial instruments. </w:t>
      </w:r>
    </w:p>
    <w:p w14:paraId="702DA323" w14:textId="77777777" w:rsidR="00331FED" w:rsidRPr="007D770B" w:rsidRDefault="00331FED" w:rsidP="00331FED">
      <w:pPr>
        <w:spacing w:line="240" w:lineRule="auto"/>
        <w:ind w:left="0"/>
        <w:rPr>
          <w:rFonts w:ascii="Times New Roman" w:hAnsi="Times New Roman"/>
          <w:lang w:val="en-US"/>
        </w:rPr>
      </w:pPr>
      <w:r w:rsidRPr="007D770B">
        <w:rPr>
          <w:rFonts w:ascii="Times New Roman" w:hAnsi="Times New Roman"/>
          <w:lang w:val="en-US"/>
        </w:rPr>
        <w:t xml:space="preserve">When a financial instrument includes liability and equity components, the Bank classifies those components separately in accordance with the definitions of a financial liability and an equity instrument. </w:t>
      </w:r>
    </w:p>
    <w:p w14:paraId="21D86CB4" w14:textId="1FD23B4B" w:rsidR="00331FED" w:rsidRPr="007D770B" w:rsidRDefault="00331FED" w:rsidP="00331FED">
      <w:pPr>
        <w:spacing w:line="240" w:lineRule="auto"/>
        <w:ind w:left="0"/>
        <w:rPr>
          <w:rFonts w:ascii="Times New Roman" w:hAnsi="Times New Roman"/>
          <w:lang w:val="en-US"/>
        </w:rPr>
      </w:pPr>
      <w:r w:rsidRPr="007D770B">
        <w:rPr>
          <w:rFonts w:ascii="Times New Roman" w:hAnsi="Times New Roman"/>
          <w:lang w:val="en-US"/>
        </w:rPr>
        <w:t>For example, convertible bonds may include:</w:t>
      </w:r>
    </w:p>
    <w:p w14:paraId="06CEF9F4" w14:textId="77777777" w:rsidR="00331FED" w:rsidRPr="007D770B" w:rsidRDefault="00331FED" w:rsidP="00AE698A">
      <w:pPr>
        <w:numPr>
          <w:ilvl w:val="0"/>
          <w:numId w:val="277"/>
        </w:numPr>
        <w:spacing w:line="240" w:lineRule="auto"/>
        <w:rPr>
          <w:rFonts w:ascii="Times New Roman" w:hAnsi="Times New Roman"/>
          <w:lang w:val="en-US"/>
        </w:rPr>
      </w:pPr>
      <w:r w:rsidRPr="007D770B">
        <w:rPr>
          <w:rFonts w:ascii="Times New Roman" w:hAnsi="Times New Roman"/>
          <w:lang w:val="en-US"/>
        </w:rPr>
        <w:t>the obligation to repay the bonds, which are recorded in financial liabilities, and</w:t>
      </w:r>
    </w:p>
    <w:p w14:paraId="4D57C0D5" w14:textId="77777777" w:rsidR="00331FED" w:rsidRPr="007D770B" w:rsidRDefault="00331FED" w:rsidP="00AE698A">
      <w:pPr>
        <w:numPr>
          <w:ilvl w:val="0"/>
          <w:numId w:val="277"/>
        </w:numPr>
        <w:spacing w:line="240" w:lineRule="auto"/>
        <w:rPr>
          <w:rFonts w:ascii="Times New Roman" w:hAnsi="Times New Roman"/>
          <w:lang w:val="en-US"/>
        </w:rPr>
      </w:pPr>
      <w:r w:rsidRPr="007D770B">
        <w:rPr>
          <w:rFonts w:ascii="Times New Roman" w:hAnsi="Times New Roman"/>
          <w:lang w:val="en-US"/>
        </w:rPr>
        <w:t>conversion option, which is recognized in equity.</w:t>
      </w:r>
    </w:p>
    <w:p w14:paraId="3A8D9840" w14:textId="77777777" w:rsidR="00331FED" w:rsidRPr="007D770B" w:rsidRDefault="00331FED" w:rsidP="00331FED">
      <w:pPr>
        <w:spacing w:line="240" w:lineRule="auto"/>
        <w:ind w:left="0"/>
        <w:rPr>
          <w:rFonts w:ascii="Times New Roman" w:hAnsi="Times New Roman"/>
          <w:lang w:val="en-US"/>
        </w:rPr>
      </w:pPr>
      <w:r w:rsidRPr="007D770B">
        <w:rPr>
          <w:rFonts w:ascii="Times New Roman" w:hAnsi="Times New Roman"/>
          <w:lang w:val="en-US"/>
        </w:rPr>
        <w:t xml:space="preserve">The original classification of the components of a compound financial instrument remains unchanged even if economic conditions change that alter the ability to exercise the conversion right. </w:t>
      </w:r>
    </w:p>
    <w:p w14:paraId="6516A62A" w14:textId="77777777" w:rsidR="00331FED" w:rsidRPr="007D770B" w:rsidRDefault="00331FED" w:rsidP="00331FED">
      <w:pPr>
        <w:spacing w:line="240" w:lineRule="auto"/>
        <w:ind w:left="0"/>
        <w:rPr>
          <w:rFonts w:ascii="Times New Roman" w:hAnsi="Times New Roman"/>
          <w:lang w:val="en-US"/>
        </w:rPr>
      </w:pPr>
      <w:r w:rsidRPr="007D770B">
        <w:rPr>
          <w:rFonts w:ascii="Times New Roman" w:hAnsi="Times New Roman"/>
          <w:lang w:val="en-US"/>
        </w:rPr>
        <w:lastRenderedPageBreak/>
        <w:t xml:space="preserve">For the purposes of initial recognition and measurement of a compound financial instrument, the Bank: </w:t>
      </w:r>
    </w:p>
    <w:p w14:paraId="30F18E12" w14:textId="77777777" w:rsidR="00331FED" w:rsidRPr="007D770B" w:rsidRDefault="00331FED" w:rsidP="00AE698A">
      <w:pPr>
        <w:numPr>
          <w:ilvl w:val="0"/>
          <w:numId w:val="278"/>
        </w:numPr>
        <w:spacing w:line="240" w:lineRule="auto"/>
        <w:rPr>
          <w:rFonts w:ascii="Times New Roman" w:hAnsi="Times New Roman"/>
          <w:lang w:val="en-US"/>
        </w:rPr>
      </w:pPr>
      <w:r w:rsidRPr="007D770B">
        <w:rPr>
          <w:rFonts w:ascii="Times New Roman" w:hAnsi="Times New Roman"/>
          <w:lang w:val="en-US"/>
        </w:rPr>
        <w:t>determines the fair value of a compound financial instrument;</w:t>
      </w:r>
    </w:p>
    <w:p w14:paraId="3DE42932" w14:textId="4639861F" w:rsidR="00331FED" w:rsidRPr="007D770B" w:rsidRDefault="00331FED" w:rsidP="00AE698A">
      <w:pPr>
        <w:numPr>
          <w:ilvl w:val="0"/>
          <w:numId w:val="278"/>
        </w:numPr>
        <w:spacing w:line="240" w:lineRule="auto"/>
        <w:rPr>
          <w:rFonts w:ascii="Times New Roman" w:hAnsi="Times New Roman"/>
          <w:lang w:val="en-US"/>
        </w:rPr>
      </w:pPr>
      <w:r w:rsidRPr="007D770B">
        <w:rPr>
          <w:rFonts w:ascii="Times New Roman" w:hAnsi="Times New Roman"/>
          <w:lang w:val="en-US"/>
        </w:rPr>
        <w:t xml:space="preserve">determines the fair value of the debt component (based on the fair value of </w:t>
      </w:r>
      <w:r w:rsidR="00EE3CCF" w:rsidRPr="007D770B">
        <w:rPr>
          <w:rFonts w:ascii="Times New Roman" w:hAnsi="Times New Roman"/>
          <w:lang w:val="en-US"/>
        </w:rPr>
        <w:t xml:space="preserve">similar liabilities </w:t>
      </w:r>
      <w:r w:rsidRPr="007D770B">
        <w:rPr>
          <w:rFonts w:ascii="Times New Roman" w:hAnsi="Times New Roman"/>
          <w:lang w:val="en-US"/>
        </w:rPr>
        <w:t>not related to the equity component) and recognizes it in financial liabilities;</w:t>
      </w:r>
    </w:p>
    <w:p w14:paraId="750D4923" w14:textId="77777777" w:rsidR="00331FED" w:rsidRPr="007D770B" w:rsidRDefault="00331FED" w:rsidP="00AE698A">
      <w:pPr>
        <w:numPr>
          <w:ilvl w:val="0"/>
          <w:numId w:val="278"/>
        </w:numPr>
        <w:spacing w:line="240" w:lineRule="auto"/>
        <w:rPr>
          <w:rFonts w:ascii="Times New Roman" w:hAnsi="Times New Roman"/>
          <w:lang w:val="en-US"/>
        </w:rPr>
      </w:pPr>
      <w:r w:rsidRPr="007D770B">
        <w:rPr>
          <w:rFonts w:ascii="Times New Roman" w:hAnsi="Times New Roman"/>
          <w:lang w:val="en-US"/>
        </w:rPr>
        <w:t xml:space="preserve">classifies the residual amount after deducting the estimated amount of the liability from the fair value of the compound financial instrument as a component of equity; </w:t>
      </w:r>
    </w:p>
    <w:p w14:paraId="19BBCC16" w14:textId="77777777" w:rsidR="00331FED" w:rsidRPr="007D770B" w:rsidRDefault="00331FED" w:rsidP="00331FED">
      <w:pPr>
        <w:spacing w:line="240" w:lineRule="auto"/>
        <w:ind w:left="0"/>
        <w:rPr>
          <w:rFonts w:ascii="Times New Roman" w:hAnsi="Times New Roman"/>
          <w:lang w:val="en-US"/>
        </w:rPr>
      </w:pPr>
      <w:r w:rsidRPr="007D770B">
        <w:rPr>
          <w:rFonts w:ascii="Times New Roman" w:hAnsi="Times New Roman"/>
          <w:lang w:val="en-US"/>
        </w:rPr>
        <w:t>The Bank classifies issued preferred shares in accordance with the following principles:</w:t>
      </w:r>
    </w:p>
    <w:p w14:paraId="549131F2" w14:textId="77777777" w:rsidR="00331FED" w:rsidRPr="007D770B" w:rsidRDefault="00331FED" w:rsidP="00AE698A">
      <w:pPr>
        <w:pStyle w:val="aa"/>
        <w:numPr>
          <w:ilvl w:val="1"/>
          <w:numId w:val="29"/>
        </w:numPr>
        <w:tabs>
          <w:tab w:val="left" w:pos="720"/>
        </w:tabs>
        <w:spacing w:line="240" w:lineRule="auto"/>
        <w:ind w:left="720"/>
        <w:contextualSpacing w:val="0"/>
        <w:rPr>
          <w:rFonts w:ascii="Times New Roman" w:hAnsi="Times New Roman"/>
          <w:lang w:val="en-US"/>
        </w:rPr>
      </w:pPr>
      <w:r w:rsidRPr="007D770B">
        <w:rPr>
          <w:rFonts w:ascii="Times New Roman" w:hAnsi="Times New Roman"/>
          <w:lang w:val="en-US"/>
        </w:rPr>
        <w:t xml:space="preserve">if, based on the contractual terms, the preferred shares are to be redeemed (the issuer has a contractual obligation to transfer financial assets (cash) to the shareholders, i.e. the value of the share is redeemed by the issuer), the preferred shares are recognized in financial liabilities; </w:t>
      </w:r>
    </w:p>
    <w:p w14:paraId="6135F577" w14:textId="77777777" w:rsidR="00331FED" w:rsidRPr="007D770B" w:rsidRDefault="00331FED" w:rsidP="00AE698A">
      <w:pPr>
        <w:pStyle w:val="aa"/>
        <w:numPr>
          <w:ilvl w:val="1"/>
          <w:numId w:val="29"/>
        </w:numPr>
        <w:tabs>
          <w:tab w:val="left" w:pos="720"/>
        </w:tabs>
        <w:spacing w:line="240" w:lineRule="auto"/>
        <w:ind w:left="720"/>
        <w:contextualSpacing w:val="0"/>
        <w:rPr>
          <w:rFonts w:ascii="Times New Roman" w:hAnsi="Times New Roman"/>
          <w:lang w:val="en-US"/>
        </w:rPr>
      </w:pPr>
      <w:r w:rsidRPr="007D770B">
        <w:rPr>
          <w:rFonts w:ascii="Times New Roman" w:hAnsi="Times New Roman"/>
          <w:lang w:val="en-US"/>
        </w:rPr>
        <w:t>If the contract does not require redemption of preferred stock, the classification and subsequent accounting for preferred stock depends on the following:</w:t>
      </w:r>
    </w:p>
    <w:p w14:paraId="6E16CD4A" w14:textId="77777777" w:rsidR="00331FED" w:rsidRPr="007D770B" w:rsidRDefault="00331FED" w:rsidP="00AE698A">
      <w:pPr>
        <w:pStyle w:val="aa"/>
        <w:numPr>
          <w:ilvl w:val="0"/>
          <w:numId w:val="28"/>
        </w:numPr>
        <w:tabs>
          <w:tab w:val="left" w:pos="-3600"/>
        </w:tabs>
        <w:spacing w:line="240" w:lineRule="auto"/>
        <w:ind w:left="1440"/>
        <w:contextualSpacing w:val="0"/>
        <w:rPr>
          <w:rFonts w:ascii="Times New Roman" w:hAnsi="Times New Roman"/>
          <w:lang w:val="en-US"/>
        </w:rPr>
      </w:pPr>
      <w:r w:rsidRPr="007D770B">
        <w:rPr>
          <w:rFonts w:ascii="Times New Roman" w:hAnsi="Times New Roman"/>
          <w:lang w:val="en-US"/>
        </w:rPr>
        <w:t>the discounted amount of future cash flows relating to the dividend payment is recognized as a financial liability. Therefore, this financial liability is carried at amortized cost with amortization charged to finance costs;</w:t>
      </w:r>
    </w:p>
    <w:p w14:paraId="7BCE81C5" w14:textId="77777777" w:rsidR="00331FED" w:rsidRPr="007D770B" w:rsidRDefault="00331FED" w:rsidP="00AE698A">
      <w:pPr>
        <w:pStyle w:val="aa"/>
        <w:numPr>
          <w:ilvl w:val="0"/>
          <w:numId w:val="28"/>
        </w:numPr>
        <w:tabs>
          <w:tab w:val="left" w:pos="-3600"/>
        </w:tabs>
        <w:spacing w:line="240" w:lineRule="auto"/>
        <w:ind w:left="1440"/>
        <w:contextualSpacing w:val="0"/>
        <w:rPr>
          <w:rFonts w:ascii="Times New Roman" w:hAnsi="Times New Roman"/>
          <w:lang w:val="en-US"/>
        </w:rPr>
      </w:pPr>
      <w:r w:rsidRPr="007D770B">
        <w:rPr>
          <w:rFonts w:ascii="Times New Roman" w:hAnsi="Times New Roman"/>
          <w:lang w:val="en-US"/>
        </w:rPr>
        <w:t>the difference between the amount at issue and the present value of future cash flows attributable to the dividend payment is recognized as an equity instrument and recorded in equity.</w:t>
      </w:r>
    </w:p>
    <w:p w14:paraId="3C55665E" w14:textId="77777777" w:rsidR="00331FED" w:rsidRPr="007D770B" w:rsidRDefault="00331FED" w:rsidP="00331FED">
      <w:pPr>
        <w:pStyle w:val="af4"/>
        <w:spacing w:after="240"/>
        <w:ind w:firstLine="0"/>
        <w:rPr>
          <w:b/>
          <w:i/>
          <w:sz w:val="20"/>
          <w:szCs w:val="20"/>
          <w:lang w:val="en-US"/>
        </w:rPr>
      </w:pPr>
      <w:r w:rsidRPr="007D770B">
        <w:rPr>
          <w:b/>
          <w:i/>
          <w:sz w:val="20"/>
          <w:szCs w:val="20"/>
          <w:lang w:val="en-US"/>
        </w:rPr>
        <w:t>Interest, dividends, losses and gains</w:t>
      </w:r>
    </w:p>
    <w:p w14:paraId="3344EB1B" w14:textId="77777777" w:rsidR="00331FED" w:rsidRPr="007D770B" w:rsidRDefault="00331FED" w:rsidP="00331FED">
      <w:pPr>
        <w:pStyle w:val="af4"/>
        <w:spacing w:after="240"/>
        <w:ind w:firstLine="0"/>
        <w:rPr>
          <w:sz w:val="20"/>
          <w:szCs w:val="20"/>
          <w:lang w:val="en-US"/>
        </w:rPr>
      </w:pPr>
      <w:r w:rsidRPr="007D770B">
        <w:rPr>
          <w:sz w:val="20"/>
          <w:szCs w:val="20"/>
          <w:lang w:val="en-US"/>
        </w:rPr>
        <w:t xml:space="preserve">Interest, dividends, losses and gains relating to a financial instrument or a component of a financial liability classified as a financial liability shall be recognized as expenses or income in the profit and loss account. </w:t>
      </w:r>
    </w:p>
    <w:p w14:paraId="75FC452B" w14:textId="77777777" w:rsidR="00331FED" w:rsidRPr="007D770B" w:rsidRDefault="00331FED" w:rsidP="00331FED">
      <w:pPr>
        <w:pStyle w:val="af4"/>
        <w:spacing w:after="240"/>
        <w:ind w:firstLine="0"/>
        <w:rPr>
          <w:sz w:val="20"/>
          <w:szCs w:val="20"/>
          <w:lang w:val="en-US"/>
        </w:rPr>
      </w:pPr>
      <w:r w:rsidRPr="007D770B">
        <w:rPr>
          <w:sz w:val="20"/>
          <w:szCs w:val="20"/>
          <w:lang w:val="en-US"/>
        </w:rPr>
        <w:t xml:space="preserve">Funds distributed to equity instrument holders shall be recognized by the entity directly in equity. </w:t>
      </w:r>
    </w:p>
    <w:p w14:paraId="69F68512" w14:textId="12FA0B1D" w:rsidR="00331FED" w:rsidRPr="007D770B" w:rsidRDefault="00331FED" w:rsidP="00331FED">
      <w:pPr>
        <w:pStyle w:val="af4"/>
        <w:spacing w:after="240"/>
        <w:ind w:firstLine="0"/>
        <w:rPr>
          <w:sz w:val="20"/>
          <w:szCs w:val="20"/>
          <w:lang w:val="en-US"/>
        </w:rPr>
      </w:pPr>
      <w:r w:rsidRPr="007D770B">
        <w:rPr>
          <w:sz w:val="20"/>
          <w:szCs w:val="20"/>
          <w:lang w:val="en-US"/>
        </w:rPr>
        <w:t>Capital transaction costs should be charged or credited to equity. Income taxes related to distributions to equity instrument holders and capital transaction costs should be accounted for in accordance with Chapter 2, Section 13</w:t>
      </w:r>
      <w:r w:rsidR="00802136" w:rsidRPr="007D770B">
        <w:rPr>
          <w:sz w:val="20"/>
          <w:szCs w:val="20"/>
          <w:lang w:val="en-US"/>
        </w:rPr>
        <w:t>, "</w:t>
      </w:r>
      <w:r w:rsidRPr="007D770B">
        <w:rPr>
          <w:sz w:val="20"/>
          <w:szCs w:val="20"/>
          <w:lang w:val="en-US"/>
        </w:rPr>
        <w:t>Taxes</w:t>
      </w:r>
      <w:r w:rsidR="00802136" w:rsidRPr="007D770B">
        <w:rPr>
          <w:sz w:val="20"/>
          <w:szCs w:val="20"/>
          <w:lang w:val="en-US"/>
        </w:rPr>
        <w:t>"</w:t>
      </w:r>
      <w:r w:rsidRPr="007D770B">
        <w:rPr>
          <w:sz w:val="20"/>
          <w:szCs w:val="20"/>
          <w:lang w:val="en-US"/>
        </w:rPr>
        <w:t>.</w:t>
      </w:r>
    </w:p>
    <w:p w14:paraId="315BE685" w14:textId="77777777" w:rsidR="00331FED" w:rsidRPr="007D770B" w:rsidRDefault="00331FED" w:rsidP="00331FED">
      <w:pPr>
        <w:pStyle w:val="af4"/>
        <w:spacing w:after="240"/>
        <w:ind w:firstLine="0"/>
        <w:rPr>
          <w:sz w:val="20"/>
          <w:szCs w:val="20"/>
          <w:lang w:val="en-US"/>
        </w:rPr>
      </w:pPr>
      <w:r w:rsidRPr="007D770B">
        <w:rPr>
          <w:sz w:val="20"/>
          <w:szCs w:val="20"/>
          <w:lang w:val="en-US"/>
        </w:rPr>
        <w:t xml:space="preserve">The classification of a financial instrument as a financial liability or an equity instrument determines whether interest, dividends, losses and other income relating to that instrument are recognized as expenses or income in profit or loss. </w:t>
      </w:r>
    </w:p>
    <w:p w14:paraId="2DA75422" w14:textId="77777777" w:rsidR="00331FED" w:rsidRPr="007D770B" w:rsidRDefault="00331FED" w:rsidP="00331FED">
      <w:pPr>
        <w:pStyle w:val="af4"/>
        <w:spacing w:after="240"/>
        <w:ind w:firstLine="0"/>
        <w:rPr>
          <w:sz w:val="20"/>
          <w:szCs w:val="20"/>
          <w:lang w:val="en-US"/>
        </w:rPr>
      </w:pPr>
      <w:r w:rsidRPr="007D770B">
        <w:rPr>
          <w:sz w:val="20"/>
          <w:szCs w:val="20"/>
          <w:lang w:val="en-US"/>
        </w:rPr>
        <w:t xml:space="preserve">Thus, dividend payments on shares fully recognized as a liability are classified as an expense, similar to interest on bonds. </w:t>
      </w:r>
    </w:p>
    <w:p w14:paraId="075371B3" w14:textId="77777777" w:rsidR="00331FED" w:rsidRPr="007D770B" w:rsidRDefault="00331FED" w:rsidP="00331FED">
      <w:pPr>
        <w:pStyle w:val="af4"/>
        <w:spacing w:after="240"/>
        <w:ind w:firstLine="0"/>
        <w:rPr>
          <w:sz w:val="20"/>
          <w:szCs w:val="20"/>
          <w:lang w:val="en-US"/>
        </w:rPr>
      </w:pPr>
      <w:r w:rsidRPr="007D770B">
        <w:rPr>
          <w:sz w:val="20"/>
          <w:szCs w:val="20"/>
          <w:lang w:val="en-US"/>
        </w:rPr>
        <w:t xml:space="preserve">Similarly, gains and losses on the extinguishment or refinancing of financial liabilities are recognized in the income statement, while the extinguishment or refinancing of equity instruments are reported as changes in equity. </w:t>
      </w:r>
    </w:p>
    <w:p w14:paraId="273D8F3C" w14:textId="77777777" w:rsidR="00331FED" w:rsidRPr="007D770B" w:rsidRDefault="00331FED" w:rsidP="00331FED">
      <w:pPr>
        <w:pStyle w:val="af4"/>
        <w:spacing w:after="240"/>
        <w:ind w:firstLine="0"/>
        <w:rPr>
          <w:sz w:val="20"/>
          <w:szCs w:val="20"/>
          <w:lang w:val="en-US"/>
        </w:rPr>
      </w:pPr>
      <w:r w:rsidRPr="007D770B">
        <w:rPr>
          <w:sz w:val="20"/>
          <w:szCs w:val="20"/>
          <w:lang w:val="en-US"/>
        </w:rPr>
        <w:t>Changes in the fair value of an equity instrument are not recognized in the financial statements.</w:t>
      </w:r>
    </w:p>
    <w:p w14:paraId="7FACB4E7" w14:textId="77777777" w:rsidR="00331FED" w:rsidRPr="007D770B" w:rsidRDefault="00331FED" w:rsidP="00331FED">
      <w:pPr>
        <w:pStyle w:val="af4"/>
        <w:spacing w:after="240"/>
        <w:ind w:firstLine="0"/>
        <w:rPr>
          <w:sz w:val="20"/>
          <w:szCs w:val="20"/>
          <w:lang w:val="en-US"/>
        </w:rPr>
      </w:pPr>
      <w:r w:rsidRPr="007D770B">
        <w:rPr>
          <w:sz w:val="20"/>
          <w:szCs w:val="20"/>
          <w:lang w:val="en-US"/>
        </w:rPr>
        <w:t xml:space="preserve">An entity normally incurs various costs in issuing or acquiring its own equity instruments. These costs may include registration and other mandatory fees, fees for lawyers, auditors and other professional advisors, and printing and stamping costs. </w:t>
      </w:r>
    </w:p>
    <w:p w14:paraId="1FA50665" w14:textId="77777777" w:rsidR="00331FED" w:rsidRPr="007D770B" w:rsidRDefault="00331FED" w:rsidP="00331FED">
      <w:pPr>
        <w:pStyle w:val="af4"/>
        <w:spacing w:after="240"/>
        <w:ind w:firstLine="0"/>
        <w:rPr>
          <w:sz w:val="20"/>
          <w:szCs w:val="20"/>
          <w:lang w:val="en-US"/>
        </w:rPr>
      </w:pPr>
      <w:r w:rsidRPr="007D770B">
        <w:rPr>
          <w:sz w:val="20"/>
          <w:szCs w:val="20"/>
          <w:lang w:val="en-US"/>
        </w:rPr>
        <w:t xml:space="preserve">Capital transaction costs are to be charged or credited to equity to the extent that they are incremental costs that are directly attributable to the capital transaction and could have been avoided in the absence of the transaction. </w:t>
      </w:r>
    </w:p>
    <w:p w14:paraId="18F30991" w14:textId="77777777" w:rsidR="00331FED" w:rsidRPr="007D770B" w:rsidRDefault="00331FED" w:rsidP="00331FED">
      <w:pPr>
        <w:pStyle w:val="af4"/>
        <w:spacing w:after="240"/>
        <w:ind w:firstLine="0"/>
        <w:rPr>
          <w:sz w:val="20"/>
          <w:szCs w:val="20"/>
          <w:lang w:val="en-US"/>
        </w:rPr>
      </w:pPr>
      <w:r w:rsidRPr="007D770B">
        <w:rPr>
          <w:sz w:val="20"/>
          <w:szCs w:val="20"/>
          <w:lang w:val="en-US"/>
        </w:rPr>
        <w:t>The costs of a capital transaction that has been terminated without completion are recognized as an expense.</w:t>
      </w:r>
    </w:p>
    <w:p w14:paraId="3EC2ADFB" w14:textId="77777777" w:rsidR="00331FED" w:rsidRPr="007D770B" w:rsidRDefault="00331FED" w:rsidP="00331FED">
      <w:pPr>
        <w:pStyle w:val="af4"/>
        <w:spacing w:after="240"/>
        <w:ind w:firstLine="0"/>
        <w:rPr>
          <w:sz w:val="20"/>
          <w:szCs w:val="20"/>
          <w:lang w:val="en-US"/>
        </w:rPr>
      </w:pPr>
      <w:r w:rsidRPr="007D770B">
        <w:rPr>
          <w:sz w:val="20"/>
          <w:szCs w:val="20"/>
          <w:lang w:val="en-US"/>
        </w:rPr>
        <w:t>Transaction costs associated with issuing a compound instrument are allocated to the liability and equity components in proportion to the allocation of proceeds. Transaction costs associated with two or more transactions (e.g., the issuance of shares at the same time as the listing of shares of another issue on a stock exchange) are allocated between the transactions on a reasonable basis that should be applied consistently to similar transactions.</w:t>
      </w:r>
    </w:p>
    <w:p w14:paraId="4D9959C3" w14:textId="77777777" w:rsidR="00331FED" w:rsidRPr="007D770B" w:rsidRDefault="00331FED" w:rsidP="00331FED">
      <w:pPr>
        <w:pStyle w:val="af4"/>
        <w:spacing w:after="240"/>
        <w:ind w:firstLine="0"/>
        <w:rPr>
          <w:sz w:val="20"/>
          <w:szCs w:val="20"/>
          <w:lang w:val="en-US"/>
        </w:rPr>
      </w:pPr>
      <w:r w:rsidRPr="007D770B">
        <w:rPr>
          <w:sz w:val="20"/>
          <w:szCs w:val="20"/>
          <w:lang w:val="en-US"/>
        </w:rPr>
        <w:t xml:space="preserve">Gains and losses relating to changes in the carrying amount of a financial liability are recognized as income or expense in profit or loss, even if they relate to an instrument containing a right to a residual interest in the Bank's assets in exchange for cash or another financial asset. </w:t>
      </w:r>
    </w:p>
    <w:p w14:paraId="0F15770B" w14:textId="77777777" w:rsidR="00331FED" w:rsidRPr="007D770B" w:rsidRDefault="00331FED" w:rsidP="00331FED">
      <w:pPr>
        <w:pStyle w:val="af4"/>
        <w:spacing w:after="240"/>
        <w:ind w:firstLine="0"/>
        <w:rPr>
          <w:sz w:val="20"/>
          <w:szCs w:val="20"/>
          <w:lang w:val="en-US"/>
        </w:rPr>
      </w:pPr>
      <w:r w:rsidRPr="007D770B">
        <w:rPr>
          <w:sz w:val="20"/>
          <w:szCs w:val="20"/>
          <w:lang w:val="en-US"/>
        </w:rPr>
        <w:lastRenderedPageBreak/>
        <w:t>The Bank shall present the gain or loss arising from the re-measurement of such an instrument separately in the statement of comprehensive income itself when such presentation is relevant to explain the Bank's performance.</w:t>
      </w:r>
    </w:p>
    <w:p w14:paraId="4584955F" w14:textId="77777777" w:rsidR="00331FED" w:rsidRPr="007D770B" w:rsidRDefault="00331FED" w:rsidP="00E61D21">
      <w:pPr>
        <w:pStyle w:val="3"/>
        <w:rPr>
          <w:lang w:val="en-US"/>
        </w:rPr>
      </w:pPr>
      <w:bookmarkStart w:id="128" w:name="_Toc168502040"/>
      <w:bookmarkStart w:id="129" w:name="_Toc332982928"/>
      <w:bookmarkStart w:id="130" w:name="_Toc333830885"/>
      <w:bookmarkStart w:id="131" w:name="_Toc335757712"/>
      <w:bookmarkStart w:id="132" w:name="_Toc374457883"/>
      <w:r w:rsidRPr="007D770B">
        <w:rPr>
          <w:lang w:val="en-US"/>
        </w:rPr>
        <w:t>3.12. Accounting for income and expenses from financial assets and financial liabilities</w:t>
      </w:r>
      <w:bookmarkEnd w:id="128"/>
    </w:p>
    <w:p w14:paraId="0A633615" w14:textId="77777777" w:rsidR="00331FED" w:rsidRPr="007D770B" w:rsidRDefault="00331FED" w:rsidP="00331FED">
      <w:pPr>
        <w:pStyle w:val="21"/>
        <w:widowControl w:val="0"/>
        <w:tabs>
          <w:tab w:val="clear" w:pos="1134"/>
        </w:tabs>
        <w:spacing w:after="240"/>
        <w:ind w:firstLine="0"/>
        <w:rPr>
          <w:sz w:val="20"/>
          <w:szCs w:val="20"/>
          <w:lang w:val="en-US"/>
        </w:rPr>
      </w:pPr>
      <w:r w:rsidRPr="007D770B">
        <w:rPr>
          <w:b/>
          <w:i/>
          <w:sz w:val="20"/>
          <w:szCs w:val="20"/>
          <w:lang w:val="en-US"/>
        </w:rPr>
        <w:t xml:space="preserve">When a </w:t>
      </w:r>
      <w:r w:rsidRPr="007D770B">
        <w:rPr>
          <w:sz w:val="20"/>
          <w:szCs w:val="20"/>
          <w:lang w:val="en-US"/>
        </w:rPr>
        <w:t>financial asset or financial liability is recognized</w:t>
      </w:r>
      <w:r w:rsidRPr="007D770B">
        <w:rPr>
          <w:b/>
          <w:i/>
          <w:sz w:val="20"/>
          <w:szCs w:val="20"/>
          <w:lang w:val="en-US"/>
        </w:rPr>
        <w:t xml:space="preserve"> initially, the </w:t>
      </w:r>
      <w:r w:rsidRPr="007D770B">
        <w:rPr>
          <w:sz w:val="20"/>
          <w:szCs w:val="20"/>
          <w:lang w:val="en-US"/>
        </w:rPr>
        <w:t>Bank measures it at its fair value plus, in the case of a financial asset or financial liability not at fair value through profit or loss, transaction costs that are directly attributable to the acquisition or issue of the financial asset or financial liability.</w:t>
      </w:r>
    </w:p>
    <w:p w14:paraId="701AC2BA" w14:textId="4DAD5E45" w:rsidR="00905915" w:rsidRPr="007D770B" w:rsidRDefault="00331FED" w:rsidP="00331FED">
      <w:pPr>
        <w:pStyle w:val="21"/>
        <w:tabs>
          <w:tab w:val="clear" w:pos="1134"/>
        </w:tabs>
        <w:spacing w:after="240"/>
        <w:ind w:firstLine="0"/>
        <w:rPr>
          <w:sz w:val="20"/>
          <w:szCs w:val="20"/>
          <w:lang w:val="en-US"/>
        </w:rPr>
      </w:pPr>
      <w:r w:rsidRPr="007D770B">
        <w:rPr>
          <w:sz w:val="20"/>
          <w:szCs w:val="20"/>
          <w:lang w:val="en-US"/>
        </w:rPr>
        <w:t>The procedure for subsequent accounting of financial instruments in the accounting accounts differs for different categories of financial instruments.</w:t>
      </w:r>
    </w:p>
    <w:p w14:paraId="2C784CEA" w14:textId="77777777" w:rsidR="00331FED" w:rsidRPr="007D770B" w:rsidRDefault="00331FED" w:rsidP="00905915">
      <w:pPr>
        <w:pStyle w:val="21"/>
        <w:rPr>
          <w:sz w:val="20"/>
          <w:szCs w:val="20"/>
          <w:lang w:val="en-US"/>
        </w:rPr>
      </w:pPr>
      <w:r w:rsidRPr="007D770B">
        <w:rPr>
          <w:sz w:val="20"/>
          <w:szCs w:val="20"/>
          <w:lang w:val="en-US"/>
        </w:rPr>
        <w:t>In general terms, the accounting treatment of financial assets by financial institutions is summarized in the table below:</w:t>
      </w:r>
    </w:p>
    <w:tbl>
      <w:tblPr>
        <w:tblStyle w:val="-541"/>
        <w:tblW w:w="0" w:type="auto"/>
        <w:jc w:val="center"/>
        <w:tblLayout w:type="fixed"/>
        <w:tblCellMar>
          <w:left w:w="0" w:type="dxa"/>
          <w:right w:w="0" w:type="dxa"/>
        </w:tblCellMar>
        <w:tblLook w:val="04A0" w:firstRow="1" w:lastRow="0" w:firstColumn="1" w:lastColumn="0" w:noHBand="0" w:noVBand="1"/>
      </w:tblPr>
      <w:tblGrid>
        <w:gridCol w:w="1525"/>
        <w:gridCol w:w="1350"/>
        <w:gridCol w:w="1350"/>
        <w:gridCol w:w="1350"/>
        <w:gridCol w:w="1530"/>
        <w:gridCol w:w="1349"/>
        <w:gridCol w:w="1225"/>
      </w:tblGrid>
      <w:tr w:rsidR="00331FED" w:rsidRPr="001A5C87" w14:paraId="39E42FD3" w14:textId="77777777" w:rsidTr="008D54EC">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1E2B67FB" w14:textId="77777777" w:rsidR="00331FED" w:rsidRPr="005F3958" w:rsidRDefault="00331FED" w:rsidP="008D54EC">
            <w:pPr>
              <w:spacing w:line="259" w:lineRule="auto"/>
              <w:ind w:left="244"/>
              <w:jc w:val="center"/>
              <w:rPr>
                <w:rFonts w:ascii="Times New Roman" w:hAnsi="Times New Roman"/>
                <w:sz w:val="16"/>
              </w:rPr>
            </w:pPr>
            <w:r w:rsidRPr="001A5C87">
              <w:rPr>
                <w:rFonts w:ascii="Times New Roman" w:hAnsi="Times New Roman"/>
                <w:sz w:val="16"/>
              </w:rPr>
              <w:t>Type of tool</w:t>
            </w:r>
          </w:p>
        </w:tc>
        <w:tc>
          <w:tcPr>
            <w:tcW w:w="4050" w:type="dxa"/>
            <w:gridSpan w:val="3"/>
            <w:vAlign w:val="center"/>
          </w:tcPr>
          <w:p w14:paraId="0240B9CA" w14:textId="77777777" w:rsidR="00331FED" w:rsidRPr="005F3958" w:rsidRDefault="00331FED" w:rsidP="008D54EC">
            <w:pPr>
              <w:spacing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rPr>
            </w:pPr>
            <w:r w:rsidRPr="001A5C87">
              <w:rPr>
                <w:rFonts w:ascii="Times New Roman" w:hAnsi="Times New Roman"/>
                <w:sz w:val="16"/>
              </w:rPr>
              <w:t>Debt instruments</w:t>
            </w:r>
          </w:p>
        </w:tc>
        <w:tc>
          <w:tcPr>
            <w:tcW w:w="1530" w:type="dxa"/>
            <w:vAlign w:val="center"/>
          </w:tcPr>
          <w:p w14:paraId="0824374E" w14:textId="77777777" w:rsidR="00331FED" w:rsidRPr="005F3958" w:rsidRDefault="00331FED" w:rsidP="008D54EC">
            <w:pPr>
              <w:spacing w:line="259" w:lineRule="auto"/>
              <w:ind w:left="15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rPr>
            </w:pPr>
            <w:r w:rsidRPr="001A5C87">
              <w:rPr>
                <w:rFonts w:ascii="Times New Roman" w:hAnsi="Times New Roman"/>
                <w:sz w:val="16"/>
              </w:rPr>
              <w:t>Derivative financial instruments</w:t>
            </w:r>
          </w:p>
        </w:tc>
        <w:tc>
          <w:tcPr>
            <w:tcW w:w="2574" w:type="dxa"/>
            <w:gridSpan w:val="2"/>
            <w:vAlign w:val="center"/>
          </w:tcPr>
          <w:p w14:paraId="706A524C" w14:textId="77777777" w:rsidR="00331FED" w:rsidRPr="005F3958" w:rsidRDefault="00331FED" w:rsidP="008D54EC">
            <w:pPr>
              <w:spacing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rPr>
            </w:pPr>
            <w:r w:rsidRPr="001A5C87">
              <w:rPr>
                <w:rFonts w:ascii="Times New Roman" w:hAnsi="Times New Roman"/>
                <w:sz w:val="16"/>
              </w:rPr>
              <w:t>Equity instruments</w:t>
            </w:r>
          </w:p>
        </w:tc>
      </w:tr>
      <w:tr w:rsidR="00331FED" w:rsidRPr="001A5C87" w14:paraId="096BC38B" w14:textId="77777777" w:rsidTr="008D54EC">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020B96E2" w14:textId="77777777" w:rsidR="00331FED" w:rsidRPr="005F3958" w:rsidRDefault="00331FED" w:rsidP="008D54EC">
            <w:pPr>
              <w:spacing w:line="259" w:lineRule="auto"/>
              <w:ind w:left="244"/>
              <w:jc w:val="center"/>
              <w:rPr>
                <w:rFonts w:ascii="Times New Roman" w:hAnsi="Times New Roman"/>
                <w:sz w:val="16"/>
              </w:rPr>
            </w:pPr>
            <w:r w:rsidRPr="001A5C87">
              <w:rPr>
                <w:rFonts w:ascii="Times New Roman" w:hAnsi="Times New Roman"/>
                <w:sz w:val="16"/>
              </w:rPr>
              <w:t>Category</w:t>
            </w:r>
          </w:p>
        </w:tc>
        <w:tc>
          <w:tcPr>
            <w:tcW w:w="1350" w:type="dxa"/>
            <w:vAlign w:val="center"/>
          </w:tcPr>
          <w:p w14:paraId="11A81ECA" w14:textId="77777777" w:rsidR="00331FED" w:rsidRPr="005F3958" w:rsidRDefault="00331FED" w:rsidP="008D54EC">
            <w:pPr>
              <w:spacing w:before="2" w:line="259" w:lineRule="auto"/>
              <w:ind w:left="24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16"/>
              </w:rPr>
            </w:pPr>
            <w:r w:rsidRPr="001A5C87">
              <w:rPr>
                <w:rFonts w:ascii="Times New Roman" w:hAnsi="Times New Roman"/>
                <w:sz w:val="16"/>
              </w:rPr>
              <w:t>Amortized cost</w:t>
            </w:r>
          </w:p>
        </w:tc>
        <w:tc>
          <w:tcPr>
            <w:tcW w:w="1350" w:type="dxa"/>
            <w:vAlign w:val="center"/>
          </w:tcPr>
          <w:p w14:paraId="79B1F82F" w14:textId="77777777" w:rsidR="00331FED" w:rsidRPr="005F3958" w:rsidRDefault="00331FED" w:rsidP="006A4C8A">
            <w:pPr>
              <w:spacing w:before="2" w:line="259" w:lineRule="auto"/>
              <w:ind w:left="9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16"/>
              </w:rPr>
            </w:pPr>
            <w:r w:rsidRPr="001A5C87">
              <w:rPr>
                <w:rFonts w:ascii="Times New Roman" w:hAnsi="Times New Roman"/>
                <w:sz w:val="16"/>
              </w:rPr>
              <w:t>MTPAS</w:t>
            </w:r>
          </w:p>
        </w:tc>
        <w:tc>
          <w:tcPr>
            <w:tcW w:w="1350" w:type="dxa"/>
            <w:vAlign w:val="center"/>
          </w:tcPr>
          <w:p w14:paraId="3B8B1AE3" w14:textId="77777777" w:rsidR="00331FED" w:rsidRPr="005F3958" w:rsidRDefault="00331FED" w:rsidP="006A4C8A">
            <w:pPr>
              <w:spacing w:before="2" w:line="259" w:lineRule="auto"/>
              <w:ind w:left="27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16"/>
              </w:rPr>
            </w:pPr>
            <w:r w:rsidRPr="001A5C87">
              <w:rPr>
                <w:rFonts w:ascii="Times New Roman" w:hAnsi="Times New Roman"/>
                <w:sz w:val="16"/>
              </w:rPr>
              <w:t>SSOPU</w:t>
            </w:r>
          </w:p>
        </w:tc>
        <w:tc>
          <w:tcPr>
            <w:tcW w:w="1530" w:type="dxa"/>
            <w:vAlign w:val="center"/>
          </w:tcPr>
          <w:p w14:paraId="62933B06" w14:textId="77777777" w:rsidR="00331FED" w:rsidRPr="005F3958" w:rsidRDefault="00331FED" w:rsidP="006A4C8A">
            <w:pPr>
              <w:spacing w:before="2" w:line="259" w:lineRule="auto"/>
              <w:ind w:left="3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16"/>
              </w:rPr>
            </w:pPr>
            <w:r w:rsidRPr="001A5C87">
              <w:rPr>
                <w:rFonts w:ascii="Times New Roman" w:hAnsi="Times New Roman"/>
                <w:sz w:val="16"/>
              </w:rPr>
              <w:t>SSOPU</w:t>
            </w:r>
          </w:p>
        </w:tc>
        <w:tc>
          <w:tcPr>
            <w:tcW w:w="1349" w:type="dxa"/>
            <w:vAlign w:val="center"/>
          </w:tcPr>
          <w:p w14:paraId="454C36BC" w14:textId="77777777" w:rsidR="00331FED" w:rsidRPr="005F3958" w:rsidRDefault="00331FED" w:rsidP="006A4C8A">
            <w:pPr>
              <w:spacing w:before="2" w:line="259" w:lineRule="auto"/>
              <w:ind w:left="9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16"/>
              </w:rPr>
            </w:pPr>
            <w:r w:rsidRPr="001A5C87">
              <w:rPr>
                <w:rFonts w:ascii="Times New Roman" w:hAnsi="Times New Roman"/>
                <w:sz w:val="16"/>
              </w:rPr>
              <w:t>MTPAS</w:t>
            </w:r>
          </w:p>
        </w:tc>
        <w:tc>
          <w:tcPr>
            <w:tcW w:w="1225" w:type="dxa"/>
            <w:vAlign w:val="center"/>
          </w:tcPr>
          <w:p w14:paraId="17DCB72C" w14:textId="77777777" w:rsidR="00331FED" w:rsidRPr="005F3958" w:rsidRDefault="00331FED" w:rsidP="00FE2314">
            <w:pPr>
              <w:spacing w:before="2" w:line="259" w:lineRule="auto"/>
              <w:ind w:left="91" w:right="5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16"/>
              </w:rPr>
            </w:pPr>
            <w:r w:rsidRPr="001A5C87">
              <w:rPr>
                <w:rFonts w:ascii="Times New Roman" w:hAnsi="Times New Roman"/>
                <w:sz w:val="16"/>
              </w:rPr>
              <w:t>SSOPU</w:t>
            </w:r>
          </w:p>
        </w:tc>
      </w:tr>
      <w:tr w:rsidR="00331FED" w:rsidRPr="00E60FFF" w14:paraId="5D252285" w14:textId="77777777" w:rsidTr="008D54E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06395396" w14:textId="77777777" w:rsidR="00331FED" w:rsidRPr="005F3958" w:rsidRDefault="00331FED" w:rsidP="008D54EC">
            <w:pPr>
              <w:spacing w:line="259" w:lineRule="auto"/>
              <w:jc w:val="center"/>
              <w:rPr>
                <w:rFonts w:ascii="Times New Roman" w:hAnsi="Times New Roman"/>
                <w:sz w:val="16"/>
              </w:rPr>
            </w:pPr>
            <w:r w:rsidRPr="001A5C87">
              <w:rPr>
                <w:rFonts w:ascii="Times New Roman" w:hAnsi="Times New Roman"/>
                <w:sz w:val="16"/>
              </w:rPr>
              <w:t>Initial recognition</w:t>
            </w:r>
          </w:p>
        </w:tc>
        <w:tc>
          <w:tcPr>
            <w:tcW w:w="1350" w:type="dxa"/>
          </w:tcPr>
          <w:p w14:paraId="60485BC9" w14:textId="77777777" w:rsidR="00331FED" w:rsidRPr="000A39ED" w:rsidRDefault="00331FED" w:rsidP="008D54EC">
            <w:pPr>
              <w:spacing w:before="2" w:line="259" w:lineRule="auto"/>
              <w:ind w:left="15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lang w:val="ru-RU"/>
              </w:rPr>
            </w:pPr>
            <w:r w:rsidRPr="000A39ED">
              <w:rPr>
                <w:rFonts w:ascii="Times New Roman" w:hAnsi="Times New Roman"/>
                <w:sz w:val="16"/>
                <w:lang w:val="ru-RU"/>
              </w:rPr>
              <w:t>Fair value + transaction costs</w:t>
            </w:r>
          </w:p>
        </w:tc>
        <w:tc>
          <w:tcPr>
            <w:tcW w:w="1350" w:type="dxa"/>
          </w:tcPr>
          <w:p w14:paraId="52F613FF" w14:textId="77777777" w:rsidR="00331FED" w:rsidRPr="000A39ED" w:rsidRDefault="00331FED" w:rsidP="006A4C8A">
            <w:pPr>
              <w:spacing w:before="2" w:line="259" w:lineRule="auto"/>
              <w:ind w:left="9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lang w:val="ru-RU"/>
              </w:rPr>
            </w:pPr>
            <w:r w:rsidRPr="000A39ED">
              <w:rPr>
                <w:rFonts w:ascii="Times New Roman" w:hAnsi="Times New Roman"/>
                <w:sz w:val="16"/>
                <w:lang w:val="ru-RU"/>
              </w:rPr>
              <w:t>Fair value + transaction costs</w:t>
            </w:r>
          </w:p>
        </w:tc>
        <w:tc>
          <w:tcPr>
            <w:tcW w:w="1350" w:type="dxa"/>
          </w:tcPr>
          <w:p w14:paraId="4569FFA5" w14:textId="77777777" w:rsidR="00331FED" w:rsidRPr="007D770B" w:rsidRDefault="00331FED" w:rsidP="006A4C8A">
            <w:pPr>
              <w:spacing w:before="2" w:line="259" w:lineRule="auto"/>
              <w:ind w:left="27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rPr>
            </w:pPr>
            <w:r w:rsidRPr="007D770B">
              <w:rPr>
                <w:rFonts w:ascii="Times New Roman" w:hAnsi="Times New Roman"/>
                <w:sz w:val="16"/>
              </w:rPr>
              <w:t>Fair value (transaction costs are not included)</w:t>
            </w:r>
          </w:p>
        </w:tc>
        <w:tc>
          <w:tcPr>
            <w:tcW w:w="1530" w:type="dxa"/>
          </w:tcPr>
          <w:p w14:paraId="0E8126E6" w14:textId="77777777" w:rsidR="00331FED" w:rsidRPr="007D770B" w:rsidRDefault="00331FED" w:rsidP="006A4C8A">
            <w:pPr>
              <w:spacing w:before="2" w:line="259" w:lineRule="auto"/>
              <w:ind w:left="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rPr>
            </w:pPr>
            <w:r w:rsidRPr="007D770B">
              <w:rPr>
                <w:rFonts w:ascii="Times New Roman" w:hAnsi="Times New Roman"/>
                <w:sz w:val="16"/>
              </w:rPr>
              <w:t>Fair value (transaction costs are not included)</w:t>
            </w:r>
          </w:p>
        </w:tc>
        <w:tc>
          <w:tcPr>
            <w:tcW w:w="1349" w:type="dxa"/>
          </w:tcPr>
          <w:p w14:paraId="0BBE03C0" w14:textId="77777777" w:rsidR="00331FED" w:rsidRPr="000A39ED" w:rsidRDefault="00331FED" w:rsidP="006A4C8A">
            <w:pPr>
              <w:spacing w:before="2" w:line="259" w:lineRule="auto"/>
              <w:ind w:left="9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lang w:val="ru-RU"/>
              </w:rPr>
            </w:pPr>
            <w:r w:rsidRPr="000A39ED">
              <w:rPr>
                <w:rFonts w:ascii="Times New Roman" w:hAnsi="Times New Roman"/>
                <w:sz w:val="16"/>
                <w:lang w:val="ru-RU"/>
              </w:rPr>
              <w:t>Fair value + transaction costs</w:t>
            </w:r>
          </w:p>
        </w:tc>
        <w:tc>
          <w:tcPr>
            <w:tcW w:w="1225" w:type="dxa"/>
          </w:tcPr>
          <w:p w14:paraId="13A28716" w14:textId="77777777" w:rsidR="00331FED" w:rsidRPr="007D770B" w:rsidRDefault="00331FED" w:rsidP="00FE2314">
            <w:pPr>
              <w:spacing w:before="2" w:line="259" w:lineRule="auto"/>
              <w:ind w:left="91" w:right="5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rPr>
            </w:pPr>
            <w:r w:rsidRPr="007D770B">
              <w:rPr>
                <w:rFonts w:ascii="Times New Roman" w:hAnsi="Times New Roman"/>
                <w:sz w:val="16"/>
              </w:rPr>
              <w:t>Fair value (transaction costs are not included)</w:t>
            </w:r>
          </w:p>
        </w:tc>
      </w:tr>
      <w:tr w:rsidR="00331FED" w:rsidRPr="001A5C87" w14:paraId="12C4E538" w14:textId="77777777" w:rsidTr="008D54EC">
        <w:trPr>
          <w:jc w:val="center"/>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74AA25C0" w14:textId="77777777" w:rsidR="00331FED" w:rsidRPr="005F3958" w:rsidRDefault="00331FED" w:rsidP="008D54EC">
            <w:pPr>
              <w:spacing w:line="259" w:lineRule="auto"/>
              <w:jc w:val="center"/>
              <w:rPr>
                <w:rFonts w:ascii="Times New Roman" w:hAnsi="Times New Roman"/>
                <w:sz w:val="16"/>
              </w:rPr>
            </w:pPr>
            <w:r w:rsidRPr="001A5C87">
              <w:rPr>
                <w:rFonts w:ascii="Times New Roman" w:hAnsi="Times New Roman"/>
                <w:sz w:val="16"/>
              </w:rPr>
              <w:t>Follow-up evaluation</w:t>
            </w:r>
          </w:p>
        </w:tc>
        <w:tc>
          <w:tcPr>
            <w:tcW w:w="1350" w:type="dxa"/>
          </w:tcPr>
          <w:p w14:paraId="3E7723FF" w14:textId="77777777" w:rsidR="00331FED" w:rsidRPr="005F3958" w:rsidRDefault="00331FED" w:rsidP="008D54EC">
            <w:pPr>
              <w:spacing w:before="2" w:line="259" w:lineRule="auto"/>
              <w:ind w:left="15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rPr>
            </w:pPr>
            <w:r w:rsidRPr="001A5C87">
              <w:rPr>
                <w:rFonts w:ascii="Times New Roman" w:hAnsi="Times New Roman"/>
                <w:sz w:val="16"/>
              </w:rPr>
              <w:t>Amortized cost</w:t>
            </w:r>
          </w:p>
        </w:tc>
        <w:tc>
          <w:tcPr>
            <w:tcW w:w="1350" w:type="dxa"/>
          </w:tcPr>
          <w:p w14:paraId="7BACC12E" w14:textId="77777777" w:rsidR="00331FED" w:rsidRPr="005F3958" w:rsidRDefault="00331FED" w:rsidP="006A4C8A">
            <w:pPr>
              <w:spacing w:before="2" w:line="259" w:lineRule="auto"/>
              <w:ind w:lef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rPr>
            </w:pPr>
            <w:r w:rsidRPr="001A5C87">
              <w:rPr>
                <w:rFonts w:ascii="Times New Roman" w:hAnsi="Times New Roman"/>
                <w:sz w:val="16"/>
              </w:rPr>
              <w:t>Fair value</w:t>
            </w:r>
          </w:p>
        </w:tc>
        <w:tc>
          <w:tcPr>
            <w:tcW w:w="1350" w:type="dxa"/>
          </w:tcPr>
          <w:p w14:paraId="2D7BEFDB" w14:textId="77777777" w:rsidR="00331FED" w:rsidRPr="005F3958" w:rsidRDefault="00331FED" w:rsidP="006A4C8A">
            <w:pPr>
              <w:spacing w:before="2" w:line="259" w:lineRule="auto"/>
              <w:ind w:left="27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rPr>
            </w:pPr>
            <w:r w:rsidRPr="001A5C87">
              <w:rPr>
                <w:rFonts w:ascii="Times New Roman" w:hAnsi="Times New Roman"/>
                <w:sz w:val="16"/>
              </w:rPr>
              <w:t>Fair value</w:t>
            </w:r>
          </w:p>
        </w:tc>
        <w:tc>
          <w:tcPr>
            <w:tcW w:w="1530" w:type="dxa"/>
          </w:tcPr>
          <w:p w14:paraId="06AD7F00" w14:textId="77777777" w:rsidR="00331FED" w:rsidRPr="005F3958" w:rsidRDefault="00331FED" w:rsidP="006A4C8A">
            <w:pPr>
              <w:spacing w:before="2" w:line="259" w:lineRule="auto"/>
              <w:ind w:left="3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rPr>
            </w:pPr>
            <w:r w:rsidRPr="001A5C87">
              <w:rPr>
                <w:rFonts w:ascii="Times New Roman" w:hAnsi="Times New Roman"/>
                <w:sz w:val="16"/>
              </w:rPr>
              <w:t>Fair value</w:t>
            </w:r>
          </w:p>
        </w:tc>
        <w:tc>
          <w:tcPr>
            <w:tcW w:w="1349" w:type="dxa"/>
          </w:tcPr>
          <w:p w14:paraId="48EDDFB1" w14:textId="77777777" w:rsidR="00331FED" w:rsidRPr="005F3958" w:rsidRDefault="00331FED" w:rsidP="006A4C8A">
            <w:pPr>
              <w:spacing w:before="2" w:line="259" w:lineRule="auto"/>
              <w:ind w:lef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rPr>
            </w:pPr>
            <w:r w:rsidRPr="001A5C87">
              <w:rPr>
                <w:rFonts w:ascii="Times New Roman" w:hAnsi="Times New Roman"/>
                <w:sz w:val="16"/>
              </w:rPr>
              <w:t>Fair value</w:t>
            </w:r>
          </w:p>
        </w:tc>
        <w:tc>
          <w:tcPr>
            <w:tcW w:w="1225" w:type="dxa"/>
          </w:tcPr>
          <w:p w14:paraId="68AB6815" w14:textId="77777777" w:rsidR="00331FED" w:rsidRPr="005F3958" w:rsidRDefault="00331FED" w:rsidP="00FE2314">
            <w:pPr>
              <w:spacing w:before="2" w:line="259" w:lineRule="auto"/>
              <w:ind w:left="91" w:right="5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rPr>
            </w:pPr>
            <w:r w:rsidRPr="001A5C87">
              <w:rPr>
                <w:rFonts w:ascii="Times New Roman" w:hAnsi="Times New Roman"/>
                <w:sz w:val="16"/>
              </w:rPr>
              <w:t>Fair value</w:t>
            </w:r>
          </w:p>
        </w:tc>
      </w:tr>
      <w:tr w:rsidR="00331FED" w:rsidRPr="00E60FFF" w14:paraId="6CE1D4A1" w14:textId="582DE93C" w:rsidTr="008D54E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269A44ED" w14:textId="77777777" w:rsidR="00331FED" w:rsidRPr="007D770B" w:rsidRDefault="00331FED" w:rsidP="008D54EC">
            <w:pPr>
              <w:spacing w:line="259" w:lineRule="auto"/>
              <w:jc w:val="center"/>
              <w:rPr>
                <w:rFonts w:ascii="Times New Roman" w:hAnsi="Times New Roman"/>
                <w:sz w:val="16"/>
              </w:rPr>
            </w:pPr>
            <w:r w:rsidRPr="007D770B">
              <w:rPr>
                <w:rFonts w:ascii="Times New Roman" w:hAnsi="Times New Roman"/>
                <w:sz w:val="16"/>
              </w:rPr>
              <w:t>Gains/losses on changes in fair value</w:t>
            </w:r>
          </w:p>
        </w:tc>
        <w:tc>
          <w:tcPr>
            <w:tcW w:w="1350" w:type="dxa"/>
          </w:tcPr>
          <w:p w14:paraId="0752F8B1" w14:textId="77777777" w:rsidR="00331FED" w:rsidRPr="005F3958" w:rsidRDefault="00331FED" w:rsidP="008D54EC">
            <w:pPr>
              <w:spacing w:before="2" w:line="259" w:lineRule="auto"/>
              <w:ind w:left="15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rPr>
            </w:pPr>
            <w:r w:rsidRPr="001A5C87">
              <w:rPr>
                <w:rFonts w:ascii="Times New Roman" w:hAnsi="Times New Roman"/>
                <w:sz w:val="16"/>
              </w:rPr>
              <w:t>-</w:t>
            </w:r>
          </w:p>
        </w:tc>
        <w:tc>
          <w:tcPr>
            <w:tcW w:w="1350" w:type="dxa"/>
          </w:tcPr>
          <w:p w14:paraId="151B4172" w14:textId="77777777" w:rsidR="00331FED" w:rsidRPr="007D770B" w:rsidRDefault="00331FED" w:rsidP="006A4C8A">
            <w:pPr>
              <w:spacing w:before="2" w:line="259" w:lineRule="auto"/>
              <w:ind w:left="9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rPr>
            </w:pPr>
            <w:r w:rsidRPr="007D770B">
              <w:rPr>
                <w:rFonts w:ascii="Times New Roman" w:hAnsi="Times New Roman"/>
                <w:sz w:val="16"/>
              </w:rPr>
              <w:t>Allowance for changes in fair value (in other comprehensive income)</w:t>
            </w:r>
          </w:p>
        </w:tc>
        <w:tc>
          <w:tcPr>
            <w:tcW w:w="1350" w:type="dxa"/>
          </w:tcPr>
          <w:p w14:paraId="51AA6D28" w14:textId="23B1EC81" w:rsidR="00331FED" w:rsidRPr="007D770B" w:rsidRDefault="00331FED" w:rsidP="006A4C8A">
            <w:pPr>
              <w:spacing w:before="2" w:line="259" w:lineRule="auto"/>
              <w:ind w:left="27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rPr>
            </w:pPr>
            <w:r w:rsidRPr="007D770B">
              <w:rPr>
                <w:rFonts w:ascii="Times New Roman" w:hAnsi="Times New Roman"/>
                <w:sz w:val="16"/>
              </w:rPr>
              <w:t>Gains less losses arising from transactions with this financial asset</w:t>
            </w:r>
          </w:p>
        </w:tc>
        <w:tc>
          <w:tcPr>
            <w:tcW w:w="1530" w:type="dxa"/>
          </w:tcPr>
          <w:p w14:paraId="122A80F5" w14:textId="2B2B689E" w:rsidR="00331FED" w:rsidRPr="007D770B" w:rsidRDefault="00331FED" w:rsidP="006A4C8A">
            <w:pPr>
              <w:spacing w:before="2" w:line="259" w:lineRule="auto"/>
              <w:ind w:left="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rPr>
            </w:pPr>
            <w:r w:rsidRPr="007D770B">
              <w:rPr>
                <w:rFonts w:ascii="Times New Roman" w:hAnsi="Times New Roman"/>
                <w:sz w:val="16"/>
              </w:rPr>
              <w:t>Gains less losses from operations with derivative financial instruments</w:t>
            </w:r>
          </w:p>
        </w:tc>
        <w:tc>
          <w:tcPr>
            <w:tcW w:w="1349" w:type="dxa"/>
          </w:tcPr>
          <w:p w14:paraId="03A2004A" w14:textId="721B53BF" w:rsidR="00331FED" w:rsidRPr="007D770B" w:rsidRDefault="00331FED" w:rsidP="006A4C8A">
            <w:pPr>
              <w:spacing w:before="2" w:line="259" w:lineRule="auto"/>
              <w:ind w:left="9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rPr>
            </w:pPr>
            <w:r w:rsidRPr="007D770B">
              <w:rPr>
                <w:rFonts w:ascii="Times New Roman" w:hAnsi="Times New Roman"/>
                <w:sz w:val="16"/>
              </w:rPr>
              <w:t>Allowance for changes in fair value (in other comprehensive income)</w:t>
            </w:r>
          </w:p>
        </w:tc>
        <w:tc>
          <w:tcPr>
            <w:tcW w:w="1225" w:type="dxa"/>
          </w:tcPr>
          <w:p w14:paraId="78F1BCB8" w14:textId="5D83B4A0" w:rsidR="00331FED" w:rsidRPr="007D770B" w:rsidRDefault="00331FED" w:rsidP="00FE2314">
            <w:pPr>
              <w:spacing w:before="2" w:line="259" w:lineRule="auto"/>
              <w:ind w:left="91" w:right="5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rPr>
            </w:pPr>
            <w:r w:rsidRPr="007D770B">
              <w:rPr>
                <w:rFonts w:ascii="Times New Roman" w:hAnsi="Times New Roman"/>
                <w:sz w:val="16"/>
              </w:rPr>
              <w:t>Gains less losses from other financial assets at fair value through profit or loss</w:t>
            </w:r>
          </w:p>
        </w:tc>
      </w:tr>
      <w:tr w:rsidR="00331FED" w:rsidRPr="001A5C87" w14:paraId="3C1A2561" w14:textId="77777777" w:rsidTr="008D54EC">
        <w:trPr>
          <w:jc w:val="center"/>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2EA71302" w14:textId="77777777" w:rsidR="00331FED" w:rsidRPr="001A5C87" w:rsidRDefault="00331FED" w:rsidP="008D54EC">
            <w:pPr>
              <w:spacing w:line="259" w:lineRule="auto"/>
              <w:jc w:val="center"/>
              <w:rPr>
                <w:rFonts w:ascii="Times New Roman" w:hAnsi="Times New Roman"/>
                <w:sz w:val="16"/>
                <w:szCs w:val="16"/>
              </w:rPr>
            </w:pPr>
            <w:r w:rsidRPr="001A5C87">
              <w:rPr>
                <w:rFonts w:ascii="Times New Roman" w:hAnsi="Times New Roman"/>
                <w:sz w:val="16"/>
                <w:szCs w:val="16"/>
              </w:rPr>
              <w:t>Percentages</w:t>
            </w:r>
          </w:p>
        </w:tc>
        <w:tc>
          <w:tcPr>
            <w:tcW w:w="1350" w:type="dxa"/>
          </w:tcPr>
          <w:p w14:paraId="5A910A91" w14:textId="7F97147B" w:rsidR="00331FED" w:rsidRPr="001A5C87" w:rsidRDefault="00331FED" w:rsidP="008D54EC">
            <w:pPr>
              <w:spacing w:before="2" w:line="259" w:lineRule="auto"/>
              <w:ind w:left="15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1A5C87">
              <w:rPr>
                <w:rFonts w:ascii="Times New Roman" w:hAnsi="Times New Roman"/>
                <w:sz w:val="16"/>
                <w:szCs w:val="16"/>
              </w:rPr>
              <w:t xml:space="preserve">Revenue </w:t>
            </w:r>
            <w:r w:rsidR="006A4C8A" w:rsidRPr="007D770B">
              <w:rPr>
                <w:rFonts w:ascii="Times New Roman" w:hAnsi="Times New Roman"/>
                <w:sz w:val="16"/>
                <w:szCs w:val="16"/>
              </w:rPr>
              <w:t>(</w:t>
            </w:r>
            <w:r w:rsidRPr="001A5C87">
              <w:rPr>
                <w:rFonts w:ascii="Times New Roman" w:hAnsi="Times New Roman"/>
                <w:sz w:val="16"/>
                <w:szCs w:val="16"/>
              </w:rPr>
              <w:t>at effective interest rate)</w:t>
            </w:r>
          </w:p>
        </w:tc>
        <w:tc>
          <w:tcPr>
            <w:tcW w:w="1350" w:type="dxa"/>
          </w:tcPr>
          <w:p w14:paraId="094F4A86" w14:textId="61F99F1A" w:rsidR="00331FED" w:rsidRPr="001A5C87" w:rsidRDefault="00331FED" w:rsidP="006A4C8A">
            <w:pPr>
              <w:spacing w:before="2" w:line="259" w:lineRule="auto"/>
              <w:ind w:lef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1A5C87">
              <w:rPr>
                <w:rFonts w:ascii="Times New Roman" w:hAnsi="Times New Roman"/>
                <w:sz w:val="16"/>
                <w:szCs w:val="16"/>
              </w:rPr>
              <w:t xml:space="preserve">Revenue </w:t>
            </w:r>
            <w:r w:rsidR="006A4C8A" w:rsidRPr="007D770B">
              <w:rPr>
                <w:rFonts w:ascii="Times New Roman" w:hAnsi="Times New Roman"/>
                <w:sz w:val="16"/>
                <w:szCs w:val="16"/>
              </w:rPr>
              <w:t>(at effective interest rate</w:t>
            </w:r>
          </w:p>
        </w:tc>
        <w:tc>
          <w:tcPr>
            <w:tcW w:w="1350" w:type="dxa"/>
          </w:tcPr>
          <w:p w14:paraId="41EAB518" w14:textId="4059A25B" w:rsidR="00331FED" w:rsidRPr="001A5C87" w:rsidRDefault="00331FED" w:rsidP="006A4C8A">
            <w:pPr>
              <w:spacing w:before="2" w:line="259" w:lineRule="auto"/>
              <w:ind w:left="27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1A5C87">
              <w:rPr>
                <w:rFonts w:ascii="Times New Roman" w:hAnsi="Times New Roman"/>
                <w:sz w:val="16"/>
                <w:szCs w:val="16"/>
              </w:rPr>
              <w:t xml:space="preserve">Revenue </w:t>
            </w:r>
            <w:r w:rsidR="006A4C8A" w:rsidRPr="007D770B">
              <w:rPr>
                <w:rFonts w:ascii="Times New Roman" w:hAnsi="Times New Roman"/>
                <w:sz w:val="16"/>
                <w:szCs w:val="16"/>
              </w:rPr>
              <w:t>(at effective interest rate</w:t>
            </w:r>
          </w:p>
        </w:tc>
        <w:tc>
          <w:tcPr>
            <w:tcW w:w="1530" w:type="dxa"/>
          </w:tcPr>
          <w:p w14:paraId="64323F52" w14:textId="77777777" w:rsidR="00331FED" w:rsidRPr="001A5C87" w:rsidRDefault="00331FED" w:rsidP="006A4C8A">
            <w:pPr>
              <w:spacing w:before="2" w:line="259" w:lineRule="auto"/>
              <w:ind w:left="3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Pr>
                <w:rFonts w:ascii="Times New Roman" w:hAnsi="Times New Roman"/>
                <w:sz w:val="16"/>
                <w:szCs w:val="16"/>
              </w:rPr>
              <w:t>-</w:t>
            </w:r>
          </w:p>
        </w:tc>
        <w:tc>
          <w:tcPr>
            <w:tcW w:w="1349" w:type="dxa"/>
          </w:tcPr>
          <w:p w14:paraId="76B41250" w14:textId="77777777" w:rsidR="00331FED" w:rsidRPr="001A5C87" w:rsidRDefault="00331FED" w:rsidP="006A4C8A">
            <w:pPr>
              <w:spacing w:before="2" w:line="259" w:lineRule="auto"/>
              <w:ind w:lef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1A5C87">
              <w:rPr>
                <w:rFonts w:ascii="Times New Roman" w:hAnsi="Times New Roman"/>
                <w:sz w:val="16"/>
                <w:szCs w:val="16"/>
              </w:rPr>
              <w:t>-</w:t>
            </w:r>
          </w:p>
        </w:tc>
        <w:tc>
          <w:tcPr>
            <w:tcW w:w="1225" w:type="dxa"/>
          </w:tcPr>
          <w:p w14:paraId="752F8BFB" w14:textId="77777777" w:rsidR="00331FED" w:rsidRPr="001A5C87" w:rsidRDefault="00331FED" w:rsidP="00FE2314">
            <w:pPr>
              <w:spacing w:before="2" w:line="259" w:lineRule="auto"/>
              <w:ind w:left="91" w:right="5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1A5C87">
              <w:rPr>
                <w:rFonts w:ascii="Times New Roman" w:hAnsi="Times New Roman"/>
                <w:sz w:val="16"/>
                <w:szCs w:val="16"/>
              </w:rPr>
              <w:t>-</w:t>
            </w:r>
          </w:p>
        </w:tc>
      </w:tr>
      <w:tr w:rsidR="00331FED" w:rsidRPr="001A5C87" w14:paraId="54708B59" w14:textId="77777777" w:rsidTr="008D54E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5218C431" w14:textId="77777777" w:rsidR="00331FED" w:rsidRPr="001A5C87" w:rsidRDefault="00331FED" w:rsidP="008D54EC">
            <w:pPr>
              <w:spacing w:line="259" w:lineRule="auto"/>
              <w:jc w:val="center"/>
              <w:rPr>
                <w:rFonts w:ascii="Times New Roman" w:hAnsi="Times New Roman"/>
                <w:sz w:val="16"/>
                <w:szCs w:val="16"/>
              </w:rPr>
            </w:pPr>
            <w:r w:rsidRPr="001A5C87">
              <w:rPr>
                <w:rFonts w:ascii="Times New Roman" w:hAnsi="Times New Roman"/>
                <w:sz w:val="16"/>
                <w:szCs w:val="16"/>
              </w:rPr>
              <w:t>Dividends</w:t>
            </w:r>
          </w:p>
        </w:tc>
        <w:tc>
          <w:tcPr>
            <w:tcW w:w="1350" w:type="dxa"/>
          </w:tcPr>
          <w:p w14:paraId="1B2B705B" w14:textId="77777777" w:rsidR="00331FED" w:rsidRPr="001A5C87" w:rsidRDefault="00331FED" w:rsidP="008D54EC">
            <w:pPr>
              <w:spacing w:before="2" w:line="259" w:lineRule="auto"/>
              <w:ind w:left="15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1A5C87">
              <w:rPr>
                <w:rFonts w:ascii="Times New Roman" w:hAnsi="Times New Roman"/>
                <w:sz w:val="16"/>
                <w:szCs w:val="16"/>
              </w:rPr>
              <w:t>-</w:t>
            </w:r>
          </w:p>
        </w:tc>
        <w:tc>
          <w:tcPr>
            <w:tcW w:w="1350" w:type="dxa"/>
          </w:tcPr>
          <w:p w14:paraId="6C8223C1" w14:textId="77777777" w:rsidR="00331FED" w:rsidRPr="001A5C87" w:rsidRDefault="00331FED" w:rsidP="006A4C8A">
            <w:pPr>
              <w:spacing w:before="2" w:line="259" w:lineRule="auto"/>
              <w:ind w:left="9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Pr>
                <w:rFonts w:ascii="Times New Roman" w:hAnsi="Times New Roman"/>
                <w:sz w:val="16"/>
                <w:szCs w:val="16"/>
              </w:rPr>
              <w:t>-</w:t>
            </w:r>
          </w:p>
        </w:tc>
        <w:tc>
          <w:tcPr>
            <w:tcW w:w="1350" w:type="dxa"/>
          </w:tcPr>
          <w:p w14:paraId="57A29501" w14:textId="77777777" w:rsidR="00331FED" w:rsidRPr="001A5C87" w:rsidRDefault="00331FED" w:rsidP="006A4C8A">
            <w:pPr>
              <w:spacing w:before="2" w:line="259" w:lineRule="auto"/>
              <w:ind w:left="27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1A5C87">
              <w:rPr>
                <w:rFonts w:ascii="Times New Roman" w:hAnsi="Times New Roman"/>
                <w:sz w:val="16"/>
                <w:szCs w:val="16"/>
              </w:rPr>
              <w:t>-</w:t>
            </w:r>
          </w:p>
        </w:tc>
        <w:tc>
          <w:tcPr>
            <w:tcW w:w="1530" w:type="dxa"/>
          </w:tcPr>
          <w:p w14:paraId="133B24CD" w14:textId="77777777" w:rsidR="00331FED" w:rsidRPr="001A5C87" w:rsidRDefault="00331FED" w:rsidP="006A4C8A">
            <w:pPr>
              <w:spacing w:before="2" w:line="259" w:lineRule="auto"/>
              <w:ind w:left="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1A5C87">
              <w:rPr>
                <w:rFonts w:ascii="Times New Roman" w:hAnsi="Times New Roman"/>
                <w:sz w:val="16"/>
                <w:szCs w:val="16"/>
              </w:rPr>
              <w:t>-</w:t>
            </w:r>
          </w:p>
        </w:tc>
        <w:tc>
          <w:tcPr>
            <w:tcW w:w="1349" w:type="dxa"/>
          </w:tcPr>
          <w:p w14:paraId="5EFF935A" w14:textId="77777777" w:rsidR="00331FED" w:rsidRPr="001A5C87" w:rsidRDefault="00331FED" w:rsidP="006A4C8A">
            <w:pPr>
              <w:spacing w:before="2" w:line="259" w:lineRule="auto"/>
              <w:ind w:left="9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1A5C87">
              <w:rPr>
                <w:rFonts w:ascii="Times New Roman" w:hAnsi="Times New Roman"/>
                <w:sz w:val="16"/>
                <w:szCs w:val="16"/>
              </w:rPr>
              <w:t>Other operating income</w:t>
            </w:r>
          </w:p>
        </w:tc>
        <w:tc>
          <w:tcPr>
            <w:tcW w:w="1225" w:type="dxa"/>
          </w:tcPr>
          <w:p w14:paraId="0DC4DD75" w14:textId="77777777" w:rsidR="00331FED" w:rsidRPr="001A5C87" w:rsidRDefault="00331FED" w:rsidP="00FE2314">
            <w:pPr>
              <w:spacing w:before="2" w:line="259" w:lineRule="auto"/>
              <w:ind w:left="91" w:right="5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1A5C87">
              <w:rPr>
                <w:rFonts w:ascii="Times New Roman" w:hAnsi="Times New Roman"/>
                <w:sz w:val="16"/>
                <w:szCs w:val="16"/>
              </w:rPr>
              <w:t>Other operating income</w:t>
            </w:r>
          </w:p>
        </w:tc>
      </w:tr>
      <w:tr w:rsidR="00331FED" w:rsidRPr="001A5C87" w14:paraId="478AD847" w14:textId="77777777" w:rsidTr="008D54EC">
        <w:trPr>
          <w:jc w:val="center"/>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7C9EB7DC" w14:textId="77777777" w:rsidR="00331FED" w:rsidRPr="005F3958" w:rsidRDefault="00331FED" w:rsidP="008D54EC">
            <w:pPr>
              <w:spacing w:line="259" w:lineRule="auto"/>
              <w:jc w:val="center"/>
              <w:rPr>
                <w:rFonts w:ascii="Times New Roman" w:hAnsi="Times New Roman"/>
                <w:sz w:val="16"/>
              </w:rPr>
            </w:pPr>
            <w:r w:rsidRPr="001A5C87">
              <w:rPr>
                <w:rFonts w:ascii="Times New Roman" w:hAnsi="Times New Roman"/>
                <w:sz w:val="16"/>
              </w:rPr>
              <w:t>Impairment losses</w:t>
            </w:r>
          </w:p>
        </w:tc>
        <w:tc>
          <w:tcPr>
            <w:tcW w:w="1350" w:type="dxa"/>
          </w:tcPr>
          <w:p w14:paraId="70006DA7" w14:textId="77777777" w:rsidR="00331FED" w:rsidRPr="005F3958" w:rsidRDefault="00331FED" w:rsidP="008D54EC">
            <w:pPr>
              <w:spacing w:before="2" w:line="259" w:lineRule="auto"/>
              <w:ind w:left="15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rPr>
            </w:pPr>
            <w:r w:rsidRPr="001A5C87">
              <w:rPr>
                <w:rFonts w:ascii="Times New Roman" w:hAnsi="Times New Roman"/>
                <w:sz w:val="16"/>
              </w:rPr>
              <w:t>Impairment losses</w:t>
            </w:r>
          </w:p>
        </w:tc>
        <w:tc>
          <w:tcPr>
            <w:tcW w:w="1350" w:type="dxa"/>
          </w:tcPr>
          <w:p w14:paraId="5B7B8DE3" w14:textId="77777777" w:rsidR="00331FED" w:rsidRPr="005F3958" w:rsidRDefault="00331FED" w:rsidP="006A4C8A">
            <w:pPr>
              <w:spacing w:before="2" w:line="259" w:lineRule="auto"/>
              <w:ind w:lef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rPr>
            </w:pPr>
            <w:r w:rsidRPr="001A5C87">
              <w:rPr>
                <w:rFonts w:ascii="Times New Roman" w:hAnsi="Times New Roman"/>
                <w:sz w:val="16"/>
              </w:rPr>
              <w:t>Impairment losses</w:t>
            </w:r>
          </w:p>
        </w:tc>
        <w:tc>
          <w:tcPr>
            <w:tcW w:w="1350" w:type="dxa"/>
          </w:tcPr>
          <w:p w14:paraId="2DFF1ECC" w14:textId="77777777" w:rsidR="00331FED" w:rsidRPr="005F3958" w:rsidRDefault="00331FED" w:rsidP="006A4C8A">
            <w:pPr>
              <w:spacing w:before="2" w:line="259" w:lineRule="auto"/>
              <w:ind w:left="27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rPr>
            </w:pPr>
            <w:r w:rsidRPr="001A5C87">
              <w:rPr>
                <w:rFonts w:ascii="Times New Roman" w:hAnsi="Times New Roman"/>
                <w:sz w:val="16"/>
              </w:rPr>
              <w:t>-</w:t>
            </w:r>
          </w:p>
        </w:tc>
        <w:tc>
          <w:tcPr>
            <w:tcW w:w="1530" w:type="dxa"/>
          </w:tcPr>
          <w:p w14:paraId="2F4D5014" w14:textId="77777777" w:rsidR="00331FED" w:rsidRPr="005F3958" w:rsidRDefault="00331FED" w:rsidP="006A4C8A">
            <w:pPr>
              <w:spacing w:before="2" w:line="259" w:lineRule="auto"/>
              <w:ind w:left="3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rPr>
            </w:pPr>
            <w:r w:rsidRPr="001A5C87">
              <w:rPr>
                <w:rFonts w:ascii="Times New Roman" w:hAnsi="Times New Roman"/>
                <w:sz w:val="16"/>
              </w:rPr>
              <w:t>-</w:t>
            </w:r>
          </w:p>
        </w:tc>
        <w:tc>
          <w:tcPr>
            <w:tcW w:w="1349" w:type="dxa"/>
          </w:tcPr>
          <w:p w14:paraId="4405CC2F" w14:textId="77777777" w:rsidR="00331FED" w:rsidRPr="001A5C87" w:rsidRDefault="00331FED" w:rsidP="006A4C8A">
            <w:pPr>
              <w:spacing w:before="2" w:line="259" w:lineRule="auto"/>
              <w:ind w:lef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1A5C87">
              <w:rPr>
                <w:rFonts w:ascii="Times New Roman" w:hAnsi="Times New Roman"/>
                <w:sz w:val="16"/>
                <w:szCs w:val="16"/>
              </w:rPr>
              <w:t>-</w:t>
            </w:r>
          </w:p>
        </w:tc>
        <w:tc>
          <w:tcPr>
            <w:tcW w:w="1225" w:type="dxa"/>
          </w:tcPr>
          <w:p w14:paraId="2D76F467" w14:textId="77777777" w:rsidR="00331FED" w:rsidRPr="005F3958" w:rsidRDefault="00331FED" w:rsidP="00FE2314">
            <w:pPr>
              <w:spacing w:before="2" w:line="259" w:lineRule="auto"/>
              <w:ind w:left="91" w:right="5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rPr>
            </w:pPr>
            <w:r w:rsidRPr="001A5C87">
              <w:rPr>
                <w:rFonts w:ascii="Times New Roman" w:hAnsi="Times New Roman"/>
                <w:sz w:val="16"/>
              </w:rPr>
              <w:t>-</w:t>
            </w:r>
          </w:p>
        </w:tc>
      </w:tr>
    </w:tbl>
    <w:p w14:paraId="3497F2DC" w14:textId="77777777" w:rsidR="00331FED" w:rsidRDefault="00331FED" w:rsidP="00331FED">
      <w:pPr>
        <w:pStyle w:val="21"/>
        <w:tabs>
          <w:tab w:val="clear" w:pos="1134"/>
        </w:tabs>
        <w:spacing w:after="240"/>
        <w:ind w:firstLine="0"/>
        <w:rPr>
          <w:sz w:val="20"/>
          <w:szCs w:val="20"/>
        </w:rPr>
      </w:pPr>
    </w:p>
    <w:p w14:paraId="444CBE4F" w14:textId="77777777" w:rsidR="00331FED" w:rsidRDefault="00331FED" w:rsidP="00331FED">
      <w:pPr>
        <w:pStyle w:val="21"/>
        <w:tabs>
          <w:tab w:val="clear" w:pos="1134"/>
        </w:tabs>
        <w:spacing w:after="240"/>
        <w:ind w:firstLine="0"/>
        <w:rPr>
          <w:sz w:val="20"/>
          <w:szCs w:val="20"/>
        </w:rPr>
      </w:pPr>
    </w:p>
    <w:p w14:paraId="278A0043" w14:textId="14572F37" w:rsidR="00331FED" w:rsidRDefault="00331FED" w:rsidP="00331FED">
      <w:pPr>
        <w:spacing w:after="160" w:line="259" w:lineRule="auto"/>
        <w:ind w:left="0"/>
        <w:jc w:val="left"/>
        <w:rPr>
          <w:rFonts w:ascii="Times New Roman" w:hAnsi="Times New Roman"/>
        </w:rPr>
      </w:pPr>
    </w:p>
    <w:p w14:paraId="7438E54D" w14:textId="77777777" w:rsidR="00331FED" w:rsidRPr="007D770B" w:rsidRDefault="00331FED" w:rsidP="00331FED">
      <w:pPr>
        <w:pStyle w:val="21"/>
        <w:tabs>
          <w:tab w:val="clear" w:pos="1134"/>
        </w:tabs>
        <w:spacing w:after="240"/>
        <w:ind w:firstLine="0"/>
        <w:rPr>
          <w:sz w:val="20"/>
          <w:szCs w:val="20"/>
          <w:lang w:val="en-US"/>
        </w:rPr>
      </w:pPr>
      <w:r w:rsidRPr="007D770B">
        <w:rPr>
          <w:sz w:val="20"/>
          <w:szCs w:val="20"/>
          <w:lang w:val="en-US"/>
        </w:rPr>
        <w:t>The accounting treatment of financial liabilities by financial institutions is summarized in the table below:</w:t>
      </w:r>
    </w:p>
    <w:tbl>
      <w:tblPr>
        <w:tblStyle w:val="-541"/>
        <w:tblW w:w="9445" w:type="dxa"/>
        <w:jc w:val="center"/>
        <w:tblLayout w:type="fixed"/>
        <w:tblCellMar>
          <w:left w:w="0" w:type="dxa"/>
          <w:right w:w="0" w:type="dxa"/>
        </w:tblCellMar>
        <w:tblLook w:val="04A0" w:firstRow="1" w:lastRow="0" w:firstColumn="1" w:lastColumn="0" w:noHBand="0" w:noVBand="1"/>
      </w:tblPr>
      <w:tblGrid>
        <w:gridCol w:w="1705"/>
        <w:gridCol w:w="232"/>
        <w:gridCol w:w="1658"/>
        <w:gridCol w:w="232"/>
        <w:gridCol w:w="1705"/>
        <w:gridCol w:w="232"/>
        <w:gridCol w:w="1705"/>
        <w:gridCol w:w="232"/>
        <w:gridCol w:w="1706"/>
        <w:gridCol w:w="38"/>
      </w:tblGrid>
      <w:tr w:rsidR="00331FED" w:rsidRPr="00E60FFF" w14:paraId="2F87AA4C" w14:textId="77777777" w:rsidTr="00FE231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37" w:type="dxa"/>
            <w:gridSpan w:val="2"/>
            <w:vAlign w:val="center"/>
          </w:tcPr>
          <w:p w14:paraId="45C1A871" w14:textId="77777777" w:rsidR="00331FED" w:rsidRPr="001A5C87" w:rsidRDefault="00331FED" w:rsidP="008D54EC">
            <w:pPr>
              <w:spacing w:line="259" w:lineRule="auto"/>
              <w:jc w:val="center"/>
              <w:rPr>
                <w:rFonts w:ascii="Times New Roman" w:hAnsi="Times New Roman"/>
                <w:sz w:val="16"/>
                <w:szCs w:val="16"/>
              </w:rPr>
            </w:pPr>
            <w:r w:rsidRPr="001A5C87">
              <w:rPr>
                <w:rFonts w:ascii="Times New Roman" w:hAnsi="Times New Roman"/>
                <w:sz w:val="16"/>
                <w:szCs w:val="16"/>
              </w:rPr>
              <w:t>Type of tool</w:t>
            </w:r>
          </w:p>
        </w:tc>
        <w:tc>
          <w:tcPr>
            <w:tcW w:w="1890" w:type="dxa"/>
            <w:gridSpan w:val="2"/>
            <w:vAlign w:val="center"/>
          </w:tcPr>
          <w:p w14:paraId="3167DF6D" w14:textId="77777777" w:rsidR="00331FED" w:rsidRPr="001A5C87" w:rsidRDefault="00331FED" w:rsidP="006A4C8A">
            <w:pPr>
              <w:spacing w:line="259" w:lineRule="auto"/>
              <w:ind w:left="30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sidRPr="001A5C87">
              <w:rPr>
                <w:rFonts w:ascii="Times New Roman" w:hAnsi="Times New Roman"/>
                <w:sz w:val="16"/>
                <w:szCs w:val="16"/>
              </w:rPr>
              <w:t>Financial liabilities</w:t>
            </w:r>
          </w:p>
        </w:tc>
        <w:tc>
          <w:tcPr>
            <w:tcW w:w="1937" w:type="dxa"/>
            <w:gridSpan w:val="2"/>
            <w:vAlign w:val="center"/>
          </w:tcPr>
          <w:p w14:paraId="78F33368" w14:textId="77777777" w:rsidR="00331FED" w:rsidRPr="001A5C87" w:rsidRDefault="00331FED" w:rsidP="006A4C8A">
            <w:pPr>
              <w:spacing w:line="259" w:lineRule="auto"/>
              <w:ind w:left="26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sidRPr="001A5C87">
              <w:rPr>
                <w:rFonts w:ascii="Times New Roman" w:hAnsi="Times New Roman"/>
                <w:sz w:val="16"/>
                <w:szCs w:val="16"/>
              </w:rPr>
              <w:t>Derivative financial instruments</w:t>
            </w:r>
          </w:p>
        </w:tc>
        <w:tc>
          <w:tcPr>
            <w:tcW w:w="1937" w:type="dxa"/>
            <w:gridSpan w:val="2"/>
            <w:vAlign w:val="center"/>
          </w:tcPr>
          <w:p w14:paraId="250822AE" w14:textId="77777777" w:rsidR="00331FED" w:rsidRPr="001A5C87" w:rsidRDefault="00331FED" w:rsidP="006A4C8A">
            <w:pPr>
              <w:spacing w:line="259" w:lineRule="auto"/>
              <w:ind w:left="21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1A5C87">
              <w:rPr>
                <w:rFonts w:ascii="Times New Roman" w:hAnsi="Times New Roman"/>
                <w:sz w:val="16"/>
                <w:szCs w:val="16"/>
              </w:rPr>
              <w:t>Financial guarantee contracts</w:t>
            </w:r>
          </w:p>
        </w:tc>
        <w:tc>
          <w:tcPr>
            <w:tcW w:w="1744" w:type="dxa"/>
            <w:gridSpan w:val="2"/>
            <w:vAlign w:val="center"/>
          </w:tcPr>
          <w:p w14:paraId="44273777" w14:textId="77777777" w:rsidR="00331FED" w:rsidRPr="007D770B" w:rsidRDefault="00331FED" w:rsidP="00FE2314">
            <w:pPr>
              <w:spacing w:line="259" w:lineRule="auto"/>
              <w:ind w:left="77" w:right="15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7D770B">
              <w:rPr>
                <w:rFonts w:ascii="Times New Roman" w:hAnsi="Times New Roman"/>
                <w:sz w:val="16"/>
                <w:szCs w:val="16"/>
              </w:rPr>
              <w:t>Application of the SSOPU accounting option</w:t>
            </w:r>
          </w:p>
        </w:tc>
      </w:tr>
      <w:tr w:rsidR="00331FED" w:rsidRPr="001A5C87" w14:paraId="6D4A80E6" w14:textId="77777777" w:rsidTr="00FE2314">
        <w:trPr>
          <w:gridAfter w:val="1"/>
          <w:cnfStyle w:val="000000100000" w:firstRow="0" w:lastRow="0" w:firstColumn="0" w:lastColumn="0" w:oddVBand="0" w:evenVBand="0" w:oddHBand="1" w:evenHBand="0" w:firstRowFirstColumn="0" w:firstRowLastColumn="0" w:lastRowFirstColumn="0" w:lastRowLastColumn="0"/>
          <w:wAfter w:w="38" w:type="dxa"/>
          <w:jc w:val="center"/>
        </w:trPr>
        <w:tc>
          <w:tcPr>
            <w:cnfStyle w:val="001000000000" w:firstRow="0" w:lastRow="0" w:firstColumn="1" w:lastColumn="0" w:oddVBand="0" w:evenVBand="0" w:oddHBand="0" w:evenHBand="0" w:firstRowFirstColumn="0" w:firstRowLastColumn="0" w:lastRowFirstColumn="0" w:lastRowLastColumn="0"/>
            <w:tcW w:w="1705" w:type="dxa"/>
            <w:vAlign w:val="center"/>
          </w:tcPr>
          <w:p w14:paraId="029CE5D4" w14:textId="77777777" w:rsidR="00331FED" w:rsidRPr="001A5C87" w:rsidRDefault="00331FED" w:rsidP="00FE2314">
            <w:pPr>
              <w:spacing w:line="259" w:lineRule="auto"/>
              <w:ind w:left="355"/>
              <w:jc w:val="center"/>
              <w:rPr>
                <w:rFonts w:ascii="Times New Roman" w:hAnsi="Times New Roman"/>
                <w:sz w:val="16"/>
                <w:szCs w:val="16"/>
              </w:rPr>
            </w:pPr>
            <w:r w:rsidRPr="001A5C87">
              <w:rPr>
                <w:rFonts w:ascii="Times New Roman" w:hAnsi="Times New Roman"/>
                <w:sz w:val="16"/>
                <w:szCs w:val="16"/>
              </w:rPr>
              <w:t>Category</w:t>
            </w:r>
          </w:p>
        </w:tc>
        <w:tc>
          <w:tcPr>
            <w:tcW w:w="1890" w:type="dxa"/>
            <w:gridSpan w:val="2"/>
            <w:vAlign w:val="center"/>
          </w:tcPr>
          <w:p w14:paraId="58299CAD" w14:textId="77777777" w:rsidR="00331FED" w:rsidRPr="001A5C87" w:rsidRDefault="00331FED" w:rsidP="006A4C8A">
            <w:pPr>
              <w:spacing w:before="2" w:line="259" w:lineRule="auto"/>
              <w:ind w:left="3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16"/>
                <w:szCs w:val="16"/>
              </w:rPr>
            </w:pPr>
            <w:r w:rsidRPr="001A5C87">
              <w:rPr>
                <w:rFonts w:ascii="Times New Roman" w:hAnsi="Times New Roman"/>
                <w:b/>
                <w:sz w:val="16"/>
                <w:szCs w:val="16"/>
              </w:rPr>
              <w:t>Amortized cost</w:t>
            </w:r>
          </w:p>
        </w:tc>
        <w:tc>
          <w:tcPr>
            <w:tcW w:w="1937" w:type="dxa"/>
            <w:gridSpan w:val="2"/>
            <w:vAlign w:val="center"/>
          </w:tcPr>
          <w:p w14:paraId="4F6C8E90" w14:textId="77777777" w:rsidR="00331FED" w:rsidRPr="001A5C87" w:rsidRDefault="00331FED" w:rsidP="006A4C8A">
            <w:pPr>
              <w:spacing w:before="2" w:line="259" w:lineRule="auto"/>
              <w:ind w:left="26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16"/>
                <w:szCs w:val="16"/>
              </w:rPr>
            </w:pPr>
            <w:r w:rsidRPr="001A5C87">
              <w:rPr>
                <w:rFonts w:ascii="Times New Roman" w:hAnsi="Times New Roman"/>
                <w:b/>
                <w:sz w:val="16"/>
                <w:szCs w:val="16"/>
              </w:rPr>
              <w:t>SSOPU</w:t>
            </w:r>
          </w:p>
        </w:tc>
        <w:tc>
          <w:tcPr>
            <w:tcW w:w="1937" w:type="dxa"/>
            <w:gridSpan w:val="2"/>
            <w:vAlign w:val="center"/>
          </w:tcPr>
          <w:p w14:paraId="12A60282" w14:textId="77777777" w:rsidR="00331FED" w:rsidRPr="001A5C87" w:rsidRDefault="00331FED" w:rsidP="006A4C8A">
            <w:pPr>
              <w:spacing w:before="2" w:line="259" w:lineRule="auto"/>
              <w:ind w:left="214" w:right="10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16"/>
                <w:szCs w:val="16"/>
              </w:rPr>
            </w:pPr>
            <w:r>
              <w:rPr>
                <w:rFonts w:ascii="Times New Roman" w:hAnsi="Times New Roman"/>
                <w:b/>
                <w:sz w:val="16"/>
                <w:szCs w:val="16"/>
              </w:rPr>
              <w:t>Accounting for financial guarantees</w:t>
            </w:r>
          </w:p>
        </w:tc>
        <w:tc>
          <w:tcPr>
            <w:tcW w:w="1938" w:type="dxa"/>
            <w:gridSpan w:val="2"/>
            <w:vAlign w:val="center"/>
          </w:tcPr>
          <w:p w14:paraId="05BAE0B0" w14:textId="77777777" w:rsidR="00331FED" w:rsidRPr="001A5C87" w:rsidRDefault="00331FED" w:rsidP="00FE2314">
            <w:pPr>
              <w:spacing w:before="2" w:line="259" w:lineRule="auto"/>
              <w:ind w:left="77" w:right="15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16"/>
                <w:szCs w:val="16"/>
              </w:rPr>
            </w:pPr>
            <w:r w:rsidRPr="001A5C87">
              <w:rPr>
                <w:rFonts w:ascii="Times New Roman" w:hAnsi="Times New Roman"/>
                <w:b/>
                <w:sz w:val="16"/>
                <w:szCs w:val="16"/>
              </w:rPr>
              <w:t>SSOPU</w:t>
            </w:r>
          </w:p>
        </w:tc>
      </w:tr>
      <w:tr w:rsidR="00331FED" w:rsidRPr="00E60FFF" w14:paraId="5BC93823" w14:textId="77777777" w:rsidTr="00FE2314">
        <w:trPr>
          <w:gridAfter w:val="1"/>
          <w:wAfter w:w="38" w:type="dxa"/>
          <w:jc w:val="center"/>
        </w:trPr>
        <w:tc>
          <w:tcPr>
            <w:cnfStyle w:val="001000000000" w:firstRow="0" w:lastRow="0" w:firstColumn="1" w:lastColumn="0" w:oddVBand="0" w:evenVBand="0" w:oddHBand="0" w:evenHBand="0" w:firstRowFirstColumn="0" w:firstRowLastColumn="0" w:lastRowFirstColumn="0" w:lastRowLastColumn="0"/>
            <w:tcW w:w="1705" w:type="dxa"/>
            <w:vAlign w:val="center"/>
          </w:tcPr>
          <w:p w14:paraId="5E3FE3E6" w14:textId="77777777" w:rsidR="00331FED" w:rsidRPr="005F3958" w:rsidRDefault="00331FED" w:rsidP="00FE2314">
            <w:pPr>
              <w:spacing w:line="259" w:lineRule="auto"/>
              <w:ind w:left="355"/>
              <w:jc w:val="center"/>
              <w:rPr>
                <w:rFonts w:ascii="Times New Roman" w:hAnsi="Times New Roman"/>
                <w:sz w:val="16"/>
              </w:rPr>
            </w:pPr>
            <w:r w:rsidRPr="001A5C87">
              <w:rPr>
                <w:rFonts w:ascii="Times New Roman" w:hAnsi="Times New Roman"/>
                <w:sz w:val="16"/>
              </w:rPr>
              <w:t>Initial recognition</w:t>
            </w:r>
          </w:p>
        </w:tc>
        <w:tc>
          <w:tcPr>
            <w:tcW w:w="1890" w:type="dxa"/>
            <w:gridSpan w:val="2"/>
          </w:tcPr>
          <w:p w14:paraId="5416E192" w14:textId="77777777" w:rsidR="00331FED" w:rsidRPr="000A39ED" w:rsidRDefault="00331FED" w:rsidP="006A4C8A">
            <w:pPr>
              <w:spacing w:before="2" w:line="259" w:lineRule="auto"/>
              <w:ind w:left="3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lang w:val="ru-RU"/>
              </w:rPr>
            </w:pPr>
            <w:r w:rsidRPr="000A39ED">
              <w:rPr>
                <w:rFonts w:ascii="Times New Roman" w:hAnsi="Times New Roman"/>
                <w:sz w:val="16"/>
                <w:lang w:val="ru-RU"/>
              </w:rPr>
              <w:t>Fair value + transaction costs</w:t>
            </w:r>
          </w:p>
        </w:tc>
        <w:tc>
          <w:tcPr>
            <w:tcW w:w="1937" w:type="dxa"/>
            <w:gridSpan w:val="2"/>
          </w:tcPr>
          <w:p w14:paraId="0CD870EA" w14:textId="77777777" w:rsidR="00331FED" w:rsidRPr="007D770B" w:rsidRDefault="00331FED" w:rsidP="006A4C8A">
            <w:pPr>
              <w:spacing w:before="2" w:line="259" w:lineRule="auto"/>
              <w:ind w:left="26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rPr>
            </w:pPr>
            <w:r w:rsidRPr="007D770B">
              <w:rPr>
                <w:rFonts w:ascii="Times New Roman" w:hAnsi="Times New Roman"/>
                <w:sz w:val="16"/>
              </w:rPr>
              <w:t>Fair value (transaction costs are not included)</w:t>
            </w:r>
          </w:p>
        </w:tc>
        <w:tc>
          <w:tcPr>
            <w:tcW w:w="1937" w:type="dxa"/>
            <w:gridSpan w:val="2"/>
          </w:tcPr>
          <w:p w14:paraId="6670706F" w14:textId="77777777" w:rsidR="00331FED" w:rsidRPr="007D770B" w:rsidRDefault="00331FED" w:rsidP="005F3958">
            <w:pPr>
              <w:spacing w:before="2" w:line="259" w:lineRule="auto"/>
              <w:ind w:left="214" w:right="10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rPr>
            </w:pPr>
            <w:r w:rsidRPr="007D770B">
              <w:rPr>
                <w:rFonts w:ascii="Times New Roman" w:hAnsi="Times New Roman"/>
                <w:sz w:val="16"/>
              </w:rPr>
              <w:t>Fair value (transaction costs are not included)</w:t>
            </w:r>
          </w:p>
        </w:tc>
        <w:tc>
          <w:tcPr>
            <w:tcW w:w="1938" w:type="dxa"/>
            <w:gridSpan w:val="2"/>
          </w:tcPr>
          <w:p w14:paraId="029651B5" w14:textId="77777777" w:rsidR="00331FED" w:rsidRPr="007D770B" w:rsidRDefault="00331FED" w:rsidP="00FE2314">
            <w:pPr>
              <w:spacing w:before="2" w:line="259" w:lineRule="auto"/>
              <w:ind w:left="77" w:right="15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rPr>
            </w:pPr>
            <w:r w:rsidRPr="007D770B">
              <w:rPr>
                <w:rFonts w:ascii="Times New Roman" w:hAnsi="Times New Roman"/>
                <w:sz w:val="16"/>
              </w:rPr>
              <w:t>Fair value (transaction costs are not included)</w:t>
            </w:r>
          </w:p>
        </w:tc>
      </w:tr>
      <w:tr w:rsidR="00331FED" w:rsidRPr="001A5C87" w14:paraId="0F72739C" w14:textId="77777777" w:rsidTr="00FE2314">
        <w:trPr>
          <w:gridAfter w:val="1"/>
          <w:cnfStyle w:val="000000100000" w:firstRow="0" w:lastRow="0" w:firstColumn="0" w:lastColumn="0" w:oddVBand="0" w:evenVBand="0" w:oddHBand="1" w:evenHBand="0" w:firstRowFirstColumn="0" w:firstRowLastColumn="0" w:lastRowFirstColumn="0" w:lastRowLastColumn="0"/>
          <w:wAfter w:w="38" w:type="dxa"/>
          <w:jc w:val="center"/>
        </w:trPr>
        <w:tc>
          <w:tcPr>
            <w:cnfStyle w:val="001000000000" w:firstRow="0" w:lastRow="0" w:firstColumn="1" w:lastColumn="0" w:oddVBand="0" w:evenVBand="0" w:oddHBand="0" w:evenHBand="0" w:firstRowFirstColumn="0" w:firstRowLastColumn="0" w:lastRowFirstColumn="0" w:lastRowLastColumn="0"/>
            <w:tcW w:w="1705" w:type="dxa"/>
            <w:vAlign w:val="center"/>
          </w:tcPr>
          <w:p w14:paraId="517B7713" w14:textId="77777777" w:rsidR="00331FED" w:rsidRPr="001A5C87" w:rsidRDefault="00331FED" w:rsidP="00FE2314">
            <w:pPr>
              <w:spacing w:line="259" w:lineRule="auto"/>
              <w:ind w:left="355"/>
              <w:jc w:val="center"/>
              <w:rPr>
                <w:rFonts w:ascii="Times New Roman" w:hAnsi="Times New Roman"/>
                <w:sz w:val="16"/>
                <w:szCs w:val="16"/>
              </w:rPr>
            </w:pPr>
            <w:r w:rsidRPr="001A5C87">
              <w:rPr>
                <w:rFonts w:ascii="Times New Roman" w:hAnsi="Times New Roman"/>
                <w:sz w:val="16"/>
                <w:szCs w:val="16"/>
              </w:rPr>
              <w:t>Subsequent evaluation</w:t>
            </w:r>
          </w:p>
        </w:tc>
        <w:tc>
          <w:tcPr>
            <w:tcW w:w="1890" w:type="dxa"/>
            <w:gridSpan w:val="2"/>
          </w:tcPr>
          <w:p w14:paraId="0893F503" w14:textId="77777777" w:rsidR="00331FED" w:rsidRPr="001A5C87" w:rsidRDefault="00331FED" w:rsidP="006A4C8A">
            <w:pPr>
              <w:spacing w:before="2" w:line="259" w:lineRule="auto"/>
              <w:ind w:left="3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1A5C87">
              <w:rPr>
                <w:rFonts w:ascii="Times New Roman" w:hAnsi="Times New Roman"/>
                <w:sz w:val="16"/>
                <w:szCs w:val="16"/>
              </w:rPr>
              <w:t>Amortized cost</w:t>
            </w:r>
          </w:p>
        </w:tc>
        <w:tc>
          <w:tcPr>
            <w:tcW w:w="1937" w:type="dxa"/>
            <w:gridSpan w:val="2"/>
          </w:tcPr>
          <w:p w14:paraId="2F2B3727" w14:textId="77777777" w:rsidR="00331FED" w:rsidRPr="001A5C87" w:rsidRDefault="00331FED" w:rsidP="006A4C8A">
            <w:pPr>
              <w:spacing w:before="2" w:line="259" w:lineRule="auto"/>
              <w:ind w:left="26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1A5C87">
              <w:rPr>
                <w:rFonts w:ascii="Times New Roman" w:hAnsi="Times New Roman"/>
                <w:sz w:val="16"/>
                <w:szCs w:val="16"/>
              </w:rPr>
              <w:t>Fair value</w:t>
            </w:r>
          </w:p>
        </w:tc>
        <w:tc>
          <w:tcPr>
            <w:tcW w:w="1937" w:type="dxa"/>
            <w:gridSpan w:val="2"/>
          </w:tcPr>
          <w:p w14:paraId="27EF9C73" w14:textId="78F9A9B8" w:rsidR="00331FED" w:rsidRPr="007D770B" w:rsidRDefault="00331FED" w:rsidP="006A4C8A">
            <w:pPr>
              <w:spacing w:before="2" w:line="259" w:lineRule="auto"/>
              <w:ind w:left="214" w:right="10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7D770B">
              <w:rPr>
                <w:rFonts w:ascii="Times New Roman" w:hAnsi="Times New Roman"/>
                <w:sz w:val="16"/>
                <w:szCs w:val="16"/>
              </w:rPr>
              <w:t xml:space="preserve">The higher of: the amount of the loss allowance and the amount initially recognized less, where appropriate, the total </w:t>
            </w:r>
            <w:r w:rsidRPr="007D770B">
              <w:rPr>
                <w:rFonts w:ascii="Times New Roman" w:hAnsi="Times New Roman"/>
                <w:sz w:val="16"/>
                <w:szCs w:val="16"/>
              </w:rPr>
              <w:lastRenderedPageBreak/>
              <w:t xml:space="preserve">amount of income recognized in </w:t>
            </w:r>
            <w:r w:rsidR="00FE2314" w:rsidRPr="007D770B">
              <w:rPr>
                <w:rFonts w:ascii="Times New Roman" w:hAnsi="Times New Roman"/>
                <w:sz w:val="16"/>
                <w:szCs w:val="16"/>
              </w:rPr>
              <w:t xml:space="preserve">accordance with the principles of </w:t>
            </w:r>
            <w:r w:rsidR="00FE2314">
              <w:rPr>
                <w:rFonts w:ascii="Times New Roman" w:hAnsi="Times New Roman"/>
                <w:sz w:val="16"/>
                <w:szCs w:val="16"/>
                <w:lang w:val="en-GB"/>
              </w:rPr>
              <w:t xml:space="preserve">IFRS </w:t>
            </w:r>
            <w:r w:rsidRPr="007D770B">
              <w:rPr>
                <w:rFonts w:ascii="Times New Roman" w:hAnsi="Times New Roman"/>
                <w:sz w:val="16"/>
                <w:szCs w:val="16"/>
              </w:rPr>
              <w:t xml:space="preserve">15 </w:t>
            </w:r>
          </w:p>
        </w:tc>
        <w:tc>
          <w:tcPr>
            <w:tcW w:w="1938" w:type="dxa"/>
            <w:gridSpan w:val="2"/>
          </w:tcPr>
          <w:p w14:paraId="2E51B3FB" w14:textId="77777777" w:rsidR="00331FED" w:rsidRPr="001A5C87" w:rsidRDefault="00331FED" w:rsidP="00FE2314">
            <w:pPr>
              <w:spacing w:before="2" w:line="259" w:lineRule="auto"/>
              <w:ind w:left="77" w:right="15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1A5C87">
              <w:rPr>
                <w:rFonts w:ascii="Times New Roman" w:hAnsi="Times New Roman"/>
                <w:sz w:val="16"/>
                <w:szCs w:val="16"/>
              </w:rPr>
              <w:lastRenderedPageBreak/>
              <w:t>Fair value</w:t>
            </w:r>
          </w:p>
        </w:tc>
      </w:tr>
      <w:tr w:rsidR="00331FED" w:rsidRPr="00E60FFF" w14:paraId="213FE15D" w14:textId="77777777" w:rsidTr="00FE2314">
        <w:trPr>
          <w:gridAfter w:val="1"/>
          <w:wAfter w:w="38" w:type="dxa"/>
          <w:jc w:val="center"/>
        </w:trPr>
        <w:tc>
          <w:tcPr>
            <w:cnfStyle w:val="001000000000" w:firstRow="0" w:lastRow="0" w:firstColumn="1" w:lastColumn="0" w:oddVBand="0" w:evenVBand="0" w:oddHBand="0" w:evenHBand="0" w:firstRowFirstColumn="0" w:firstRowLastColumn="0" w:lastRowFirstColumn="0" w:lastRowLastColumn="0"/>
            <w:tcW w:w="1705" w:type="dxa"/>
            <w:vAlign w:val="center"/>
          </w:tcPr>
          <w:p w14:paraId="34C9EFD4" w14:textId="77777777" w:rsidR="00331FED" w:rsidRPr="007D770B" w:rsidRDefault="00331FED" w:rsidP="00FE2314">
            <w:pPr>
              <w:spacing w:line="259" w:lineRule="auto"/>
              <w:ind w:left="355"/>
              <w:jc w:val="center"/>
              <w:rPr>
                <w:rFonts w:ascii="Times New Roman" w:hAnsi="Times New Roman"/>
                <w:sz w:val="16"/>
              </w:rPr>
            </w:pPr>
            <w:r w:rsidRPr="007D770B">
              <w:rPr>
                <w:rFonts w:ascii="Times New Roman" w:hAnsi="Times New Roman"/>
                <w:sz w:val="16"/>
              </w:rPr>
              <w:t>Gains/losses on changes in fair value</w:t>
            </w:r>
          </w:p>
        </w:tc>
        <w:tc>
          <w:tcPr>
            <w:tcW w:w="1890" w:type="dxa"/>
            <w:gridSpan w:val="2"/>
          </w:tcPr>
          <w:p w14:paraId="42026EC8" w14:textId="77777777" w:rsidR="00331FED" w:rsidRPr="005F3958" w:rsidRDefault="00331FED" w:rsidP="006A4C8A">
            <w:pPr>
              <w:spacing w:before="2" w:line="259" w:lineRule="auto"/>
              <w:ind w:left="3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rPr>
            </w:pPr>
            <w:r w:rsidRPr="001A5C87">
              <w:rPr>
                <w:rFonts w:ascii="Times New Roman" w:hAnsi="Times New Roman"/>
                <w:sz w:val="16"/>
              </w:rPr>
              <w:t>-</w:t>
            </w:r>
          </w:p>
        </w:tc>
        <w:tc>
          <w:tcPr>
            <w:tcW w:w="1937" w:type="dxa"/>
            <w:gridSpan w:val="2"/>
          </w:tcPr>
          <w:p w14:paraId="7260D588" w14:textId="77777777" w:rsidR="00331FED" w:rsidRPr="007D770B" w:rsidRDefault="00331FED" w:rsidP="006A4C8A">
            <w:pPr>
              <w:spacing w:before="2" w:line="259" w:lineRule="auto"/>
              <w:ind w:left="26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rPr>
            </w:pPr>
            <w:r w:rsidRPr="007D770B">
              <w:rPr>
                <w:rFonts w:ascii="Times New Roman" w:hAnsi="Times New Roman"/>
                <w:sz w:val="16"/>
              </w:rPr>
              <w:t>Gains less losses from operations with derivative financial instruments</w:t>
            </w:r>
          </w:p>
        </w:tc>
        <w:tc>
          <w:tcPr>
            <w:tcW w:w="1937" w:type="dxa"/>
            <w:gridSpan w:val="2"/>
          </w:tcPr>
          <w:p w14:paraId="07ECAB4F" w14:textId="77777777" w:rsidR="00331FED" w:rsidRPr="007D770B" w:rsidRDefault="00331FED" w:rsidP="005F3958">
            <w:pPr>
              <w:spacing w:before="2" w:line="259" w:lineRule="auto"/>
              <w:ind w:left="214" w:right="10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rPr>
            </w:pPr>
            <w:r w:rsidRPr="007D770B">
              <w:rPr>
                <w:rFonts w:ascii="Times New Roman" w:hAnsi="Times New Roman"/>
                <w:sz w:val="16"/>
              </w:rPr>
              <w:t>Provision for credit related commitments (expenses less income)</w:t>
            </w:r>
          </w:p>
        </w:tc>
        <w:tc>
          <w:tcPr>
            <w:tcW w:w="1938" w:type="dxa"/>
            <w:gridSpan w:val="2"/>
          </w:tcPr>
          <w:p w14:paraId="1D74B491" w14:textId="12675210" w:rsidR="00331FED" w:rsidRPr="007D770B" w:rsidRDefault="00331FED" w:rsidP="00FE2314">
            <w:pPr>
              <w:spacing w:before="2" w:line="259" w:lineRule="auto"/>
              <w:ind w:left="77" w:right="15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rPr>
            </w:pPr>
            <w:r w:rsidRPr="007D770B">
              <w:rPr>
                <w:rFonts w:ascii="Times New Roman" w:hAnsi="Times New Roman"/>
                <w:sz w:val="16"/>
              </w:rPr>
              <w:t>Gains less losses arising from transactions with this financial instrument</w:t>
            </w:r>
            <w:r w:rsidR="00FE2314" w:rsidRPr="007D770B">
              <w:rPr>
                <w:rFonts w:ascii="Times New Roman" w:hAnsi="Times New Roman"/>
                <w:sz w:val="16"/>
              </w:rPr>
              <w:t>, except for the own credit risk component, which is recognized in OCI</w:t>
            </w:r>
          </w:p>
        </w:tc>
      </w:tr>
      <w:tr w:rsidR="00331FED" w:rsidRPr="001A5C87" w14:paraId="2185ABCC" w14:textId="77777777" w:rsidTr="00FE2314">
        <w:trPr>
          <w:gridAfter w:val="1"/>
          <w:cnfStyle w:val="000000100000" w:firstRow="0" w:lastRow="0" w:firstColumn="0" w:lastColumn="0" w:oddVBand="0" w:evenVBand="0" w:oddHBand="1" w:evenHBand="0" w:firstRowFirstColumn="0" w:firstRowLastColumn="0" w:lastRowFirstColumn="0" w:lastRowLastColumn="0"/>
          <w:wAfter w:w="38" w:type="dxa"/>
          <w:jc w:val="center"/>
        </w:trPr>
        <w:tc>
          <w:tcPr>
            <w:cnfStyle w:val="001000000000" w:firstRow="0" w:lastRow="0" w:firstColumn="1" w:lastColumn="0" w:oddVBand="0" w:evenVBand="0" w:oddHBand="0" w:evenHBand="0" w:firstRowFirstColumn="0" w:firstRowLastColumn="0" w:lastRowFirstColumn="0" w:lastRowLastColumn="0"/>
            <w:tcW w:w="1705" w:type="dxa"/>
            <w:vAlign w:val="center"/>
          </w:tcPr>
          <w:p w14:paraId="2AB57997" w14:textId="77777777" w:rsidR="00331FED" w:rsidRPr="001A5C87" w:rsidRDefault="00331FED" w:rsidP="00FE2314">
            <w:pPr>
              <w:spacing w:line="259" w:lineRule="auto"/>
              <w:ind w:left="355"/>
              <w:jc w:val="center"/>
              <w:rPr>
                <w:rFonts w:ascii="Times New Roman" w:hAnsi="Times New Roman"/>
                <w:sz w:val="16"/>
                <w:szCs w:val="16"/>
              </w:rPr>
            </w:pPr>
            <w:r w:rsidRPr="001A5C87">
              <w:rPr>
                <w:rFonts w:ascii="Times New Roman" w:hAnsi="Times New Roman"/>
                <w:sz w:val="16"/>
                <w:szCs w:val="16"/>
              </w:rPr>
              <w:t>Percentages</w:t>
            </w:r>
          </w:p>
        </w:tc>
        <w:tc>
          <w:tcPr>
            <w:tcW w:w="1890" w:type="dxa"/>
            <w:gridSpan w:val="2"/>
          </w:tcPr>
          <w:p w14:paraId="0F06504E" w14:textId="77777777" w:rsidR="00331FED" w:rsidRPr="001A5C87" w:rsidRDefault="00331FED" w:rsidP="006A4C8A">
            <w:pPr>
              <w:spacing w:before="2" w:line="259" w:lineRule="auto"/>
              <w:ind w:left="3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1A5C87">
              <w:rPr>
                <w:rFonts w:ascii="Times New Roman" w:hAnsi="Times New Roman"/>
                <w:sz w:val="16"/>
                <w:szCs w:val="16"/>
              </w:rPr>
              <w:t xml:space="preserve">Effective interest </w:t>
            </w:r>
            <w:r>
              <w:rPr>
                <w:rFonts w:ascii="Times New Roman" w:hAnsi="Times New Roman"/>
                <w:sz w:val="16"/>
                <w:szCs w:val="16"/>
              </w:rPr>
              <w:t>expense</w:t>
            </w:r>
          </w:p>
        </w:tc>
        <w:tc>
          <w:tcPr>
            <w:tcW w:w="1937" w:type="dxa"/>
            <w:gridSpan w:val="2"/>
          </w:tcPr>
          <w:p w14:paraId="00436787" w14:textId="77777777" w:rsidR="00331FED" w:rsidRPr="007D770B" w:rsidRDefault="00331FED" w:rsidP="006A4C8A">
            <w:pPr>
              <w:spacing w:before="2" w:line="259" w:lineRule="auto"/>
              <w:ind w:left="26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7D770B">
              <w:rPr>
                <w:rFonts w:ascii="Times New Roman" w:hAnsi="Times New Roman"/>
                <w:sz w:val="16"/>
                <w:szCs w:val="16"/>
              </w:rPr>
              <w:t>Gains less losses from operations with derivative financial instruments</w:t>
            </w:r>
          </w:p>
        </w:tc>
        <w:tc>
          <w:tcPr>
            <w:tcW w:w="1937" w:type="dxa"/>
            <w:gridSpan w:val="2"/>
          </w:tcPr>
          <w:p w14:paraId="34E75972" w14:textId="77777777" w:rsidR="00331FED" w:rsidRPr="001A5C87" w:rsidRDefault="00331FED" w:rsidP="006A4C8A">
            <w:pPr>
              <w:spacing w:before="2" w:line="259" w:lineRule="auto"/>
              <w:ind w:left="214" w:right="10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1A5C87">
              <w:rPr>
                <w:rFonts w:ascii="Times New Roman" w:hAnsi="Times New Roman"/>
                <w:sz w:val="16"/>
                <w:szCs w:val="16"/>
              </w:rPr>
              <w:t>Fee and commission income</w:t>
            </w:r>
          </w:p>
        </w:tc>
        <w:tc>
          <w:tcPr>
            <w:tcW w:w="1938" w:type="dxa"/>
            <w:gridSpan w:val="2"/>
          </w:tcPr>
          <w:p w14:paraId="2A5F351F" w14:textId="77777777" w:rsidR="00331FED" w:rsidRPr="001A5C87" w:rsidRDefault="00331FED" w:rsidP="00FE2314">
            <w:pPr>
              <w:spacing w:before="2" w:line="259" w:lineRule="auto"/>
              <w:ind w:left="77" w:right="15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1A5C87">
              <w:rPr>
                <w:rFonts w:ascii="Times New Roman" w:hAnsi="Times New Roman"/>
                <w:sz w:val="16"/>
                <w:szCs w:val="16"/>
              </w:rPr>
              <w:t xml:space="preserve">Effective interest </w:t>
            </w:r>
            <w:r>
              <w:rPr>
                <w:rFonts w:ascii="Times New Roman" w:hAnsi="Times New Roman"/>
                <w:sz w:val="16"/>
                <w:szCs w:val="16"/>
              </w:rPr>
              <w:t>expense</w:t>
            </w:r>
          </w:p>
        </w:tc>
      </w:tr>
    </w:tbl>
    <w:p w14:paraId="6DD6149E" w14:textId="77777777" w:rsidR="00331FED" w:rsidRDefault="00331FED" w:rsidP="00331FED">
      <w:pPr>
        <w:pStyle w:val="21"/>
        <w:tabs>
          <w:tab w:val="clear" w:pos="1134"/>
        </w:tabs>
        <w:spacing w:after="240"/>
        <w:ind w:firstLine="0"/>
        <w:rPr>
          <w:sz w:val="20"/>
          <w:szCs w:val="20"/>
        </w:rPr>
      </w:pPr>
    </w:p>
    <w:p w14:paraId="48E1E769" w14:textId="77777777" w:rsidR="00331FED" w:rsidRPr="007D770B" w:rsidRDefault="00331FED" w:rsidP="00331FED">
      <w:pPr>
        <w:pStyle w:val="21"/>
        <w:tabs>
          <w:tab w:val="clear" w:pos="1134"/>
        </w:tabs>
        <w:spacing w:after="240"/>
        <w:ind w:firstLine="0"/>
        <w:rPr>
          <w:sz w:val="20"/>
          <w:szCs w:val="20"/>
          <w:lang w:val="en-US"/>
        </w:rPr>
      </w:pPr>
      <w:r w:rsidRPr="007D770B">
        <w:rPr>
          <w:sz w:val="20"/>
          <w:szCs w:val="20"/>
          <w:lang w:val="en-US"/>
        </w:rPr>
        <w:t>Financial instruments denominated in foreign currencies are translated into KZT at the market exchange rate at the end of the reporting period.</w:t>
      </w:r>
    </w:p>
    <w:p w14:paraId="1D778448" w14:textId="77777777" w:rsidR="00331FED" w:rsidRDefault="00331FED" w:rsidP="00331FED">
      <w:pPr>
        <w:pStyle w:val="21"/>
        <w:tabs>
          <w:tab w:val="clear" w:pos="1134"/>
        </w:tabs>
        <w:spacing w:after="240"/>
        <w:ind w:firstLine="0"/>
        <w:rPr>
          <w:sz w:val="20"/>
          <w:szCs w:val="20"/>
          <w:lang w:val="kk-KZ"/>
        </w:rPr>
      </w:pPr>
      <w:r w:rsidRPr="007D770B">
        <w:rPr>
          <w:sz w:val="20"/>
          <w:szCs w:val="20"/>
          <w:lang w:val="en-US"/>
        </w:rPr>
        <w:t>Exchange differences arising from the translation of a financial asset/liability into KZT or from the extinguishment of debt are recognized in foreign exchange income/expense.</w:t>
      </w:r>
    </w:p>
    <w:p w14:paraId="0D1A8F88" w14:textId="77777777" w:rsidR="00331FED" w:rsidRPr="007D770B" w:rsidRDefault="00331FED" w:rsidP="00331FED">
      <w:pPr>
        <w:pStyle w:val="af4"/>
        <w:spacing w:after="240"/>
        <w:ind w:firstLine="0"/>
        <w:rPr>
          <w:sz w:val="20"/>
          <w:szCs w:val="20"/>
          <w:lang w:val="en-US"/>
        </w:rPr>
      </w:pPr>
    </w:p>
    <w:p w14:paraId="4F0111EC" w14:textId="77777777" w:rsidR="00331FED" w:rsidRPr="007D770B" w:rsidRDefault="00331FED" w:rsidP="00E61D21">
      <w:pPr>
        <w:pStyle w:val="3"/>
        <w:rPr>
          <w:lang w:val="en-US"/>
        </w:rPr>
      </w:pPr>
      <w:bookmarkStart w:id="133" w:name="_Toc168502041"/>
      <w:r w:rsidRPr="007D770B">
        <w:rPr>
          <w:lang w:val="en-US"/>
        </w:rPr>
        <w:t>3.13. Accounting for disposal of financial instruments</w:t>
      </w:r>
      <w:bookmarkEnd w:id="129"/>
      <w:bookmarkEnd w:id="130"/>
      <w:bookmarkEnd w:id="131"/>
      <w:bookmarkEnd w:id="132"/>
      <w:bookmarkEnd w:id="133"/>
    </w:p>
    <w:p w14:paraId="77196971" w14:textId="77777777" w:rsidR="00331FED" w:rsidRPr="007D770B" w:rsidRDefault="00331FED" w:rsidP="00331FED">
      <w:pPr>
        <w:pStyle w:val="1"/>
        <w:numPr>
          <w:ilvl w:val="0"/>
          <w:numId w:val="0"/>
        </w:numPr>
        <w:spacing w:after="240"/>
        <w:rPr>
          <w:sz w:val="20"/>
          <w:szCs w:val="20"/>
          <w:lang w:val="en-US"/>
        </w:rPr>
      </w:pPr>
      <w:r w:rsidRPr="007D770B">
        <w:rPr>
          <w:sz w:val="20"/>
          <w:szCs w:val="20"/>
          <w:lang w:val="en-US"/>
        </w:rPr>
        <w:t xml:space="preserve">The Bank recognizes </w:t>
      </w:r>
      <w:r w:rsidRPr="007D770B">
        <w:rPr>
          <w:i/>
          <w:sz w:val="20"/>
          <w:szCs w:val="20"/>
          <w:lang w:val="en-US"/>
        </w:rPr>
        <w:t xml:space="preserve">a disposal of financial assets </w:t>
      </w:r>
      <w:r w:rsidRPr="007D770B">
        <w:rPr>
          <w:sz w:val="20"/>
          <w:szCs w:val="20"/>
          <w:lang w:val="en-US"/>
        </w:rPr>
        <w:t>only when:</w:t>
      </w:r>
    </w:p>
    <w:p w14:paraId="24EF04AC" w14:textId="77777777" w:rsidR="00331FED" w:rsidRPr="007D770B" w:rsidRDefault="00331FED" w:rsidP="00AE698A">
      <w:pPr>
        <w:pStyle w:val="21"/>
        <w:numPr>
          <w:ilvl w:val="0"/>
          <w:numId w:val="279"/>
        </w:numPr>
        <w:spacing w:after="240"/>
        <w:rPr>
          <w:sz w:val="20"/>
          <w:szCs w:val="20"/>
          <w:lang w:val="en-US"/>
        </w:rPr>
      </w:pPr>
      <w:r w:rsidRPr="007D770B">
        <w:rPr>
          <w:sz w:val="20"/>
          <w:szCs w:val="20"/>
          <w:lang w:val="en-US"/>
        </w:rPr>
        <w:t>the contractual rights to the cash flows from the financial asset expire;</w:t>
      </w:r>
    </w:p>
    <w:p w14:paraId="0092EE44" w14:textId="77777777" w:rsidR="00331FED" w:rsidRPr="007D770B" w:rsidRDefault="00331FED" w:rsidP="00AE698A">
      <w:pPr>
        <w:pStyle w:val="21"/>
        <w:numPr>
          <w:ilvl w:val="0"/>
          <w:numId w:val="279"/>
        </w:numPr>
        <w:tabs>
          <w:tab w:val="left" w:pos="-2160"/>
        </w:tabs>
        <w:spacing w:after="240"/>
        <w:rPr>
          <w:sz w:val="20"/>
          <w:szCs w:val="20"/>
          <w:lang w:val="en-US"/>
        </w:rPr>
      </w:pPr>
      <w:r w:rsidRPr="007D770B">
        <w:rPr>
          <w:sz w:val="20"/>
          <w:szCs w:val="20"/>
          <w:lang w:val="en-US"/>
        </w:rPr>
        <w:t>it transfers a financial asset as set out below.</w:t>
      </w:r>
    </w:p>
    <w:p w14:paraId="1FCB4786" w14:textId="77777777" w:rsidR="00331FED" w:rsidRPr="007D770B" w:rsidRDefault="00331FED" w:rsidP="00331FED">
      <w:pPr>
        <w:pStyle w:val="1"/>
        <w:numPr>
          <w:ilvl w:val="0"/>
          <w:numId w:val="0"/>
        </w:numPr>
        <w:spacing w:after="240"/>
        <w:rPr>
          <w:sz w:val="20"/>
          <w:szCs w:val="20"/>
          <w:lang w:val="en-US"/>
        </w:rPr>
      </w:pPr>
      <w:r w:rsidRPr="007D770B">
        <w:rPr>
          <w:sz w:val="20"/>
          <w:szCs w:val="20"/>
          <w:lang w:val="en-US"/>
        </w:rPr>
        <w:t xml:space="preserve">A disposal of a financial asset is classified as a </w:t>
      </w:r>
      <w:r w:rsidRPr="007D770B">
        <w:rPr>
          <w:i/>
          <w:sz w:val="20"/>
          <w:szCs w:val="20"/>
          <w:lang w:val="en-US"/>
        </w:rPr>
        <w:t xml:space="preserve">transfer </w:t>
      </w:r>
      <w:r w:rsidRPr="007D770B">
        <w:rPr>
          <w:sz w:val="20"/>
          <w:szCs w:val="20"/>
          <w:lang w:val="en-US"/>
        </w:rPr>
        <w:t>when one of the following conditions is met:</w:t>
      </w:r>
    </w:p>
    <w:p w14:paraId="5483A896" w14:textId="77777777" w:rsidR="00331FED" w:rsidRPr="007D770B" w:rsidRDefault="00331FED" w:rsidP="00AE698A">
      <w:pPr>
        <w:pStyle w:val="1"/>
        <w:numPr>
          <w:ilvl w:val="0"/>
          <w:numId w:val="37"/>
        </w:numPr>
        <w:spacing w:after="240"/>
        <w:rPr>
          <w:sz w:val="20"/>
          <w:szCs w:val="20"/>
          <w:lang w:val="en-US"/>
        </w:rPr>
      </w:pPr>
      <w:r w:rsidRPr="007D770B">
        <w:rPr>
          <w:sz w:val="20"/>
          <w:szCs w:val="20"/>
          <w:lang w:val="en-US"/>
        </w:rPr>
        <w:t>The Bank transfers the contractual rights to receive cash flows from the financial asset; or</w:t>
      </w:r>
    </w:p>
    <w:p w14:paraId="59E75DB7" w14:textId="77777777" w:rsidR="00331FED" w:rsidRPr="007D770B" w:rsidRDefault="00331FED" w:rsidP="00AE698A">
      <w:pPr>
        <w:pStyle w:val="21"/>
        <w:numPr>
          <w:ilvl w:val="0"/>
          <w:numId w:val="37"/>
        </w:numPr>
        <w:spacing w:after="240"/>
        <w:rPr>
          <w:sz w:val="20"/>
          <w:szCs w:val="20"/>
          <w:lang w:val="en-US"/>
        </w:rPr>
      </w:pPr>
      <w:r w:rsidRPr="007D770B">
        <w:rPr>
          <w:sz w:val="20"/>
          <w:szCs w:val="20"/>
          <w:lang w:val="en-US"/>
        </w:rPr>
        <w:t>The Bank retains contractual rights to receive cash flows from the financial asset but assumes a contractual obligation to pay those cash flows to one or more recipients under an arrangement that meets the following three conditions:</w:t>
      </w:r>
    </w:p>
    <w:p w14:paraId="1C032820" w14:textId="77777777" w:rsidR="00331FED" w:rsidRPr="007D770B" w:rsidRDefault="00331FED" w:rsidP="00AE698A">
      <w:pPr>
        <w:pStyle w:val="21"/>
        <w:numPr>
          <w:ilvl w:val="0"/>
          <w:numId w:val="36"/>
        </w:numPr>
        <w:spacing w:after="240"/>
        <w:ind w:left="1080"/>
        <w:rPr>
          <w:sz w:val="20"/>
          <w:szCs w:val="20"/>
          <w:lang w:val="en-US"/>
        </w:rPr>
      </w:pPr>
      <w:r w:rsidRPr="007D770B">
        <w:rPr>
          <w:sz w:val="20"/>
          <w:szCs w:val="20"/>
          <w:lang w:val="en-US"/>
        </w:rPr>
        <w:t>The Bank has no obligation to repay the amounts to the ultimate recipients unless it receives equivalent amounts on the original asset. The Bank's making of short-term advances with the right of full repayment of the amount advanced plus accrued interest at market rate does not breach this covenant;</w:t>
      </w:r>
    </w:p>
    <w:p w14:paraId="402703A8" w14:textId="77777777" w:rsidR="00331FED" w:rsidRPr="007D770B" w:rsidRDefault="00331FED" w:rsidP="00AE698A">
      <w:pPr>
        <w:pStyle w:val="21"/>
        <w:numPr>
          <w:ilvl w:val="0"/>
          <w:numId w:val="36"/>
        </w:numPr>
        <w:spacing w:after="240"/>
        <w:ind w:left="1080"/>
        <w:rPr>
          <w:sz w:val="20"/>
          <w:szCs w:val="20"/>
          <w:lang w:val="en-US"/>
        </w:rPr>
      </w:pPr>
      <w:r w:rsidRPr="007D770B">
        <w:rPr>
          <w:sz w:val="20"/>
          <w:szCs w:val="20"/>
          <w:lang w:val="en-US"/>
        </w:rPr>
        <w:t>the terms of the cash transfer agreement prohibit the Bank from selling or pledging the original asset, except to the ultimate recipient as security for the obligation to repay;</w:t>
      </w:r>
    </w:p>
    <w:p w14:paraId="33C40811" w14:textId="77777777" w:rsidR="00331FED" w:rsidRPr="007D770B" w:rsidRDefault="00331FED" w:rsidP="00AE698A">
      <w:pPr>
        <w:pStyle w:val="21"/>
        <w:numPr>
          <w:ilvl w:val="0"/>
          <w:numId w:val="36"/>
        </w:numPr>
        <w:spacing w:after="240"/>
        <w:ind w:left="1080"/>
        <w:rPr>
          <w:sz w:val="20"/>
          <w:szCs w:val="20"/>
          <w:lang w:val="en-US"/>
        </w:rPr>
      </w:pPr>
      <w:r w:rsidRPr="007D770B">
        <w:rPr>
          <w:sz w:val="20"/>
          <w:szCs w:val="20"/>
          <w:lang w:val="en-US"/>
        </w:rPr>
        <w:t>the Bank has an obligation to transfer funds collected on behalf of the ultimate recipient without material delay. In addition, the Bank does not have the right to reinvest such cash, other than investments in cash or cash equivalents, during the short settlement period from the date of collection to the date of the required transfer to the ultimate recipient, with interest earned on such investment being passed on to the ultimate recipient.</w:t>
      </w:r>
    </w:p>
    <w:p w14:paraId="02764B52" w14:textId="77777777" w:rsidR="00331FED" w:rsidRPr="00F41327" w:rsidRDefault="00331FED" w:rsidP="00331FED">
      <w:pPr>
        <w:pStyle w:val="af4"/>
        <w:keepNext/>
        <w:spacing w:after="240"/>
        <w:ind w:firstLine="0"/>
        <w:rPr>
          <w:sz w:val="20"/>
          <w:szCs w:val="20"/>
        </w:rPr>
      </w:pPr>
      <w:r w:rsidRPr="007D770B">
        <w:rPr>
          <w:sz w:val="20"/>
          <w:szCs w:val="20"/>
          <w:lang w:val="en-US"/>
        </w:rPr>
        <w:t xml:space="preserve">When </w:t>
      </w:r>
      <w:r w:rsidRPr="007D770B">
        <w:rPr>
          <w:i/>
          <w:sz w:val="20"/>
          <w:szCs w:val="20"/>
          <w:lang w:val="en-US"/>
        </w:rPr>
        <w:t xml:space="preserve">transferring </w:t>
      </w:r>
      <w:r w:rsidRPr="007D770B">
        <w:rPr>
          <w:sz w:val="20"/>
          <w:szCs w:val="20"/>
          <w:lang w:val="en-US"/>
        </w:rPr>
        <w:t xml:space="preserve">a financial asset, the Bank assesses the extent to which it retains the risks and rewards of ownership of the asset. </w:t>
      </w:r>
      <w:r w:rsidRPr="00F41327">
        <w:rPr>
          <w:sz w:val="20"/>
          <w:szCs w:val="20"/>
        </w:rPr>
        <w:t>In doing so:</w:t>
      </w:r>
    </w:p>
    <w:p w14:paraId="0F3445C9" w14:textId="77777777" w:rsidR="00331FED" w:rsidRPr="007D770B" w:rsidRDefault="00331FED" w:rsidP="00AE698A">
      <w:pPr>
        <w:pStyle w:val="21"/>
        <w:numPr>
          <w:ilvl w:val="0"/>
          <w:numId w:val="280"/>
        </w:numPr>
        <w:tabs>
          <w:tab w:val="left" w:pos="360"/>
        </w:tabs>
        <w:spacing w:after="240"/>
        <w:rPr>
          <w:sz w:val="20"/>
          <w:szCs w:val="20"/>
          <w:lang w:val="en-US"/>
        </w:rPr>
      </w:pPr>
      <w:r w:rsidRPr="007D770B">
        <w:rPr>
          <w:sz w:val="20"/>
          <w:szCs w:val="20"/>
          <w:lang w:val="en-US"/>
        </w:rPr>
        <w:t>if substantially all the risks and rewards of ownership of an asset have been transferred, the Bank recognizes the financial asset as a disposal of the financial asset and separately recognizes as an asset or liability any rights or obligations received in the transfer;</w:t>
      </w:r>
    </w:p>
    <w:p w14:paraId="6365DDF3" w14:textId="77777777" w:rsidR="00331FED" w:rsidRPr="007D770B" w:rsidRDefault="00331FED" w:rsidP="00AE698A">
      <w:pPr>
        <w:pStyle w:val="21"/>
        <w:numPr>
          <w:ilvl w:val="0"/>
          <w:numId w:val="280"/>
        </w:numPr>
        <w:tabs>
          <w:tab w:val="left" w:pos="360"/>
        </w:tabs>
        <w:spacing w:after="240"/>
        <w:rPr>
          <w:sz w:val="20"/>
          <w:szCs w:val="20"/>
          <w:lang w:val="en-US"/>
        </w:rPr>
      </w:pPr>
      <w:r w:rsidRPr="007D770B">
        <w:rPr>
          <w:sz w:val="20"/>
          <w:szCs w:val="20"/>
          <w:lang w:val="en-US"/>
        </w:rPr>
        <w:t>if the Bank retains substantially all the risks and rewards of ownership of a financial asset, the Bank shall continue to recognize the financial asset;</w:t>
      </w:r>
    </w:p>
    <w:p w14:paraId="5600B161" w14:textId="77777777" w:rsidR="00331FED" w:rsidRPr="00F41327" w:rsidRDefault="00331FED" w:rsidP="00AE698A">
      <w:pPr>
        <w:pStyle w:val="21"/>
        <w:numPr>
          <w:ilvl w:val="0"/>
          <w:numId w:val="280"/>
        </w:numPr>
        <w:tabs>
          <w:tab w:val="left" w:pos="360"/>
        </w:tabs>
        <w:spacing w:after="240"/>
        <w:rPr>
          <w:sz w:val="20"/>
          <w:szCs w:val="20"/>
        </w:rPr>
      </w:pPr>
      <w:r w:rsidRPr="007D770B">
        <w:rPr>
          <w:sz w:val="20"/>
          <w:szCs w:val="20"/>
          <w:lang w:val="en-US"/>
        </w:rPr>
        <w:lastRenderedPageBreak/>
        <w:t xml:space="preserve">if the Bank neither transfers nor retains substantially all the risks and rewards of ownership, the extent to which it controls the financial asset is assessed. </w:t>
      </w:r>
      <w:r w:rsidRPr="00F41327">
        <w:rPr>
          <w:sz w:val="20"/>
          <w:szCs w:val="20"/>
        </w:rPr>
        <w:t>In this case:</w:t>
      </w:r>
    </w:p>
    <w:p w14:paraId="73A1CAF9" w14:textId="77777777" w:rsidR="00331FED" w:rsidRPr="007D770B" w:rsidRDefault="00331FED" w:rsidP="00AE698A">
      <w:pPr>
        <w:pStyle w:val="21"/>
        <w:numPr>
          <w:ilvl w:val="0"/>
          <w:numId w:val="281"/>
        </w:numPr>
        <w:spacing w:after="240"/>
        <w:ind w:left="1080"/>
        <w:rPr>
          <w:sz w:val="20"/>
          <w:szCs w:val="20"/>
          <w:lang w:val="en-US"/>
        </w:rPr>
      </w:pPr>
      <w:r w:rsidRPr="007D770B">
        <w:rPr>
          <w:sz w:val="20"/>
          <w:szCs w:val="20"/>
          <w:lang w:val="en-US"/>
        </w:rPr>
        <w:t>if the Bank does not retain control, the Bank derecognizes the financial asset and recognizes separately as assets or liabilities those rights and obligations created or retained in the transfer;</w:t>
      </w:r>
    </w:p>
    <w:p w14:paraId="20F4B283" w14:textId="77777777" w:rsidR="00331FED" w:rsidRPr="007D770B" w:rsidRDefault="00331FED" w:rsidP="00AE698A">
      <w:pPr>
        <w:pStyle w:val="21"/>
        <w:numPr>
          <w:ilvl w:val="0"/>
          <w:numId w:val="281"/>
        </w:numPr>
        <w:spacing w:after="240"/>
        <w:ind w:left="1080"/>
        <w:rPr>
          <w:sz w:val="20"/>
          <w:szCs w:val="20"/>
          <w:lang w:val="en-US"/>
        </w:rPr>
      </w:pPr>
      <w:r w:rsidRPr="007D770B">
        <w:rPr>
          <w:sz w:val="20"/>
          <w:szCs w:val="20"/>
          <w:lang w:val="en-US"/>
        </w:rPr>
        <w:t>if the Bank retains control, it shall continue to recognize the financial asset to the extent of its continuing involvement in the financial asset.</w:t>
      </w:r>
    </w:p>
    <w:p w14:paraId="66710F66" w14:textId="77777777" w:rsidR="00331FED" w:rsidRPr="007D770B" w:rsidRDefault="00331FED" w:rsidP="00331FED">
      <w:pPr>
        <w:pStyle w:val="af4"/>
        <w:spacing w:after="240"/>
        <w:ind w:firstLine="0"/>
        <w:rPr>
          <w:sz w:val="20"/>
          <w:szCs w:val="20"/>
          <w:lang w:val="en-US"/>
        </w:rPr>
      </w:pPr>
      <w:r w:rsidRPr="007D770B">
        <w:rPr>
          <w:sz w:val="20"/>
          <w:szCs w:val="20"/>
          <w:lang w:val="en-US"/>
        </w:rPr>
        <w:t xml:space="preserve">The transfer of risks and rewards is measured by comparing the risk of changes in the amounts and timing of net cash flows from the transferred asset to which the Bank is exposed before and after the transfer. </w:t>
      </w:r>
    </w:p>
    <w:p w14:paraId="1A68A4A8" w14:textId="77777777" w:rsidR="00331FED" w:rsidRPr="007D770B" w:rsidRDefault="00331FED" w:rsidP="00331FED">
      <w:pPr>
        <w:pStyle w:val="af4"/>
        <w:spacing w:after="240"/>
        <w:ind w:firstLine="0"/>
        <w:rPr>
          <w:sz w:val="20"/>
          <w:szCs w:val="20"/>
          <w:lang w:val="en-US"/>
        </w:rPr>
      </w:pPr>
      <w:r w:rsidRPr="007D770B">
        <w:rPr>
          <w:sz w:val="20"/>
          <w:szCs w:val="20"/>
          <w:lang w:val="en-US"/>
        </w:rPr>
        <w:t xml:space="preserve">The Bank retains substantially all the risks and rewards of ownership of a financial asset if the risk of changes in the present value of the future net cash flows of the financial asset to which the Bank is exposed does not change significantly as a result of the transfer. For example, because the Bank sold the financial asset under a repurchase agreement at a fixed price or at the sale price plus the lender's profit. </w:t>
      </w:r>
    </w:p>
    <w:p w14:paraId="3B818A63" w14:textId="6AC0A3AF" w:rsidR="00331FED" w:rsidRPr="007D770B" w:rsidRDefault="00331FED" w:rsidP="00331FED">
      <w:pPr>
        <w:pStyle w:val="af4"/>
        <w:spacing w:after="240"/>
        <w:ind w:firstLine="0"/>
        <w:rPr>
          <w:sz w:val="20"/>
          <w:szCs w:val="20"/>
          <w:lang w:val="en-US"/>
        </w:rPr>
      </w:pPr>
      <w:r w:rsidRPr="007D770B">
        <w:rPr>
          <w:sz w:val="20"/>
          <w:szCs w:val="20"/>
          <w:lang w:val="en-US"/>
        </w:rPr>
        <w:t xml:space="preserve">The Bank has transferred substantially all the risks and rewards of ownership of a financial asset, unless the exposure to such risks and rewards is no more significant than the total possible changes in the present value of the future net cash flows attributable to the financial asset. For example, because the Bank sold a financial asset subject only to an option to repurchase it back at fair value at the time of repurchase, or transferred a fully proportionate share of the cash flows from a larger financial asset under an arrangement such as a loan participation that meets the </w:t>
      </w:r>
      <w:r w:rsidR="00EE3CCF" w:rsidRPr="007D770B">
        <w:rPr>
          <w:sz w:val="20"/>
          <w:szCs w:val="20"/>
          <w:lang w:val="en-US"/>
        </w:rPr>
        <w:t xml:space="preserve">conditions in the paragraph </w:t>
      </w:r>
      <w:r w:rsidRPr="007D770B">
        <w:rPr>
          <w:sz w:val="20"/>
          <w:szCs w:val="20"/>
          <w:lang w:val="en-US"/>
        </w:rPr>
        <w:t>above.</w:t>
      </w:r>
    </w:p>
    <w:p w14:paraId="73A6CB22" w14:textId="77777777" w:rsidR="00331FED" w:rsidRPr="007D770B" w:rsidRDefault="00331FED" w:rsidP="00331FED">
      <w:pPr>
        <w:pStyle w:val="af4"/>
        <w:spacing w:after="240"/>
        <w:ind w:firstLine="0"/>
        <w:rPr>
          <w:sz w:val="20"/>
          <w:szCs w:val="20"/>
          <w:lang w:val="en-US"/>
        </w:rPr>
      </w:pPr>
      <w:r w:rsidRPr="007D770B">
        <w:rPr>
          <w:sz w:val="20"/>
          <w:szCs w:val="20"/>
          <w:lang w:val="en-US"/>
        </w:rPr>
        <w:t xml:space="preserve">In many cases it is clear that the Bank has transferred or retained substantially all the risks and rewards of ownership of a financial asset and no settlement is necessary. </w:t>
      </w:r>
    </w:p>
    <w:p w14:paraId="60CBC904" w14:textId="77777777" w:rsidR="00331FED" w:rsidRPr="007D770B" w:rsidRDefault="00331FED" w:rsidP="00331FED">
      <w:pPr>
        <w:pStyle w:val="af4"/>
        <w:spacing w:after="240"/>
        <w:ind w:firstLine="0"/>
        <w:rPr>
          <w:sz w:val="20"/>
          <w:szCs w:val="20"/>
          <w:lang w:val="en-US"/>
        </w:rPr>
      </w:pPr>
      <w:r w:rsidRPr="007D770B">
        <w:rPr>
          <w:sz w:val="20"/>
          <w:szCs w:val="20"/>
          <w:lang w:val="en-US"/>
        </w:rPr>
        <w:t xml:space="preserve">In other cases, the impact on the Bank of changes in the present value of future net cash flows before and after the transfer should be calculated and compared. </w:t>
      </w:r>
    </w:p>
    <w:p w14:paraId="04EB8D6D" w14:textId="77777777" w:rsidR="00331FED" w:rsidRPr="007D770B" w:rsidRDefault="00331FED" w:rsidP="00331FED">
      <w:pPr>
        <w:pStyle w:val="af4"/>
        <w:spacing w:after="240"/>
        <w:ind w:firstLine="0"/>
        <w:rPr>
          <w:sz w:val="20"/>
          <w:szCs w:val="20"/>
          <w:lang w:val="en-US"/>
        </w:rPr>
      </w:pPr>
      <w:r w:rsidRPr="007D770B">
        <w:rPr>
          <w:sz w:val="20"/>
          <w:szCs w:val="20"/>
          <w:lang w:val="en-US"/>
        </w:rPr>
        <w:t>The calculation and comparison is made using the relevant current market interest rate as the discount rate. All reasonably possible changes in net cash flows are taken into account, with greater weight given to those outcomes that are more likely than not to occur.</w:t>
      </w:r>
    </w:p>
    <w:p w14:paraId="5B9D4272" w14:textId="77777777" w:rsidR="00331FED" w:rsidRPr="007D770B" w:rsidRDefault="00331FED" w:rsidP="00331FED">
      <w:pPr>
        <w:pStyle w:val="af4"/>
        <w:spacing w:after="240"/>
        <w:ind w:firstLine="0"/>
        <w:rPr>
          <w:sz w:val="20"/>
          <w:szCs w:val="20"/>
          <w:lang w:val="en-US"/>
        </w:rPr>
      </w:pPr>
      <w:r w:rsidRPr="007D770B">
        <w:rPr>
          <w:sz w:val="20"/>
          <w:szCs w:val="20"/>
          <w:lang w:val="en-US"/>
        </w:rPr>
        <w:t>The Bank's retention of control over the transferred asset is dependent on the ability of the receiving party to sell the asset. If the transferee has the practical ability to sell the asset in its entirety to an unrelated third party and the transferee can exercise its option to do so unilaterally without needing to impose additional restrictions on the transfer, the Bank has not retained control. In all other cases, the Bank retains control.</w:t>
      </w:r>
    </w:p>
    <w:p w14:paraId="3B0B03EE" w14:textId="77777777" w:rsidR="00331FED" w:rsidRPr="007D770B" w:rsidRDefault="00331FED" w:rsidP="00331FED">
      <w:pPr>
        <w:pStyle w:val="af4"/>
        <w:spacing w:after="240"/>
        <w:ind w:firstLine="0"/>
        <w:rPr>
          <w:b/>
          <w:i/>
          <w:sz w:val="20"/>
          <w:szCs w:val="20"/>
          <w:lang w:val="en-US"/>
        </w:rPr>
      </w:pPr>
      <w:r w:rsidRPr="007D770B">
        <w:rPr>
          <w:b/>
          <w:i/>
          <w:sz w:val="20"/>
          <w:szCs w:val="20"/>
          <w:lang w:val="en-US"/>
        </w:rPr>
        <w:t>Transfers qualifying for derecognition</w:t>
      </w:r>
    </w:p>
    <w:p w14:paraId="30A2863F" w14:textId="77777777" w:rsidR="00331FED" w:rsidRPr="007D770B" w:rsidRDefault="00331FED" w:rsidP="00331FED">
      <w:pPr>
        <w:pStyle w:val="af4"/>
        <w:spacing w:after="240"/>
        <w:ind w:firstLine="0"/>
        <w:rPr>
          <w:sz w:val="20"/>
          <w:szCs w:val="20"/>
          <w:lang w:val="en-US"/>
        </w:rPr>
      </w:pPr>
      <w:r w:rsidRPr="007D770B">
        <w:rPr>
          <w:sz w:val="20"/>
          <w:szCs w:val="20"/>
          <w:lang w:val="en-US"/>
        </w:rPr>
        <w:t xml:space="preserve">If the Bank transfers a financial asset in a manner that qualifies for derecognition in its entirety and retains the right to service the financial asset for a fee, the Bank shall recognize an asset or a liability for such a servicing contract. </w:t>
      </w:r>
    </w:p>
    <w:p w14:paraId="6604EEFC" w14:textId="77777777" w:rsidR="00331FED" w:rsidRPr="007D770B" w:rsidRDefault="00331FED" w:rsidP="00331FED">
      <w:pPr>
        <w:pStyle w:val="af4"/>
        <w:spacing w:after="240"/>
        <w:ind w:firstLine="0"/>
        <w:rPr>
          <w:sz w:val="20"/>
          <w:szCs w:val="20"/>
          <w:lang w:val="en-US"/>
        </w:rPr>
      </w:pPr>
      <w:r w:rsidRPr="007D770B">
        <w:rPr>
          <w:sz w:val="20"/>
          <w:szCs w:val="20"/>
          <w:lang w:val="en-US"/>
        </w:rPr>
        <w:t xml:space="preserve">If the consideration to be received is not expected to compensate the Bank sufficiently for providing the service, a service liability should be recognized at fair value. </w:t>
      </w:r>
    </w:p>
    <w:p w14:paraId="66511A0D" w14:textId="77777777" w:rsidR="00331FED" w:rsidRPr="007D770B" w:rsidRDefault="00331FED" w:rsidP="00331FED">
      <w:pPr>
        <w:pStyle w:val="af4"/>
        <w:spacing w:after="240"/>
        <w:ind w:firstLine="0"/>
        <w:rPr>
          <w:sz w:val="20"/>
          <w:szCs w:val="20"/>
          <w:lang w:val="en-US"/>
        </w:rPr>
      </w:pPr>
      <w:r w:rsidRPr="007D770B">
        <w:rPr>
          <w:sz w:val="20"/>
          <w:szCs w:val="20"/>
          <w:lang w:val="en-US"/>
        </w:rPr>
        <w:t>If the consideration to be received is expected to be more than adequate compensation for servicing, a servicing asset should be recognized for the amount determined based on the allocation of the carrying amount of the greater financial asset in accordance with the paragraph below.</w:t>
      </w:r>
    </w:p>
    <w:p w14:paraId="50616320" w14:textId="77777777" w:rsidR="00331FED" w:rsidRPr="007D770B" w:rsidRDefault="00331FED" w:rsidP="00331FED">
      <w:pPr>
        <w:pStyle w:val="af4"/>
        <w:spacing w:after="240"/>
        <w:ind w:firstLine="0"/>
        <w:rPr>
          <w:sz w:val="20"/>
          <w:szCs w:val="20"/>
          <w:lang w:val="en-US"/>
        </w:rPr>
      </w:pPr>
      <w:r w:rsidRPr="007D770B">
        <w:rPr>
          <w:sz w:val="20"/>
          <w:szCs w:val="20"/>
          <w:lang w:val="en-US"/>
        </w:rPr>
        <w:t>If, as a result of a transfer, a financial asset is derecognized in its entirety but the transfer results in the Bank obtaining a new financial asset or incurring a new financial liability or service obligation, the Bank shall recognize the new financial asset, financial liability or service obligation at fair value.</w:t>
      </w:r>
    </w:p>
    <w:p w14:paraId="4324ACE0" w14:textId="77777777" w:rsidR="00331FED" w:rsidRPr="007D770B" w:rsidRDefault="00331FED" w:rsidP="00331FED">
      <w:pPr>
        <w:pStyle w:val="af4"/>
        <w:spacing w:after="240"/>
        <w:ind w:firstLine="0"/>
        <w:rPr>
          <w:sz w:val="20"/>
          <w:szCs w:val="20"/>
          <w:lang w:val="en-US"/>
        </w:rPr>
      </w:pPr>
      <w:r w:rsidRPr="007D770B">
        <w:rPr>
          <w:sz w:val="20"/>
          <w:szCs w:val="20"/>
          <w:lang w:val="en-US"/>
        </w:rPr>
        <w:t>On derecognition of a financial asset in its entirety, the difference between:</w:t>
      </w:r>
    </w:p>
    <w:p w14:paraId="7108D694" w14:textId="77777777" w:rsidR="00331FED" w:rsidRPr="00F41327" w:rsidRDefault="00331FED" w:rsidP="00AE698A">
      <w:pPr>
        <w:pStyle w:val="af4"/>
        <w:numPr>
          <w:ilvl w:val="0"/>
          <w:numId w:val="282"/>
        </w:numPr>
        <w:spacing w:after="240"/>
        <w:rPr>
          <w:sz w:val="20"/>
          <w:szCs w:val="20"/>
        </w:rPr>
      </w:pPr>
      <w:r w:rsidRPr="00F41327">
        <w:rPr>
          <w:sz w:val="20"/>
          <w:szCs w:val="20"/>
        </w:rPr>
        <w:t>book value, and</w:t>
      </w:r>
    </w:p>
    <w:p w14:paraId="7B1CD75C" w14:textId="3AF9C143" w:rsidR="00331FED" w:rsidRPr="007D770B" w:rsidRDefault="00331FED" w:rsidP="00AE698A">
      <w:pPr>
        <w:pStyle w:val="af4"/>
        <w:numPr>
          <w:ilvl w:val="0"/>
          <w:numId w:val="282"/>
        </w:numPr>
        <w:spacing w:after="240"/>
        <w:rPr>
          <w:sz w:val="20"/>
          <w:szCs w:val="20"/>
          <w:lang w:val="en-US"/>
        </w:rPr>
      </w:pPr>
      <w:r w:rsidRPr="007D770B">
        <w:rPr>
          <w:sz w:val="20"/>
          <w:szCs w:val="20"/>
          <w:lang w:val="en-US"/>
        </w:rPr>
        <w:t>the sum of the consideration received (including newly acquired assets less newly assumed liabilities) and the cumulative gain or loss recognized in other comprehensive income,</w:t>
      </w:r>
    </w:p>
    <w:p w14:paraId="1C7EDE55" w14:textId="77777777" w:rsidR="00331FED" w:rsidRPr="007D770B" w:rsidRDefault="00331FED" w:rsidP="00331FED">
      <w:pPr>
        <w:pStyle w:val="af4"/>
        <w:spacing w:after="240"/>
        <w:ind w:firstLine="0"/>
        <w:rPr>
          <w:sz w:val="20"/>
          <w:szCs w:val="20"/>
          <w:lang w:val="en-US"/>
        </w:rPr>
      </w:pPr>
      <w:r w:rsidRPr="007D770B">
        <w:rPr>
          <w:sz w:val="20"/>
          <w:szCs w:val="20"/>
          <w:lang w:val="en-US"/>
        </w:rPr>
        <w:t>should be recognized in profit or loss.</w:t>
      </w:r>
    </w:p>
    <w:p w14:paraId="4A242ABC" w14:textId="77777777" w:rsidR="00331FED" w:rsidRPr="007D770B" w:rsidRDefault="00331FED" w:rsidP="00331FED">
      <w:pPr>
        <w:pStyle w:val="af4"/>
        <w:spacing w:after="240"/>
        <w:ind w:firstLine="0"/>
        <w:rPr>
          <w:sz w:val="20"/>
          <w:szCs w:val="20"/>
          <w:lang w:val="en-US"/>
        </w:rPr>
      </w:pPr>
      <w:r w:rsidRPr="007D770B">
        <w:rPr>
          <w:sz w:val="20"/>
          <w:szCs w:val="20"/>
          <w:lang w:val="en-US"/>
        </w:rPr>
        <w:lastRenderedPageBreak/>
        <w:t xml:space="preserve">If the transferred asset forms part of a larger financial asset (for example, when the Bank transfers interest cash flows that form part of a debt instrument) and the transferred part qualifies for derecognition in its entirety, the previous carrying amount of the larger financial asset shall be allocated between the part that continues to be recognized and the part that is derecognized based on the relative fair values of those parts on the date of the transfer. </w:t>
      </w:r>
    </w:p>
    <w:p w14:paraId="68884F8D" w14:textId="77777777" w:rsidR="00331FED" w:rsidRPr="00F41327" w:rsidRDefault="00331FED" w:rsidP="00331FED">
      <w:pPr>
        <w:pStyle w:val="af4"/>
        <w:spacing w:after="240"/>
        <w:ind w:firstLine="0"/>
        <w:rPr>
          <w:sz w:val="20"/>
          <w:szCs w:val="20"/>
        </w:rPr>
      </w:pPr>
      <w:r w:rsidRPr="007D770B">
        <w:rPr>
          <w:sz w:val="20"/>
          <w:szCs w:val="20"/>
          <w:lang w:val="en-US"/>
        </w:rPr>
        <w:t xml:space="preserve">For this purpose, the retained servicing asset should be accounted for as part of the continuing recognition. </w:t>
      </w:r>
      <w:r w:rsidRPr="00F41327">
        <w:rPr>
          <w:sz w:val="20"/>
          <w:szCs w:val="20"/>
        </w:rPr>
        <w:t>The difference between</w:t>
      </w:r>
    </w:p>
    <w:p w14:paraId="5060CB95" w14:textId="77777777" w:rsidR="00331FED" w:rsidRPr="007D770B" w:rsidRDefault="00331FED" w:rsidP="00AE698A">
      <w:pPr>
        <w:pStyle w:val="af4"/>
        <w:numPr>
          <w:ilvl w:val="0"/>
          <w:numId w:val="283"/>
        </w:numPr>
        <w:spacing w:after="240"/>
        <w:rPr>
          <w:sz w:val="20"/>
          <w:szCs w:val="20"/>
          <w:lang w:val="en-US"/>
        </w:rPr>
      </w:pPr>
      <w:r w:rsidRPr="007D770B">
        <w:rPr>
          <w:sz w:val="20"/>
          <w:szCs w:val="20"/>
          <w:lang w:val="en-US"/>
        </w:rPr>
        <w:t>the carrying amount allocated to the derecognized portion, and</w:t>
      </w:r>
    </w:p>
    <w:p w14:paraId="2C6EFA88" w14:textId="1A77FE69" w:rsidR="00331FED" w:rsidRPr="007D770B" w:rsidRDefault="00331FED" w:rsidP="00AE698A">
      <w:pPr>
        <w:pStyle w:val="af4"/>
        <w:numPr>
          <w:ilvl w:val="0"/>
          <w:numId w:val="283"/>
        </w:numPr>
        <w:spacing w:after="240"/>
        <w:rPr>
          <w:sz w:val="20"/>
          <w:szCs w:val="20"/>
          <w:lang w:val="en-US"/>
        </w:rPr>
      </w:pPr>
      <w:r w:rsidRPr="007D770B">
        <w:rPr>
          <w:sz w:val="20"/>
          <w:szCs w:val="20"/>
          <w:lang w:val="en-US"/>
        </w:rPr>
        <w:t>the sum of the consideration received for the portion derecognized (including newly acquired assets less newly assumed liabilities) and the cumulative gain or loss allocated to that portion that was recognized in other comprehensive income,</w:t>
      </w:r>
    </w:p>
    <w:p w14:paraId="388E005C" w14:textId="77777777" w:rsidR="00331FED" w:rsidRPr="007D770B" w:rsidRDefault="00331FED" w:rsidP="00331FED">
      <w:pPr>
        <w:pStyle w:val="af4"/>
        <w:spacing w:after="240"/>
        <w:ind w:firstLine="0"/>
        <w:rPr>
          <w:sz w:val="20"/>
          <w:szCs w:val="20"/>
          <w:lang w:val="en-US"/>
        </w:rPr>
      </w:pPr>
      <w:r w:rsidRPr="007D770B">
        <w:rPr>
          <w:sz w:val="20"/>
          <w:szCs w:val="20"/>
          <w:lang w:val="en-US"/>
        </w:rPr>
        <w:t xml:space="preserve">should be recognized in profit or loss. </w:t>
      </w:r>
    </w:p>
    <w:p w14:paraId="3AB091CE" w14:textId="77777777" w:rsidR="00331FED" w:rsidRPr="007D770B" w:rsidRDefault="00331FED" w:rsidP="00331FED">
      <w:pPr>
        <w:pStyle w:val="af4"/>
        <w:spacing w:after="240"/>
        <w:ind w:firstLine="0"/>
        <w:rPr>
          <w:sz w:val="20"/>
          <w:szCs w:val="20"/>
          <w:lang w:val="en-US"/>
        </w:rPr>
      </w:pPr>
      <w:r w:rsidRPr="007D770B">
        <w:rPr>
          <w:sz w:val="20"/>
          <w:szCs w:val="20"/>
          <w:lang w:val="en-US"/>
        </w:rPr>
        <w:t>The cumulative gain or loss that has been recognized in other comprehensive income is allocated between the part that continues to be recognized and the part that is derecognized based on the relative fair values of those parts.</w:t>
      </w:r>
    </w:p>
    <w:p w14:paraId="22D65126" w14:textId="77777777" w:rsidR="00331FED" w:rsidRPr="007D770B" w:rsidRDefault="00331FED" w:rsidP="00331FED">
      <w:pPr>
        <w:pStyle w:val="af4"/>
        <w:spacing w:after="240"/>
        <w:ind w:firstLine="0"/>
        <w:rPr>
          <w:sz w:val="20"/>
          <w:szCs w:val="20"/>
          <w:lang w:val="en-US"/>
        </w:rPr>
      </w:pPr>
      <w:r w:rsidRPr="007D770B">
        <w:rPr>
          <w:sz w:val="20"/>
          <w:szCs w:val="20"/>
          <w:lang w:val="en-US"/>
        </w:rPr>
        <w:t xml:space="preserve">If the Bank allocates the previous carrying amount of a larger financial asset between the part that is being continued and the part that is derecognized, the fair value of the part that is being continued must be measured. </w:t>
      </w:r>
    </w:p>
    <w:p w14:paraId="12F3D2F5" w14:textId="77777777" w:rsidR="00331FED" w:rsidRPr="007D770B" w:rsidRDefault="00331FED" w:rsidP="00331FED">
      <w:pPr>
        <w:pStyle w:val="af4"/>
        <w:spacing w:after="240"/>
        <w:ind w:firstLine="0"/>
        <w:rPr>
          <w:sz w:val="20"/>
          <w:szCs w:val="20"/>
          <w:lang w:val="en-US"/>
        </w:rPr>
      </w:pPr>
      <w:r w:rsidRPr="007D770B">
        <w:rPr>
          <w:sz w:val="20"/>
          <w:szCs w:val="20"/>
          <w:lang w:val="en-US"/>
        </w:rPr>
        <w:t>If there is no quoted price or recent market transactions that would provide a basis for determining the fair value of the part of the asset that is being derecognized, the best estimate is the difference between the fair value of the larger financial asset as a whole and the consideration received from the transferee for the part of the asset that is derecognized.</w:t>
      </w:r>
    </w:p>
    <w:p w14:paraId="2EF0C4AA" w14:textId="77777777" w:rsidR="00331FED" w:rsidRPr="007D770B" w:rsidRDefault="00331FED" w:rsidP="00331FED">
      <w:pPr>
        <w:pStyle w:val="af4"/>
        <w:spacing w:after="240"/>
        <w:ind w:firstLine="0"/>
        <w:rPr>
          <w:b/>
          <w:i/>
          <w:sz w:val="20"/>
          <w:szCs w:val="20"/>
          <w:lang w:val="en-US"/>
        </w:rPr>
      </w:pPr>
      <w:r w:rsidRPr="007D770B">
        <w:rPr>
          <w:b/>
          <w:i/>
          <w:sz w:val="20"/>
          <w:szCs w:val="20"/>
          <w:lang w:val="en-US"/>
        </w:rPr>
        <w:t>Transfers that do not qualify for derecognition</w:t>
      </w:r>
    </w:p>
    <w:p w14:paraId="65B5886B" w14:textId="77777777" w:rsidR="00331FED" w:rsidRPr="007D770B" w:rsidRDefault="00331FED" w:rsidP="00331FED">
      <w:pPr>
        <w:pStyle w:val="21"/>
        <w:tabs>
          <w:tab w:val="clear" w:pos="1134"/>
        </w:tabs>
        <w:spacing w:after="240"/>
        <w:ind w:firstLine="0"/>
        <w:rPr>
          <w:sz w:val="20"/>
          <w:szCs w:val="20"/>
          <w:lang w:val="en-US"/>
        </w:rPr>
      </w:pPr>
      <w:r w:rsidRPr="007D770B">
        <w:rPr>
          <w:sz w:val="20"/>
          <w:szCs w:val="20"/>
          <w:lang w:val="en-US"/>
        </w:rPr>
        <w:t>If the transfer does not result in derecognition because the Bank retains substantially all the risks and rewards of ownership of the transferred asset, the Bank shall continue to recognize the transferred asset in its entirety and shall recognize a financial liability for the consideration received. In subsequent periods, the Bank shall recognize all income from the transferred asset and all expenses incurred for the financial liability.</w:t>
      </w:r>
    </w:p>
    <w:p w14:paraId="003F68D6" w14:textId="77777777" w:rsidR="00331FED" w:rsidRPr="007D770B" w:rsidRDefault="00331FED" w:rsidP="00331FED">
      <w:pPr>
        <w:pStyle w:val="21"/>
        <w:tabs>
          <w:tab w:val="clear" w:pos="1134"/>
        </w:tabs>
        <w:spacing w:after="240"/>
        <w:ind w:firstLine="0"/>
        <w:rPr>
          <w:b/>
          <w:i/>
          <w:sz w:val="20"/>
          <w:szCs w:val="20"/>
          <w:lang w:val="en-US"/>
        </w:rPr>
      </w:pPr>
      <w:r w:rsidRPr="007D770B">
        <w:rPr>
          <w:b/>
          <w:i/>
          <w:sz w:val="20"/>
          <w:szCs w:val="20"/>
          <w:lang w:val="en-US"/>
        </w:rPr>
        <w:t>Continuing involvement in transferred assets</w:t>
      </w:r>
    </w:p>
    <w:p w14:paraId="1BA585CD" w14:textId="77777777" w:rsidR="00331FED" w:rsidRPr="007D770B" w:rsidRDefault="00331FED" w:rsidP="00331FED">
      <w:pPr>
        <w:pStyle w:val="21"/>
        <w:tabs>
          <w:tab w:val="clear" w:pos="1134"/>
        </w:tabs>
        <w:spacing w:after="240"/>
        <w:ind w:firstLine="0"/>
        <w:rPr>
          <w:sz w:val="20"/>
          <w:szCs w:val="20"/>
          <w:lang w:val="en-US"/>
        </w:rPr>
      </w:pPr>
      <w:r w:rsidRPr="007D770B">
        <w:rPr>
          <w:sz w:val="20"/>
          <w:szCs w:val="20"/>
          <w:lang w:val="en-US"/>
        </w:rPr>
        <w:t>Where the Bank has neither transferred nor retained substantially all the risks and rewards of ownership of a transferred asset, but has retained control of the transferred asset, the Bank continues to recognize the transferred asset to the extent of its continuing involvement in the asset. The extent of the Bank's continuing involvement in the transferred asset is the extent to which it is exposed to the risk of changes in the value of the transferred asset.</w:t>
      </w:r>
    </w:p>
    <w:p w14:paraId="380ADBD2" w14:textId="77777777" w:rsidR="00331FED" w:rsidRPr="007D770B" w:rsidRDefault="00331FED" w:rsidP="00331FED">
      <w:pPr>
        <w:pStyle w:val="21"/>
        <w:tabs>
          <w:tab w:val="clear" w:pos="1134"/>
        </w:tabs>
        <w:spacing w:after="240"/>
        <w:ind w:firstLine="0"/>
        <w:rPr>
          <w:sz w:val="20"/>
          <w:szCs w:val="20"/>
          <w:lang w:val="en-US"/>
        </w:rPr>
      </w:pPr>
      <w:r w:rsidRPr="007D770B">
        <w:rPr>
          <w:sz w:val="20"/>
          <w:szCs w:val="20"/>
          <w:lang w:val="en-US"/>
        </w:rPr>
        <w:t>Where the Bank continues to recognize an asset to the extent of its continuing involvement, the Bank also recognizes a related liability. The asset and the associated liability are measured on a basis that reflects the rights and obligations retained by the Bank. The associated liability is measured such that the net carrying amount of the transferred asset and the associated liability is:</w:t>
      </w:r>
    </w:p>
    <w:p w14:paraId="139FE10E" w14:textId="77777777" w:rsidR="00331FED" w:rsidRPr="007D770B" w:rsidRDefault="00331FED" w:rsidP="00AE698A">
      <w:pPr>
        <w:pStyle w:val="21"/>
        <w:numPr>
          <w:ilvl w:val="0"/>
          <w:numId w:val="284"/>
        </w:numPr>
        <w:spacing w:after="240"/>
        <w:rPr>
          <w:sz w:val="20"/>
          <w:szCs w:val="20"/>
          <w:lang w:val="en-US"/>
        </w:rPr>
      </w:pPr>
      <w:r w:rsidRPr="007D770B">
        <w:rPr>
          <w:sz w:val="20"/>
          <w:szCs w:val="20"/>
          <w:lang w:val="en-US"/>
        </w:rPr>
        <w:t>the amortized cost of the rights and obligations retained by the Bank if the transferred asset is measured at amortized cost; or</w:t>
      </w:r>
    </w:p>
    <w:p w14:paraId="7789A0C9" w14:textId="77777777" w:rsidR="00331FED" w:rsidRPr="007D770B" w:rsidRDefault="00331FED" w:rsidP="00AE698A">
      <w:pPr>
        <w:pStyle w:val="21"/>
        <w:numPr>
          <w:ilvl w:val="0"/>
          <w:numId w:val="284"/>
        </w:numPr>
        <w:spacing w:after="240"/>
        <w:rPr>
          <w:sz w:val="20"/>
          <w:szCs w:val="20"/>
          <w:lang w:val="en-US"/>
        </w:rPr>
      </w:pPr>
      <w:r w:rsidRPr="007D770B">
        <w:rPr>
          <w:sz w:val="20"/>
          <w:szCs w:val="20"/>
          <w:lang w:val="en-US"/>
        </w:rPr>
        <w:t>equal to the fair value of the Bank's retained rights and obligations measured on a stand-alone basis if the transferred asset is measured at fair value.</w:t>
      </w:r>
    </w:p>
    <w:p w14:paraId="75EA42E4" w14:textId="77777777" w:rsidR="00331FED" w:rsidRPr="007D770B" w:rsidRDefault="00331FED" w:rsidP="00331FED">
      <w:pPr>
        <w:pStyle w:val="21"/>
        <w:tabs>
          <w:tab w:val="clear" w:pos="1134"/>
        </w:tabs>
        <w:spacing w:after="240"/>
        <w:ind w:firstLine="0"/>
        <w:rPr>
          <w:sz w:val="20"/>
          <w:szCs w:val="20"/>
          <w:lang w:val="en-US"/>
        </w:rPr>
      </w:pPr>
      <w:r w:rsidRPr="007D770B">
        <w:rPr>
          <w:sz w:val="20"/>
          <w:szCs w:val="20"/>
          <w:lang w:val="en-US"/>
        </w:rPr>
        <w:t>The Bank shall continue to recognize any income arising from the transferred asset to the extent of its continuing involvement and shall recognize the expense incurred for the related liability.</w:t>
      </w:r>
    </w:p>
    <w:p w14:paraId="3715190B" w14:textId="77777777" w:rsidR="00331FED" w:rsidRPr="007D770B" w:rsidRDefault="00331FED" w:rsidP="00331FED">
      <w:pPr>
        <w:pStyle w:val="21"/>
        <w:tabs>
          <w:tab w:val="clear" w:pos="1134"/>
        </w:tabs>
        <w:spacing w:after="240"/>
        <w:ind w:firstLine="0"/>
        <w:rPr>
          <w:sz w:val="20"/>
          <w:szCs w:val="20"/>
          <w:lang w:val="en-US"/>
        </w:rPr>
      </w:pPr>
      <w:r w:rsidRPr="007D770B">
        <w:rPr>
          <w:sz w:val="20"/>
          <w:szCs w:val="20"/>
          <w:lang w:val="en-US"/>
        </w:rPr>
        <w:t>For subsequent measurement purposes, recognized changes in the fair value of the transferred asset and the associated liability are accounted for in a consistent manner in accordance with the accounting policy for the class of the asset.</w:t>
      </w:r>
    </w:p>
    <w:p w14:paraId="3F6E8A58" w14:textId="77777777" w:rsidR="00331FED" w:rsidRPr="007D770B" w:rsidRDefault="00331FED" w:rsidP="00331FED">
      <w:pPr>
        <w:pStyle w:val="21"/>
        <w:tabs>
          <w:tab w:val="clear" w:pos="1134"/>
        </w:tabs>
        <w:spacing w:after="240"/>
        <w:ind w:firstLine="0"/>
        <w:rPr>
          <w:sz w:val="20"/>
          <w:szCs w:val="20"/>
          <w:lang w:val="en-US"/>
        </w:rPr>
      </w:pPr>
      <w:r w:rsidRPr="007D770B">
        <w:rPr>
          <w:sz w:val="20"/>
          <w:szCs w:val="20"/>
          <w:lang w:val="en-US"/>
        </w:rPr>
        <w:t xml:space="preserve">Where the Bank continues involvement in only part of a financial asset (for example, where the Bank retains a right to repurchase part of a transferred asset or retains a residual interest in the asset that does not result in the retention of substantially all the risks and rewards of ownership and the Bank retains control), the Bank allocates the previous carrying amount of the financial asset between the part it continues to recognize under its continuing involvement, and the part it derecognizes based on </w:t>
      </w:r>
    </w:p>
    <w:p w14:paraId="0EBE3986" w14:textId="77777777" w:rsidR="00331FED" w:rsidRPr="007D770B" w:rsidRDefault="00331FED" w:rsidP="00331FED">
      <w:pPr>
        <w:pStyle w:val="21"/>
        <w:tabs>
          <w:tab w:val="clear" w:pos="1134"/>
        </w:tabs>
        <w:spacing w:after="240"/>
        <w:ind w:firstLine="0"/>
        <w:rPr>
          <w:sz w:val="20"/>
          <w:szCs w:val="20"/>
          <w:lang w:val="en-US"/>
        </w:rPr>
      </w:pPr>
      <w:r w:rsidRPr="007D770B">
        <w:rPr>
          <w:sz w:val="20"/>
          <w:szCs w:val="20"/>
          <w:lang w:val="en-US"/>
        </w:rPr>
        <w:lastRenderedPageBreak/>
        <w:t>For these purposes, the difference between:</w:t>
      </w:r>
    </w:p>
    <w:p w14:paraId="32B17E35" w14:textId="77777777" w:rsidR="00331FED" w:rsidRPr="007D770B" w:rsidRDefault="00331FED" w:rsidP="00AE698A">
      <w:pPr>
        <w:pStyle w:val="21"/>
        <w:numPr>
          <w:ilvl w:val="0"/>
          <w:numId w:val="285"/>
        </w:numPr>
        <w:spacing w:after="240"/>
        <w:rPr>
          <w:sz w:val="20"/>
          <w:szCs w:val="20"/>
          <w:lang w:val="en-US"/>
        </w:rPr>
      </w:pPr>
      <w:r w:rsidRPr="007D770B">
        <w:rPr>
          <w:sz w:val="20"/>
          <w:szCs w:val="20"/>
          <w:lang w:val="en-US"/>
        </w:rPr>
        <w:t>the carrying amount allocated to the portion that is no longer recognized, and</w:t>
      </w:r>
    </w:p>
    <w:p w14:paraId="5E437764" w14:textId="77777777" w:rsidR="00331FED" w:rsidRPr="007D770B" w:rsidRDefault="00331FED" w:rsidP="00AE698A">
      <w:pPr>
        <w:pStyle w:val="21"/>
        <w:numPr>
          <w:ilvl w:val="0"/>
          <w:numId w:val="285"/>
        </w:numPr>
        <w:spacing w:after="240"/>
        <w:rPr>
          <w:sz w:val="20"/>
          <w:szCs w:val="20"/>
          <w:lang w:val="en-US"/>
        </w:rPr>
      </w:pPr>
      <w:r w:rsidRPr="007D770B">
        <w:rPr>
          <w:sz w:val="20"/>
          <w:szCs w:val="20"/>
          <w:lang w:val="en-US"/>
        </w:rPr>
        <w:t xml:space="preserve">the sum of the consideration received for the part no longer recognized and the cumulative gain or loss allocated to it that had been recognized in other comprehensive income, </w:t>
      </w:r>
    </w:p>
    <w:p w14:paraId="5D4823BF" w14:textId="77777777" w:rsidR="00331FED" w:rsidRPr="007D770B" w:rsidRDefault="00331FED" w:rsidP="00331FED">
      <w:pPr>
        <w:pStyle w:val="21"/>
        <w:tabs>
          <w:tab w:val="clear" w:pos="1134"/>
        </w:tabs>
        <w:spacing w:after="240"/>
        <w:ind w:firstLine="0"/>
        <w:rPr>
          <w:sz w:val="20"/>
          <w:szCs w:val="20"/>
          <w:lang w:val="en-US"/>
        </w:rPr>
      </w:pPr>
      <w:r w:rsidRPr="007D770B">
        <w:rPr>
          <w:sz w:val="20"/>
          <w:szCs w:val="20"/>
          <w:lang w:val="en-US"/>
        </w:rPr>
        <w:t xml:space="preserve">should be recognized in profit or loss. </w:t>
      </w:r>
    </w:p>
    <w:p w14:paraId="33905039" w14:textId="77777777" w:rsidR="00331FED" w:rsidRPr="007D770B" w:rsidRDefault="00331FED" w:rsidP="00331FED">
      <w:pPr>
        <w:pStyle w:val="21"/>
        <w:tabs>
          <w:tab w:val="clear" w:pos="1134"/>
        </w:tabs>
        <w:spacing w:after="240"/>
        <w:ind w:firstLine="0"/>
        <w:rPr>
          <w:sz w:val="20"/>
          <w:szCs w:val="20"/>
          <w:lang w:val="en-US"/>
        </w:rPr>
      </w:pPr>
      <w:r w:rsidRPr="007D770B">
        <w:rPr>
          <w:sz w:val="20"/>
          <w:szCs w:val="20"/>
          <w:lang w:val="en-US"/>
        </w:rPr>
        <w:t>The cumulative gain or loss that had been recognized in other comprehensive income is allocated between the part that continues to be recognized and the part that is no longer recognized on the basis of the relative fair values of those parts.</w:t>
      </w:r>
    </w:p>
    <w:p w14:paraId="42625B85" w14:textId="77777777" w:rsidR="00331FED" w:rsidRPr="007D770B" w:rsidRDefault="00331FED" w:rsidP="00331FED">
      <w:pPr>
        <w:pStyle w:val="21"/>
        <w:tabs>
          <w:tab w:val="clear" w:pos="1134"/>
        </w:tabs>
        <w:spacing w:after="240"/>
        <w:ind w:firstLine="0"/>
        <w:rPr>
          <w:sz w:val="20"/>
          <w:szCs w:val="20"/>
          <w:lang w:val="en-US"/>
        </w:rPr>
      </w:pPr>
      <w:r w:rsidRPr="007D770B">
        <w:rPr>
          <w:sz w:val="20"/>
          <w:szCs w:val="20"/>
          <w:lang w:val="en-US"/>
        </w:rPr>
        <w:t>If the transferred asset is measured at amortized cost, the option in these accounting policies to designate a financial liability as at fair value through profit or loss does not apply to the related liability.</w:t>
      </w:r>
    </w:p>
    <w:p w14:paraId="7F74E8A4" w14:textId="77777777" w:rsidR="00905915" w:rsidRPr="007D770B" w:rsidRDefault="00905915" w:rsidP="00331FED">
      <w:pPr>
        <w:pStyle w:val="21"/>
        <w:tabs>
          <w:tab w:val="clear" w:pos="1134"/>
        </w:tabs>
        <w:spacing w:after="240"/>
        <w:ind w:firstLine="0"/>
        <w:rPr>
          <w:b/>
          <w:i/>
          <w:sz w:val="20"/>
          <w:szCs w:val="20"/>
          <w:lang w:val="en-US"/>
        </w:rPr>
      </w:pPr>
    </w:p>
    <w:p w14:paraId="525DDBBA" w14:textId="77777777" w:rsidR="00331FED" w:rsidRPr="007D770B" w:rsidRDefault="00331FED" w:rsidP="00331FED">
      <w:pPr>
        <w:pStyle w:val="21"/>
        <w:tabs>
          <w:tab w:val="clear" w:pos="1134"/>
        </w:tabs>
        <w:spacing w:after="240"/>
        <w:ind w:firstLine="0"/>
        <w:rPr>
          <w:b/>
          <w:i/>
          <w:sz w:val="20"/>
          <w:szCs w:val="20"/>
          <w:lang w:val="en-US"/>
        </w:rPr>
      </w:pPr>
      <w:r w:rsidRPr="007D770B">
        <w:rPr>
          <w:b/>
          <w:i/>
          <w:sz w:val="20"/>
          <w:szCs w:val="20"/>
          <w:lang w:val="en-US"/>
        </w:rPr>
        <w:t>All programs</w:t>
      </w:r>
    </w:p>
    <w:p w14:paraId="75C34350" w14:textId="77777777" w:rsidR="00331FED" w:rsidRPr="007D770B" w:rsidRDefault="00331FED" w:rsidP="00331FED">
      <w:pPr>
        <w:pStyle w:val="21"/>
        <w:tabs>
          <w:tab w:val="clear" w:pos="1134"/>
        </w:tabs>
        <w:spacing w:after="240"/>
        <w:ind w:firstLine="0"/>
        <w:rPr>
          <w:sz w:val="20"/>
          <w:szCs w:val="20"/>
          <w:lang w:val="en-US"/>
        </w:rPr>
      </w:pPr>
      <w:r w:rsidRPr="007D770B">
        <w:rPr>
          <w:sz w:val="20"/>
          <w:szCs w:val="20"/>
          <w:lang w:val="en-US"/>
        </w:rPr>
        <w:t>If the transferred asset continues to be recognized, the asset and the associated liability should not be offset. Similarly, the Bank should not offset income arising from the transferred asset with expenses incurred for the related liability.</w:t>
      </w:r>
    </w:p>
    <w:p w14:paraId="5EFA3E9C" w14:textId="77777777" w:rsidR="00331FED" w:rsidRPr="007D770B" w:rsidRDefault="00331FED" w:rsidP="00331FED">
      <w:pPr>
        <w:pStyle w:val="21"/>
        <w:tabs>
          <w:tab w:val="clear" w:pos="1134"/>
        </w:tabs>
        <w:spacing w:after="240"/>
        <w:ind w:firstLine="0"/>
        <w:rPr>
          <w:sz w:val="20"/>
          <w:szCs w:val="20"/>
          <w:lang w:val="en-US"/>
        </w:rPr>
      </w:pPr>
      <w:r w:rsidRPr="007D770B">
        <w:rPr>
          <w:sz w:val="20"/>
          <w:szCs w:val="20"/>
          <w:lang w:val="en-US"/>
        </w:rPr>
        <w:t xml:space="preserve">If the transferor provides non-cash collateral (such as a debt or equity instrument) to the transferee, the accounting for that collateral by the transferor and the transferee depends on whether the transferee has the right to sell or repledge the collateral and whether or not the transferor has fulfilled its obligations. </w:t>
      </w:r>
    </w:p>
    <w:p w14:paraId="4140CBE6" w14:textId="77777777" w:rsidR="00331FED" w:rsidRPr="007D770B" w:rsidRDefault="00331FED" w:rsidP="00331FED">
      <w:pPr>
        <w:pStyle w:val="21"/>
        <w:tabs>
          <w:tab w:val="clear" w:pos="1134"/>
        </w:tabs>
        <w:spacing w:after="240"/>
        <w:ind w:firstLine="0"/>
        <w:rPr>
          <w:sz w:val="20"/>
          <w:szCs w:val="20"/>
          <w:lang w:val="en-US"/>
        </w:rPr>
      </w:pPr>
      <w:r w:rsidRPr="007D770B">
        <w:rPr>
          <w:sz w:val="20"/>
          <w:szCs w:val="20"/>
          <w:lang w:val="en-US"/>
        </w:rPr>
        <w:t>The transmitting and receiving parties should account for such collateral as follows:</w:t>
      </w:r>
    </w:p>
    <w:p w14:paraId="6DDB1F9A" w14:textId="77777777" w:rsidR="00331FED" w:rsidRPr="007D770B" w:rsidRDefault="00331FED" w:rsidP="00AE698A">
      <w:pPr>
        <w:pStyle w:val="21"/>
        <w:numPr>
          <w:ilvl w:val="0"/>
          <w:numId w:val="286"/>
        </w:numPr>
        <w:spacing w:after="240"/>
        <w:rPr>
          <w:sz w:val="20"/>
          <w:szCs w:val="20"/>
          <w:lang w:val="en-US"/>
        </w:rPr>
      </w:pPr>
      <w:r w:rsidRPr="007D770B">
        <w:rPr>
          <w:sz w:val="20"/>
          <w:szCs w:val="20"/>
          <w:lang w:val="en-US"/>
        </w:rPr>
        <w:t>if the receiving party has the right, by contract or custom, to sell or repledge the collateral, the transferor must reclassify the asset in its statement of financial position (for example, as a loan asset, pledged equity instrument or repurchase receivable) separately from other assets. The transferor shall continue to account for the collateral as its asset and the transferee shall not account for the collateral as an asset;</w:t>
      </w:r>
    </w:p>
    <w:p w14:paraId="0A584A1D" w14:textId="77777777" w:rsidR="00331FED" w:rsidRPr="007D770B" w:rsidRDefault="00331FED" w:rsidP="00AE698A">
      <w:pPr>
        <w:pStyle w:val="21"/>
        <w:numPr>
          <w:ilvl w:val="0"/>
          <w:numId w:val="286"/>
        </w:numPr>
        <w:spacing w:after="240"/>
        <w:rPr>
          <w:sz w:val="20"/>
          <w:szCs w:val="20"/>
          <w:lang w:val="en-US"/>
        </w:rPr>
      </w:pPr>
      <w:r w:rsidRPr="007D770B">
        <w:rPr>
          <w:sz w:val="20"/>
          <w:szCs w:val="20"/>
          <w:lang w:val="en-US"/>
        </w:rPr>
        <w:t>if the receiving party sells the collateral pledged to it, it should recognize the proceeds from the sale and a liability measured at fair value to return the collateral. The transferor shall continue to account for the collateral as its asset and the transferee shall not account for the collateral as an asset;</w:t>
      </w:r>
    </w:p>
    <w:p w14:paraId="781FF50D" w14:textId="77777777" w:rsidR="00331FED" w:rsidRPr="007D770B" w:rsidRDefault="00331FED" w:rsidP="00AE698A">
      <w:pPr>
        <w:pStyle w:val="21"/>
        <w:numPr>
          <w:ilvl w:val="0"/>
          <w:numId w:val="286"/>
        </w:numPr>
        <w:spacing w:after="240"/>
        <w:rPr>
          <w:sz w:val="20"/>
          <w:szCs w:val="20"/>
          <w:lang w:val="en-US"/>
        </w:rPr>
      </w:pPr>
      <w:r w:rsidRPr="007D770B">
        <w:rPr>
          <w:sz w:val="20"/>
          <w:szCs w:val="20"/>
          <w:lang w:val="en-US"/>
        </w:rPr>
        <w:t>if the transferor fails to comply with the terms of the contract and has no right to receive the collateral back, the transferor should derecognize the collateral and the transferee should recognize the collateral as its asset initially measured at fair value or, if it has already sold the collateral, derecognize its obligation to return the collateral.</w:t>
      </w:r>
    </w:p>
    <w:p w14:paraId="7D08EE9A" w14:textId="77777777" w:rsidR="00331FED" w:rsidRPr="007D770B" w:rsidRDefault="00331FED" w:rsidP="00331FED">
      <w:pPr>
        <w:spacing w:line="240" w:lineRule="auto"/>
        <w:ind w:left="0"/>
        <w:rPr>
          <w:rFonts w:ascii="Times New Roman" w:hAnsi="Times New Roman"/>
          <w:lang w:val="en-US"/>
        </w:rPr>
      </w:pPr>
      <w:r w:rsidRPr="007D770B">
        <w:rPr>
          <w:rFonts w:ascii="Times New Roman" w:hAnsi="Times New Roman"/>
          <w:lang w:val="en-US"/>
        </w:rPr>
        <w:br w:type="page"/>
      </w:r>
      <w:r w:rsidRPr="007D770B">
        <w:rPr>
          <w:rFonts w:ascii="Times New Roman" w:hAnsi="Times New Roman"/>
          <w:lang w:val="en-US"/>
        </w:rPr>
        <w:lastRenderedPageBreak/>
        <w:t>The flowchart below schematizes the derecognition criteria:</w:t>
      </w:r>
    </w:p>
    <w:p w14:paraId="5AB685F3" w14:textId="77777777" w:rsidR="00331FED" w:rsidRDefault="00331FED" w:rsidP="00331FED">
      <w:pPr>
        <w:spacing w:line="240" w:lineRule="auto"/>
        <w:ind w:left="0"/>
        <w:rPr>
          <w:rFonts w:ascii="Times New Roman" w:hAnsi="Times New Roman"/>
        </w:rPr>
      </w:pPr>
      <w:r>
        <w:rPr>
          <w:rFonts w:ascii="Times New Roman" w:hAnsi="Times New Roman"/>
          <w:noProof/>
          <w:lang w:eastAsia="ru-RU"/>
        </w:rPr>
        <mc:AlternateContent>
          <mc:Choice Requires="wpg">
            <w:drawing>
              <wp:inline distT="0" distB="0" distL="0" distR="0" wp14:anchorId="02810A1A" wp14:editId="2B6D4410">
                <wp:extent cx="6379210" cy="6935470"/>
                <wp:effectExtent l="9525" t="9525" r="12065" b="17780"/>
                <wp:docPr id="989"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9210" cy="6935470"/>
                          <a:chOff x="0" y="0"/>
                          <a:chExt cx="6379066" cy="6935638"/>
                        </a:xfrm>
                      </wpg:grpSpPr>
                      <wps:wsp>
                        <wps:cNvPr id="990" name="Oval 13"/>
                        <wps:cNvSpPr>
                          <a:spLocks noChangeArrowheads="1"/>
                        </wps:cNvSpPr>
                        <wps:spPr bwMode="auto">
                          <a:xfrm>
                            <a:off x="1104181" y="2872596"/>
                            <a:ext cx="3013075" cy="691515"/>
                          </a:xfrm>
                          <a:prstGeom prst="ellipse">
                            <a:avLst/>
                          </a:prstGeom>
                          <a:solidFill>
                            <a:srgbClr val="FFFFFF"/>
                          </a:solidFill>
                          <a:ln w="9525">
                            <a:solidFill>
                              <a:srgbClr val="000000"/>
                            </a:solidFill>
                            <a:round/>
                            <a:headEnd/>
                            <a:tailEnd/>
                          </a:ln>
                        </wps:spPr>
                        <wps:txbx>
                          <w:txbxContent>
                            <w:p w14:paraId="558E7791" w14:textId="77777777" w:rsidR="003A587C" w:rsidRPr="007D770B" w:rsidRDefault="003A587C" w:rsidP="00331FED">
                              <w:pPr>
                                <w:spacing w:after="0" w:line="240" w:lineRule="auto"/>
                                <w:ind w:left="0"/>
                                <w:jc w:val="center"/>
                                <w:rPr>
                                  <w:rFonts w:ascii="Times New Roman" w:hAnsi="Times New Roman"/>
                                  <w:sz w:val="18"/>
                                  <w:szCs w:val="18"/>
                                  <w:lang w:val="en-US"/>
                                </w:rPr>
                              </w:pPr>
                              <w:r w:rsidRPr="007D770B">
                                <w:rPr>
                                  <w:rFonts w:ascii="Times New Roman" w:hAnsi="Times New Roman"/>
                                  <w:sz w:val="18"/>
                                  <w:szCs w:val="18"/>
                                  <w:lang w:val="en-US"/>
                                </w:rPr>
                                <w:t>Has the Bank assumed an obligation to pay cash flows associated with the asset?</w:t>
                              </w:r>
                            </w:p>
                          </w:txbxContent>
                        </wps:txbx>
                        <wps:bodyPr rot="0" vert="horz" wrap="square" lIns="91440" tIns="45720" rIns="91440" bIns="45720" anchor="ctr" anchorCtr="0" upright="1">
                          <a:noAutofit/>
                        </wps:bodyPr>
                      </wps:wsp>
                      <wps:wsp>
                        <wps:cNvPr id="991" name="Straight Arrow Connector 42"/>
                        <wps:cNvCnPr>
                          <a:cxnSpLocks noChangeShapeType="1"/>
                        </wps:cNvCnPr>
                        <wps:spPr bwMode="auto">
                          <a:xfrm>
                            <a:off x="4123426" y="5046453"/>
                            <a:ext cx="439947"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g:cNvPr id="772" name="Group 61"/>
                        <wpg:cNvGrpSpPr>
                          <a:grpSpLocks/>
                        </wpg:cNvGrpSpPr>
                        <wpg:grpSpPr bwMode="auto">
                          <a:xfrm>
                            <a:off x="0" y="0"/>
                            <a:ext cx="6379066" cy="6935638"/>
                            <a:chOff x="0" y="0"/>
                            <a:chExt cx="6379066" cy="6935638"/>
                          </a:xfrm>
                        </wpg:grpSpPr>
                        <wps:wsp>
                          <wps:cNvPr id="874" name="Straight Arrow Connector 43"/>
                          <wps:cNvCnPr>
                            <a:cxnSpLocks noChangeShapeType="1"/>
                          </wps:cNvCnPr>
                          <wps:spPr bwMode="auto">
                            <a:xfrm>
                              <a:off x="4123426" y="5926348"/>
                              <a:ext cx="439420"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g:cNvPr id="875" name="Group 58"/>
                          <wpg:cNvGrpSpPr>
                            <a:grpSpLocks/>
                          </wpg:cNvGrpSpPr>
                          <wpg:grpSpPr bwMode="auto">
                            <a:xfrm>
                              <a:off x="0" y="0"/>
                              <a:ext cx="6331369" cy="1932317"/>
                              <a:chOff x="0" y="0"/>
                              <a:chExt cx="6331369" cy="1932317"/>
                            </a:xfrm>
                          </wpg:grpSpPr>
                          <wps:wsp>
                            <wps:cNvPr id="876" name="Text Box 1"/>
                            <wps:cNvSpPr txBox="1">
                              <a:spLocks noChangeArrowheads="1"/>
                            </wps:cNvSpPr>
                            <wps:spPr bwMode="auto">
                              <a:xfrm>
                                <a:off x="819509" y="0"/>
                                <a:ext cx="5168265" cy="246380"/>
                              </a:xfrm>
                              <a:prstGeom prst="rect">
                                <a:avLst/>
                              </a:prstGeom>
                              <a:solidFill>
                                <a:srgbClr val="FFFFFF"/>
                              </a:solidFill>
                              <a:ln w="6350">
                                <a:solidFill>
                                  <a:srgbClr val="000000"/>
                                </a:solidFill>
                                <a:miter lim="800000"/>
                                <a:headEnd/>
                                <a:tailEnd/>
                              </a:ln>
                            </wps:spPr>
                            <wps:txbx>
                              <w:txbxContent>
                                <w:p w14:paraId="3EEE2F24" w14:textId="77777777" w:rsidR="003A587C" w:rsidRPr="007D770B" w:rsidRDefault="003A587C" w:rsidP="00331FED">
                                  <w:pPr>
                                    <w:spacing w:after="0" w:line="240" w:lineRule="auto"/>
                                    <w:ind w:left="0"/>
                                    <w:contextualSpacing/>
                                    <w:rPr>
                                      <w:rFonts w:ascii="Times New Roman" w:hAnsi="Times New Roman"/>
                                      <w:sz w:val="18"/>
                                      <w:lang w:val="en-US"/>
                                    </w:rPr>
                                  </w:pPr>
                                  <w:r w:rsidRPr="007D770B">
                                    <w:rPr>
                                      <w:rFonts w:ascii="Times New Roman" w:hAnsi="Times New Roman"/>
                                      <w:sz w:val="18"/>
                                      <w:lang w:val="en-US"/>
                                    </w:rPr>
                                    <w:t>Consolidate all subsidiaries (including special purpose entities)</w:t>
                                  </w:r>
                                </w:p>
                              </w:txbxContent>
                            </wps:txbx>
                            <wps:bodyPr rot="0" vert="horz" wrap="square" lIns="91440" tIns="45720" rIns="91440" bIns="45720" anchor="t" anchorCtr="0" upright="1">
                              <a:noAutofit/>
                            </wps:bodyPr>
                          </wps:wsp>
                          <wps:wsp>
                            <wps:cNvPr id="877" name="Straight Connector 2"/>
                            <wps:cNvCnPr>
                              <a:cxnSpLocks noChangeShapeType="1"/>
                            </wps:cNvCnPr>
                            <wps:spPr bwMode="auto">
                              <a:xfrm>
                                <a:off x="17252" y="362310"/>
                                <a:ext cx="624967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78" name="Text Box 5"/>
                            <wps:cNvSpPr txBox="1">
                              <a:spLocks noChangeArrowheads="1"/>
                            </wps:cNvSpPr>
                            <wps:spPr bwMode="auto">
                              <a:xfrm>
                                <a:off x="1630392" y="457200"/>
                                <a:ext cx="3140710" cy="373380"/>
                              </a:xfrm>
                              <a:prstGeom prst="rect">
                                <a:avLst/>
                              </a:prstGeom>
                              <a:solidFill>
                                <a:srgbClr val="FFFFFF"/>
                              </a:solidFill>
                              <a:ln w="6350">
                                <a:solidFill>
                                  <a:srgbClr val="000000"/>
                                </a:solidFill>
                                <a:miter lim="800000"/>
                                <a:headEnd/>
                                <a:tailEnd/>
                              </a:ln>
                            </wps:spPr>
                            <wps:txbx>
                              <w:txbxContent>
                                <w:p w14:paraId="75D4D768" w14:textId="77777777" w:rsidR="003A587C" w:rsidRPr="007D770B" w:rsidRDefault="003A587C" w:rsidP="00331FED">
                                  <w:pPr>
                                    <w:spacing w:after="0" w:line="240" w:lineRule="auto"/>
                                    <w:ind w:left="0"/>
                                    <w:contextualSpacing/>
                                    <w:jc w:val="center"/>
                                    <w:rPr>
                                      <w:rFonts w:ascii="Times New Roman" w:hAnsi="Times New Roman"/>
                                      <w:sz w:val="18"/>
                                      <w:lang w:val="en-US"/>
                                    </w:rPr>
                                  </w:pPr>
                                  <w:r w:rsidRPr="007D770B">
                                    <w:rPr>
                                      <w:rFonts w:ascii="Times New Roman" w:hAnsi="Times New Roman"/>
                                      <w:sz w:val="18"/>
                                      <w:lang w:val="en-US"/>
                                    </w:rPr>
                                    <w:t>Determine whether the flowchart should be applied to part or all of the asset (or a group of similar assets)?</w:t>
                                  </w:r>
                                </w:p>
                              </w:txbxContent>
                            </wps:txbx>
                            <wps:bodyPr rot="0" vert="horz" wrap="square" lIns="91440" tIns="45720" rIns="91440" bIns="45720" anchor="t" anchorCtr="0" upright="1">
                              <a:noAutofit/>
                            </wps:bodyPr>
                          </wps:wsp>
                          <wps:wsp>
                            <wps:cNvPr id="879" name="Text Box 6"/>
                            <wps:cNvSpPr txBox="1">
                              <a:spLocks noChangeArrowheads="1"/>
                            </wps:cNvSpPr>
                            <wps:spPr bwMode="auto">
                              <a:xfrm>
                                <a:off x="43132" y="0"/>
                                <a:ext cx="603885" cy="24638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0D598F4" w14:textId="77777777" w:rsidR="003A587C" w:rsidRPr="002C4652" w:rsidRDefault="003A587C" w:rsidP="00331FED">
                                  <w:pPr>
                                    <w:spacing w:after="0" w:line="240" w:lineRule="auto"/>
                                    <w:ind w:left="0"/>
                                    <w:contextualSpacing/>
                                    <w:rPr>
                                      <w:rFonts w:ascii="Times New Roman" w:hAnsi="Times New Roman"/>
                                      <w:b/>
                                    </w:rPr>
                                  </w:pPr>
                                  <w:r w:rsidRPr="002C4652">
                                    <w:rPr>
                                      <w:rFonts w:ascii="Times New Roman" w:hAnsi="Times New Roman"/>
                                      <w:b/>
                                    </w:rPr>
                                    <w:t>Stage 1</w:t>
                                  </w:r>
                                </w:p>
                              </w:txbxContent>
                            </wps:txbx>
                            <wps:bodyPr rot="0" vert="horz" wrap="square" lIns="91440" tIns="45720" rIns="91440" bIns="45720" anchor="t" anchorCtr="0" upright="1">
                              <a:noAutofit/>
                            </wps:bodyPr>
                          </wps:wsp>
                          <wps:wsp>
                            <wps:cNvPr id="880" name="Straight Connector 7"/>
                            <wps:cNvCnPr>
                              <a:cxnSpLocks noChangeShapeType="1"/>
                            </wps:cNvCnPr>
                            <wps:spPr bwMode="auto">
                              <a:xfrm>
                                <a:off x="0" y="914400"/>
                                <a:ext cx="624967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81" name="Text Box 8"/>
                            <wps:cNvSpPr txBox="1">
                              <a:spLocks noChangeArrowheads="1"/>
                            </wps:cNvSpPr>
                            <wps:spPr bwMode="auto">
                              <a:xfrm>
                                <a:off x="25879" y="586597"/>
                                <a:ext cx="603885" cy="24638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FD8670E" w14:textId="77777777" w:rsidR="003A587C" w:rsidRPr="002C4652" w:rsidRDefault="003A587C" w:rsidP="00331FED">
                                  <w:pPr>
                                    <w:spacing w:after="0" w:line="240" w:lineRule="auto"/>
                                    <w:ind w:left="0"/>
                                    <w:contextualSpacing/>
                                    <w:rPr>
                                      <w:rFonts w:ascii="Times New Roman" w:hAnsi="Times New Roman"/>
                                      <w:b/>
                                    </w:rPr>
                                  </w:pPr>
                                  <w:r>
                                    <w:rPr>
                                      <w:rFonts w:ascii="Times New Roman" w:hAnsi="Times New Roman"/>
                                      <w:b/>
                                    </w:rPr>
                                    <w:t>Stage 2</w:t>
                                  </w:r>
                                </w:p>
                              </w:txbxContent>
                            </wps:txbx>
                            <wps:bodyPr rot="0" vert="horz" wrap="square" lIns="91440" tIns="45720" rIns="91440" bIns="45720" anchor="t" anchorCtr="0" upright="1">
                              <a:noAutofit/>
                            </wps:bodyPr>
                          </wps:wsp>
                          <wps:wsp>
                            <wps:cNvPr id="882" name="Oval 9"/>
                            <wps:cNvSpPr>
                              <a:spLocks noChangeArrowheads="1"/>
                            </wps:cNvSpPr>
                            <wps:spPr bwMode="auto">
                              <a:xfrm>
                                <a:off x="1035169" y="1061049"/>
                                <a:ext cx="3013075" cy="628015"/>
                              </a:xfrm>
                              <a:prstGeom prst="ellipse">
                                <a:avLst/>
                              </a:prstGeom>
                              <a:solidFill>
                                <a:srgbClr val="FFFFFF"/>
                              </a:solidFill>
                              <a:ln w="9525">
                                <a:solidFill>
                                  <a:srgbClr val="000000"/>
                                </a:solidFill>
                                <a:round/>
                                <a:headEnd/>
                                <a:tailEnd/>
                              </a:ln>
                            </wps:spPr>
                            <wps:txbx>
                              <w:txbxContent>
                                <w:p w14:paraId="77B74529" w14:textId="77777777" w:rsidR="003A587C" w:rsidRPr="007D770B" w:rsidRDefault="003A587C" w:rsidP="00331FED">
                                  <w:pPr>
                                    <w:spacing w:after="0" w:line="240" w:lineRule="auto"/>
                                    <w:ind w:left="0"/>
                                    <w:jc w:val="center"/>
                                    <w:rPr>
                                      <w:rFonts w:ascii="Times New Roman" w:hAnsi="Times New Roman"/>
                                      <w:sz w:val="18"/>
                                      <w:szCs w:val="18"/>
                                      <w:lang w:val="en-US"/>
                                    </w:rPr>
                                  </w:pPr>
                                  <w:r w:rsidRPr="007D770B">
                                    <w:rPr>
                                      <w:rFonts w:ascii="Times New Roman" w:hAnsi="Times New Roman"/>
                                      <w:sz w:val="18"/>
                                      <w:szCs w:val="18"/>
                                      <w:lang w:val="en-US"/>
                                    </w:rPr>
                                    <w:t>Have the rights to the cash flows associated with the asset expired?</w:t>
                                  </w:r>
                                </w:p>
                              </w:txbxContent>
                            </wps:txbx>
                            <wps:bodyPr rot="0" vert="horz" wrap="square" lIns="91440" tIns="45720" rIns="91440" bIns="45720" anchor="ctr" anchorCtr="0" upright="1">
                              <a:noAutofit/>
                            </wps:bodyPr>
                          </wps:wsp>
                          <wps:wsp>
                            <wps:cNvPr id="883" name="Text Box 23"/>
                            <wps:cNvSpPr txBox="1">
                              <a:spLocks noChangeArrowheads="1"/>
                            </wps:cNvSpPr>
                            <wps:spPr bwMode="auto">
                              <a:xfrm>
                                <a:off x="4537494" y="1242204"/>
                                <a:ext cx="1793875" cy="246380"/>
                              </a:xfrm>
                              <a:prstGeom prst="rect">
                                <a:avLst/>
                              </a:prstGeom>
                              <a:solidFill>
                                <a:srgbClr val="FFFFFF"/>
                              </a:solidFill>
                              <a:ln w="6350">
                                <a:solidFill>
                                  <a:srgbClr val="000000"/>
                                </a:solidFill>
                                <a:miter lim="800000"/>
                                <a:headEnd/>
                                <a:tailEnd/>
                              </a:ln>
                            </wps:spPr>
                            <wps:txbx>
                              <w:txbxContent>
                                <w:p w14:paraId="0EBB4174" w14:textId="77777777" w:rsidR="003A587C" w:rsidRPr="00C60EB2" w:rsidRDefault="003A587C" w:rsidP="00331FED">
                                  <w:pPr>
                                    <w:spacing w:after="0" w:line="240" w:lineRule="auto"/>
                                    <w:ind w:left="0"/>
                                    <w:contextualSpacing/>
                                    <w:rPr>
                                      <w:rFonts w:ascii="Times New Roman" w:hAnsi="Times New Roman"/>
                                      <w:sz w:val="18"/>
                                    </w:rPr>
                                  </w:pPr>
                                  <w:r>
                                    <w:rPr>
                                      <w:rFonts w:ascii="Times New Roman" w:hAnsi="Times New Roman"/>
                                      <w:sz w:val="18"/>
                                    </w:rPr>
                                    <w:t>Derecognize the asset</w:t>
                                  </w:r>
                                </w:p>
                              </w:txbxContent>
                            </wps:txbx>
                            <wps:bodyPr rot="0" vert="horz" wrap="square" lIns="91440" tIns="45720" rIns="91440" bIns="45720" anchor="t" anchorCtr="0" upright="1">
                              <a:noAutofit/>
                            </wps:bodyPr>
                          </wps:wsp>
                          <wps:wsp>
                            <wps:cNvPr id="884" name="Text Box 24"/>
                            <wps:cNvSpPr txBox="1">
                              <a:spLocks noChangeArrowheads="1"/>
                            </wps:cNvSpPr>
                            <wps:spPr bwMode="auto">
                              <a:xfrm>
                                <a:off x="4123426" y="1061049"/>
                                <a:ext cx="319177" cy="24638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EDF1EC8" w14:textId="77777777" w:rsidR="003A587C" w:rsidRPr="006A1892" w:rsidRDefault="003A587C" w:rsidP="00331FED">
                                  <w:pPr>
                                    <w:spacing w:after="0" w:line="240" w:lineRule="auto"/>
                                    <w:ind w:left="0"/>
                                    <w:contextualSpacing/>
                                    <w:rPr>
                                      <w:rFonts w:ascii="Times New Roman" w:hAnsi="Times New Roman"/>
                                      <w:b/>
                                      <w:sz w:val="16"/>
                                    </w:rPr>
                                  </w:pPr>
                                  <w:r>
                                    <w:rPr>
                                      <w:rFonts w:ascii="Times New Roman" w:hAnsi="Times New Roman"/>
                                      <w:b/>
                                      <w:sz w:val="16"/>
                                    </w:rPr>
                                    <w:t>Yes</w:t>
                                  </w:r>
                                </w:p>
                              </w:txbxContent>
                            </wps:txbx>
                            <wps:bodyPr rot="0" vert="horz" wrap="square" lIns="91440" tIns="45720" rIns="91440" bIns="45720" anchor="t" anchorCtr="0" upright="1">
                              <a:noAutofit/>
                            </wps:bodyPr>
                          </wps:wsp>
                          <wps:wsp>
                            <wps:cNvPr id="885" name="Straight Arrow Connector 25"/>
                            <wps:cNvCnPr>
                              <a:cxnSpLocks noChangeShapeType="1"/>
                            </wps:cNvCnPr>
                            <wps:spPr bwMode="auto">
                              <a:xfrm>
                                <a:off x="2984739" y="250166"/>
                                <a:ext cx="0" cy="21082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886" name="Straight Arrow Connector 26"/>
                            <wps:cNvCnPr>
                              <a:cxnSpLocks noChangeShapeType="1"/>
                            </wps:cNvCnPr>
                            <wps:spPr bwMode="auto">
                              <a:xfrm>
                                <a:off x="2631056" y="828136"/>
                                <a:ext cx="0" cy="230469"/>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887" name="Straight Arrow Connector 27"/>
                            <wps:cNvCnPr>
                              <a:cxnSpLocks noChangeShapeType="1"/>
                            </wps:cNvCnPr>
                            <wps:spPr bwMode="auto">
                              <a:xfrm>
                                <a:off x="4045788" y="1388853"/>
                                <a:ext cx="488950"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888" name="Text Box 28"/>
                            <wps:cNvSpPr txBox="1">
                              <a:spLocks noChangeArrowheads="1"/>
                            </wps:cNvSpPr>
                            <wps:spPr bwMode="auto">
                              <a:xfrm>
                                <a:off x="1242203" y="1647646"/>
                                <a:ext cx="414020" cy="2413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C629AFE" w14:textId="77777777" w:rsidR="003A587C" w:rsidRPr="006A1892" w:rsidRDefault="003A587C" w:rsidP="00331FED">
                                  <w:pPr>
                                    <w:spacing w:after="0" w:line="240" w:lineRule="auto"/>
                                    <w:ind w:left="0"/>
                                    <w:contextualSpacing/>
                                    <w:rPr>
                                      <w:rFonts w:ascii="Times New Roman" w:hAnsi="Times New Roman"/>
                                      <w:b/>
                                      <w:sz w:val="16"/>
                                    </w:rPr>
                                  </w:pPr>
                                  <w:r>
                                    <w:rPr>
                                      <w:rFonts w:ascii="Times New Roman" w:hAnsi="Times New Roman"/>
                                      <w:b/>
                                      <w:sz w:val="16"/>
                                    </w:rPr>
                                    <w:t>No</w:t>
                                  </w:r>
                                </w:p>
                              </w:txbxContent>
                            </wps:txbx>
                            <wps:bodyPr rot="0" vert="horz" wrap="square" lIns="91440" tIns="45720" rIns="91440" bIns="45720" anchor="t" anchorCtr="0" upright="1">
                              <a:noAutofit/>
                            </wps:bodyPr>
                          </wps:wsp>
                          <wps:wsp>
                            <wps:cNvPr id="889" name="Straight Arrow Connector 35"/>
                            <wps:cNvCnPr>
                              <a:cxnSpLocks noChangeShapeType="1"/>
                            </wps:cNvCnPr>
                            <wps:spPr bwMode="auto">
                              <a:xfrm>
                                <a:off x="2544792" y="1690778"/>
                                <a:ext cx="0" cy="241539"/>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890" name="Straight Connector 46"/>
                            <wps:cNvCnPr>
                              <a:cxnSpLocks noChangeShapeType="1"/>
                            </wps:cNvCnPr>
                            <wps:spPr bwMode="auto">
                              <a:xfrm>
                                <a:off x="0" y="1837427"/>
                                <a:ext cx="624967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91" name="Text Box 50"/>
                            <wps:cNvSpPr txBox="1">
                              <a:spLocks noChangeArrowheads="1"/>
                            </wps:cNvSpPr>
                            <wps:spPr bwMode="auto">
                              <a:xfrm>
                                <a:off x="43132" y="1492370"/>
                                <a:ext cx="603885" cy="24638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432CFAF" w14:textId="77777777" w:rsidR="003A587C" w:rsidRPr="002C4652" w:rsidRDefault="003A587C" w:rsidP="00331FED">
                                  <w:pPr>
                                    <w:spacing w:after="0" w:line="240" w:lineRule="auto"/>
                                    <w:ind w:left="0"/>
                                    <w:contextualSpacing/>
                                    <w:rPr>
                                      <w:rFonts w:ascii="Times New Roman" w:hAnsi="Times New Roman"/>
                                      <w:b/>
                                    </w:rPr>
                                  </w:pPr>
                                  <w:r>
                                    <w:rPr>
                                      <w:rFonts w:ascii="Times New Roman" w:hAnsi="Times New Roman"/>
                                      <w:b/>
                                    </w:rPr>
                                    <w:t>Step 3</w:t>
                                  </w:r>
                                </w:p>
                              </w:txbxContent>
                            </wps:txbx>
                            <wps:bodyPr rot="0" vert="horz" wrap="square" lIns="91440" tIns="45720" rIns="91440" bIns="45720" anchor="t" anchorCtr="0" upright="1">
                              <a:noAutofit/>
                            </wps:bodyPr>
                          </wps:wsp>
                        </wpg:grpSp>
                        <wpg:grpSp>
                          <wpg:cNvPr id="892" name="Group 59"/>
                          <wpg:cNvGrpSpPr>
                            <a:grpSpLocks/>
                          </wpg:cNvGrpSpPr>
                          <wpg:grpSpPr bwMode="auto">
                            <a:xfrm>
                              <a:off x="43132" y="1932317"/>
                              <a:ext cx="6314536" cy="2302810"/>
                              <a:chOff x="0" y="0"/>
                              <a:chExt cx="6314536" cy="2302810"/>
                            </a:xfrm>
                          </wpg:grpSpPr>
                          <wps:wsp>
                            <wps:cNvPr id="893" name="Oval 12"/>
                            <wps:cNvSpPr>
                              <a:spLocks noChangeArrowheads="1"/>
                            </wps:cNvSpPr>
                            <wps:spPr bwMode="auto">
                              <a:xfrm>
                                <a:off x="992037" y="0"/>
                                <a:ext cx="3013075" cy="691515"/>
                              </a:xfrm>
                              <a:prstGeom prst="ellipse">
                                <a:avLst/>
                              </a:prstGeom>
                              <a:solidFill>
                                <a:srgbClr val="FFFFFF"/>
                              </a:solidFill>
                              <a:ln w="9525">
                                <a:solidFill>
                                  <a:srgbClr val="000000"/>
                                </a:solidFill>
                                <a:round/>
                                <a:headEnd/>
                                <a:tailEnd/>
                              </a:ln>
                            </wps:spPr>
                            <wps:txbx>
                              <w:txbxContent>
                                <w:p w14:paraId="35B85818" w14:textId="77777777" w:rsidR="003A587C" w:rsidRPr="007D770B" w:rsidRDefault="003A587C" w:rsidP="00331FED">
                                  <w:pPr>
                                    <w:spacing w:after="0" w:line="240" w:lineRule="auto"/>
                                    <w:ind w:left="0"/>
                                    <w:jc w:val="center"/>
                                    <w:rPr>
                                      <w:rFonts w:ascii="Times New Roman" w:hAnsi="Times New Roman"/>
                                      <w:sz w:val="18"/>
                                      <w:szCs w:val="18"/>
                                      <w:lang w:val="en-US"/>
                                    </w:rPr>
                                  </w:pPr>
                                  <w:r w:rsidRPr="007D770B">
                                    <w:rPr>
                                      <w:rFonts w:ascii="Times New Roman" w:hAnsi="Times New Roman"/>
                                      <w:sz w:val="18"/>
                                      <w:szCs w:val="18"/>
                                      <w:lang w:val="en-US"/>
                                    </w:rPr>
                                    <w:t>Has the Bank transferred its rights to receive cash flows from the asset?</w:t>
                                  </w:r>
                                </w:p>
                              </w:txbxContent>
                            </wps:txbx>
                            <wps:bodyPr rot="0" vert="horz" wrap="square" lIns="91440" tIns="45720" rIns="91440" bIns="45720" anchor="ctr" anchorCtr="0" upright="1">
                              <a:noAutofit/>
                            </wps:bodyPr>
                          </wps:wsp>
                          <wps:wsp>
                            <wps:cNvPr id="894" name="Text Box 22"/>
                            <wps:cNvSpPr txBox="1">
                              <a:spLocks noChangeArrowheads="1"/>
                            </wps:cNvSpPr>
                            <wps:spPr bwMode="auto">
                              <a:xfrm>
                                <a:off x="4511615" y="1173193"/>
                                <a:ext cx="1802921" cy="246380"/>
                              </a:xfrm>
                              <a:prstGeom prst="rect">
                                <a:avLst/>
                              </a:prstGeom>
                              <a:solidFill>
                                <a:srgbClr val="FFFFFF"/>
                              </a:solidFill>
                              <a:ln w="6350">
                                <a:solidFill>
                                  <a:srgbClr val="000000"/>
                                </a:solidFill>
                                <a:miter lim="800000"/>
                                <a:headEnd/>
                                <a:tailEnd/>
                              </a:ln>
                            </wps:spPr>
                            <wps:txbx>
                              <w:txbxContent>
                                <w:p w14:paraId="4D7DDB7C" w14:textId="77777777" w:rsidR="003A587C" w:rsidRPr="007D770B" w:rsidRDefault="003A587C" w:rsidP="00331FED">
                                  <w:pPr>
                                    <w:spacing w:after="0" w:line="240" w:lineRule="auto"/>
                                    <w:ind w:left="0"/>
                                    <w:contextualSpacing/>
                                    <w:rPr>
                                      <w:rFonts w:ascii="Times New Roman" w:hAnsi="Times New Roman"/>
                                      <w:sz w:val="18"/>
                                      <w:lang w:val="en-US"/>
                                    </w:rPr>
                                  </w:pPr>
                                  <w:r w:rsidRPr="007D770B">
                                    <w:rPr>
                                      <w:rFonts w:ascii="Times New Roman" w:hAnsi="Times New Roman"/>
                                      <w:sz w:val="18"/>
                                      <w:lang w:val="en-US"/>
                                    </w:rPr>
                                    <w:t>The asset continues to be recognized</w:t>
                                  </w:r>
                                </w:p>
                              </w:txbxContent>
                            </wps:txbx>
                            <wps:bodyPr rot="0" vert="horz" wrap="square" lIns="91440" tIns="45720" rIns="91440" bIns="45720" anchor="t" anchorCtr="0" upright="1">
                              <a:noAutofit/>
                            </wps:bodyPr>
                          </wps:wsp>
                          <wps:wsp>
                            <wps:cNvPr id="895" name="Text Box 29"/>
                            <wps:cNvSpPr txBox="1">
                              <a:spLocks noChangeArrowheads="1"/>
                            </wps:cNvSpPr>
                            <wps:spPr bwMode="auto">
                              <a:xfrm>
                                <a:off x="4045788" y="923027"/>
                                <a:ext cx="414068" cy="241539"/>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A2B1F95" w14:textId="77777777" w:rsidR="003A587C" w:rsidRPr="006A1892" w:rsidRDefault="003A587C" w:rsidP="00331FED">
                                  <w:pPr>
                                    <w:spacing w:after="0" w:line="240" w:lineRule="auto"/>
                                    <w:ind w:left="0"/>
                                    <w:contextualSpacing/>
                                    <w:jc w:val="center"/>
                                    <w:rPr>
                                      <w:rFonts w:ascii="Times New Roman" w:hAnsi="Times New Roman"/>
                                      <w:b/>
                                      <w:sz w:val="16"/>
                                    </w:rPr>
                                  </w:pPr>
                                  <w:r>
                                    <w:rPr>
                                      <w:rFonts w:ascii="Times New Roman" w:hAnsi="Times New Roman"/>
                                      <w:b/>
                                      <w:sz w:val="16"/>
                                    </w:rPr>
                                    <w:t>No</w:t>
                                  </w:r>
                                </w:p>
                              </w:txbxContent>
                            </wps:txbx>
                            <wps:bodyPr rot="0" vert="horz" wrap="square" lIns="91440" tIns="45720" rIns="91440" bIns="45720" anchor="t" anchorCtr="0" upright="1">
                              <a:noAutofit/>
                            </wps:bodyPr>
                          </wps:wsp>
                          <wps:wsp>
                            <wps:cNvPr id="219" name="Straight Arrow Connector 36"/>
                            <wps:cNvCnPr>
                              <a:cxnSpLocks noChangeShapeType="1"/>
                            </wps:cNvCnPr>
                            <wps:spPr bwMode="auto">
                              <a:xfrm>
                                <a:off x="2501660" y="690114"/>
                                <a:ext cx="0" cy="24876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22" name="Straight Arrow Connector 37"/>
                            <wps:cNvCnPr>
                              <a:cxnSpLocks noChangeShapeType="1"/>
                            </wps:cNvCnPr>
                            <wps:spPr bwMode="auto">
                              <a:xfrm>
                                <a:off x="2501660" y="1630393"/>
                                <a:ext cx="0" cy="240137"/>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992" name="Straight Arrow Connector 40"/>
                            <wps:cNvCnPr>
                              <a:cxnSpLocks noChangeShapeType="1"/>
                            </wps:cNvCnPr>
                            <wps:spPr bwMode="auto">
                              <a:xfrm>
                                <a:off x="4080294" y="1268083"/>
                                <a:ext cx="414068"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993" name="Text Box 45"/>
                            <wps:cNvSpPr txBox="1">
                              <a:spLocks noChangeArrowheads="1"/>
                            </wps:cNvSpPr>
                            <wps:spPr bwMode="auto">
                              <a:xfrm>
                                <a:off x="1276709" y="1561381"/>
                                <a:ext cx="318770" cy="24638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123BA40" w14:textId="77777777" w:rsidR="003A587C" w:rsidRPr="006A1892" w:rsidRDefault="003A587C" w:rsidP="00331FED">
                                  <w:pPr>
                                    <w:spacing w:after="0" w:line="240" w:lineRule="auto"/>
                                    <w:ind w:left="0"/>
                                    <w:contextualSpacing/>
                                    <w:rPr>
                                      <w:rFonts w:ascii="Times New Roman" w:hAnsi="Times New Roman"/>
                                      <w:b/>
                                      <w:sz w:val="16"/>
                                    </w:rPr>
                                  </w:pPr>
                                  <w:r>
                                    <w:rPr>
                                      <w:rFonts w:ascii="Times New Roman" w:hAnsi="Times New Roman"/>
                                      <w:b/>
                                      <w:sz w:val="16"/>
                                    </w:rPr>
                                    <w:t>Yes</w:t>
                                  </w:r>
                                </w:p>
                              </w:txbxContent>
                            </wps:txbx>
                            <wps:bodyPr rot="0" vert="horz" wrap="square" lIns="91440" tIns="45720" rIns="91440" bIns="45720" anchor="t" anchorCtr="0" upright="1">
                              <a:noAutofit/>
                            </wps:bodyPr>
                          </wps:wsp>
                          <wps:wsp>
                            <wps:cNvPr id="994" name="Straight Connector 47"/>
                            <wps:cNvCnPr>
                              <a:cxnSpLocks noChangeShapeType="1"/>
                            </wps:cNvCnPr>
                            <wps:spPr bwMode="auto">
                              <a:xfrm>
                                <a:off x="0" y="1777042"/>
                                <a:ext cx="624967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95" name="Text Box 51"/>
                            <wps:cNvSpPr txBox="1">
                              <a:spLocks noChangeArrowheads="1"/>
                            </wps:cNvSpPr>
                            <wps:spPr bwMode="auto">
                              <a:xfrm>
                                <a:off x="8626" y="51759"/>
                                <a:ext cx="603885" cy="24638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27ED97A" w14:textId="77777777" w:rsidR="003A587C" w:rsidRPr="002C4652" w:rsidRDefault="003A587C" w:rsidP="00331FED">
                                  <w:pPr>
                                    <w:spacing w:after="0" w:line="240" w:lineRule="auto"/>
                                    <w:ind w:left="0"/>
                                    <w:contextualSpacing/>
                                    <w:rPr>
                                      <w:rFonts w:ascii="Times New Roman" w:hAnsi="Times New Roman"/>
                                      <w:b/>
                                    </w:rPr>
                                  </w:pPr>
                                  <w:r>
                                    <w:rPr>
                                      <w:rFonts w:ascii="Times New Roman" w:hAnsi="Times New Roman"/>
                                      <w:b/>
                                    </w:rPr>
                                    <w:t>Step 4</w:t>
                                  </w:r>
                                </w:p>
                              </w:txbxContent>
                            </wps:txbx>
                            <wps:bodyPr rot="0" vert="horz" wrap="square" lIns="91440" tIns="45720" rIns="91440" bIns="45720" anchor="t" anchorCtr="0" upright="1">
                              <a:noAutofit/>
                            </wps:bodyPr>
                          </wps:wsp>
                          <wps:wsp>
                            <wps:cNvPr id="996" name="Curved Right Arrow 54"/>
                            <wps:cNvSpPr>
                              <a:spLocks noChangeArrowheads="1"/>
                            </wps:cNvSpPr>
                            <wps:spPr bwMode="auto">
                              <a:xfrm>
                                <a:off x="215660" y="301925"/>
                                <a:ext cx="723900" cy="2000885"/>
                              </a:xfrm>
                              <a:prstGeom prst="curvedRightArrow">
                                <a:avLst>
                                  <a:gd name="adj1" fmla="val 25004"/>
                                  <a:gd name="adj2" fmla="val 66823"/>
                                  <a:gd name="adj3" fmla="val 25000"/>
                                </a:avLst>
                              </a:prstGeom>
                              <a:solidFill>
                                <a:srgbClr val="4F81BD"/>
                              </a:solidFill>
                              <a:ln w="25400">
                                <a:solidFill>
                                  <a:srgbClr val="385D8A"/>
                                </a:solidFill>
                                <a:miter lim="800000"/>
                                <a:headEnd/>
                                <a:tailEnd/>
                              </a:ln>
                            </wps:spPr>
                            <wps:bodyPr rot="0" vert="horz" wrap="square" lIns="91440" tIns="45720" rIns="91440" bIns="45720" anchor="ctr" anchorCtr="0" upright="1">
                              <a:noAutofit/>
                            </wps:bodyPr>
                          </wps:wsp>
                          <wps:wsp>
                            <wps:cNvPr id="997" name="Text Box 55"/>
                            <wps:cNvSpPr txBox="1">
                              <a:spLocks noChangeArrowheads="1"/>
                            </wps:cNvSpPr>
                            <wps:spPr bwMode="auto">
                              <a:xfrm>
                                <a:off x="379562" y="1052423"/>
                                <a:ext cx="318770" cy="24638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581057C" w14:textId="77777777" w:rsidR="003A587C" w:rsidRPr="006A1892" w:rsidRDefault="003A587C" w:rsidP="00331FED">
                                  <w:pPr>
                                    <w:spacing w:after="0" w:line="240" w:lineRule="auto"/>
                                    <w:ind w:left="0"/>
                                    <w:contextualSpacing/>
                                    <w:rPr>
                                      <w:rFonts w:ascii="Times New Roman" w:hAnsi="Times New Roman"/>
                                      <w:b/>
                                      <w:sz w:val="16"/>
                                    </w:rPr>
                                  </w:pPr>
                                  <w:r>
                                    <w:rPr>
                                      <w:rFonts w:ascii="Times New Roman" w:hAnsi="Times New Roman"/>
                                      <w:b/>
                                      <w:sz w:val="16"/>
                                    </w:rPr>
                                    <w:t>Yes</w:t>
                                  </w:r>
                                </w:p>
                              </w:txbxContent>
                            </wps:txbx>
                            <wps:bodyPr rot="0" vert="horz" wrap="square" lIns="91440" tIns="45720" rIns="91440" bIns="45720" anchor="t" anchorCtr="0" upright="1">
                              <a:noAutofit/>
                            </wps:bodyPr>
                          </wps:wsp>
                        </wpg:grpSp>
                        <wpg:grpSp>
                          <wpg:cNvPr id="998" name="Group 60"/>
                          <wpg:cNvGrpSpPr>
                            <a:grpSpLocks/>
                          </wpg:cNvGrpSpPr>
                          <wpg:grpSpPr bwMode="auto">
                            <a:xfrm>
                              <a:off x="51758" y="3804249"/>
                              <a:ext cx="6327308" cy="3131389"/>
                              <a:chOff x="0" y="0"/>
                              <a:chExt cx="6327308" cy="3131389"/>
                            </a:xfrm>
                          </wpg:grpSpPr>
                          <wps:wsp>
                            <wps:cNvPr id="999" name="Oval 14"/>
                            <wps:cNvSpPr>
                              <a:spLocks noChangeArrowheads="1"/>
                            </wps:cNvSpPr>
                            <wps:spPr bwMode="auto">
                              <a:xfrm>
                                <a:off x="1052423" y="0"/>
                                <a:ext cx="3013075" cy="691515"/>
                              </a:xfrm>
                              <a:prstGeom prst="ellipse">
                                <a:avLst/>
                              </a:prstGeom>
                              <a:solidFill>
                                <a:srgbClr val="FFFFFF"/>
                              </a:solidFill>
                              <a:ln w="9525">
                                <a:solidFill>
                                  <a:srgbClr val="000000"/>
                                </a:solidFill>
                                <a:round/>
                                <a:headEnd/>
                                <a:tailEnd/>
                              </a:ln>
                            </wps:spPr>
                            <wps:txbx>
                              <w:txbxContent>
                                <w:p w14:paraId="2B39D82D" w14:textId="77777777" w:rsidR="003A587C" w:rsidRPr="007D770B" w:rsidRDefault="003A587C" w:rsidP="00331FED">
                                  <w:pPr>
                                    <w:spacing w:after="0" w:line="240" w:lineRule="auto"/>
                                    <w:ind w:left="0"/>
                                    <w:jc w:val="center"/>
                                    <w:rPr>
                                      <w:rFonts w:ascii="Times New Roman" w:hAnsi="Times New Roman"/>
                                      <w:sz w:val="18"/>
                                      <w:szCs w:val="18"/>
                                      <w:lang w:val="en-US"/>
                                    </w:rPr>
                                  </w:pPr>
                                  <w:r w:rsidRPr="007D770B">
                                    <w:rPr>
                                      <w:rFonts w:ascii="Times New Roman" w:hAnsi="Times New Roman"/>
                                      <w:sz w:val="18"/>
                                      <w:szCs w:val="18"/>
                                      <w:lang w:val="en-US"/>
                                    </w:rPr>
                                    <w:t>Has the Bank transferred substantially all the risks and rewards?</w:t>
                                  </w:r>
                                </w:p>
                              </w:txbxContent>
                            </wps:txbx>
                            <wps:bodyPr rot="0" vert="horz" wrap="square" lIns="91440" tIns="45720" rIns="91440" bIns="45720" anchor="ctr" anchorCtr="0" upright="1">
                              <a:noAutofit/>
                            </wps:bodyPr>
                          </wps:wsp>
                          <wps:wsp>
                            <wps:cNvPr id="1000" name="Oval 15"/>
                            <wps:cNvSpPr>
                              <a:spLocks noChangeArrowheads="1"/>
                            </wps:cNvSpPr>
                            <wps:spPr bwMode="auto">
                              <a:xfrm>
                                <a:off x="1052423" y="897148"/>
                                <a:ext cx="3013075" cy="691515"/>
                              </a:xfrm>
                              <a:prstGeom prst="ellipse">
                                <a:avLst/>
                              </a:prstGeom>
                              <a:solidFill>
                                <a:srgbClr val="FFFFFF"/>
                              </a:solidFill>
                              <a:ln w="9525">
                                <a:solidFill>
                                  <a:srgbClr val="000000"/>
                                </a:solidFill>
                                <a:round/>
                                <a:headEnd/>
                                <a:tailEnd/>
                              </a:ln>
                            </wps:spPr>
                            <wps:txbx>
                              <w:txbxContent>
                                <w:p w14:paraId="2551B960" w14:textId="77777777" w:rsidR="003A587C" w:rsidRPr="007D770B" w:rsidRDefault="003A587C" w:rsidP="00331FED">
                                  <w:pPr>
                                    <w:spacing w:after="0" w:line="240" w:lineRule="auto"/>
                                    <w:ind w:left="0"/>
                                    <w:jc w:val="center"/>
                                    <w:rPr>
                                      <w:rFonts w:ascii="Times New Roman" w:hAnsi="Times New Roman"/>
                                      <w:sz w:val="18"/>
                                      <w:szCs w:val="18"/>
                                      <w:lang w:val="en-US"/>
                                    </w:rPr>
                                  </w:pPr>
                                  <w:r w:rsidRPr="007D770B">
                                    <w:rPr>
                                      <w:rFonts w:ascii="Times New Roman" w:hAnsi="Times New Roman"/>
                                      <w:sz w:val="18"/>
                                      <w:szCs w:val="18"/>
                                      <w:lang w:val="en-US"/>
                                    </w:rPr>
                                    <w:t>Has the Bank substantially retained all risks and rewards?</w:t>
                                  </w:r>
                                </w:p>
                              </w:txbxContent>
                            </wps:txbx>
                            <wps:bodyPr rot="0" vert="horz" wrap="square" lIns="91440" tIns="45720" rIns="91440" bIns="45720" anchor="ctr" anchorCtr="0" upright="1">
                              <a:noAutofit/>
                            </wps:bodyPr>
                          </wps:wsp>
                          <wps:wsp>
                            <wps:cNvPr id="1001" name="Oval 16"/>
                            <wps:cNvSpPr>
                              <a:spLocks noChangeArrowheads="1"/>
                            </wps:cNvSpPr>
                            <wps:spPr bwMode="auto">
                              <a:xfrm>
                                <a:off x="1052423" y="1794295"/>
                                <a:ext cx="3013075" cy="691515"/>
                              </a:xfrm>
                              <a:prstGeom prst="ellipse">
                                <a:avLst/>
                              </a:prstGeom>
                              <a:solidFill>
                                <a:srgbClr val="FFFFFF"/>
                              </a:solidFill>
                              <a:ln w="9525">
                                <a:solidFill>
                                  <a:srgbClr val="000000"/>
                                </a:solidFill>
                                <a:round/>
                                <a:headEnd/>
                                <a:tailEnd/>
                              </a:ln>
                            </wps:spPr>
                            <wps:txbx>
                              <w:txbxContent>
                                <w:p w14:paraId="256A110C" w14:textId="77777777" w:rsidR="003A587C" w:rsidRPr="007D770B" w:rsidRDefault="003A587C" w:rsidP="00331FED">
                                  <w:pPr>
                                    <w:spacing w:after="0" w:line="240" w:lineRule="auto"/>
                                    <w:ind w:left="0"/>
                                    <w:jc w:val="center"/>
                                    <w:rPr>
                                      <w:rFonts w:ascii="Times New Roman" w:hAnsi="Times New Roman"/>
                                      <w:sz w:val="18"/>
                                      <w:szCs w:val="18"/>
                                      <w:lang w:val="en-US"/>
                                    </w:rPr>
                                  </w:pPr>
                                  <w:r w:rsidRPr="007D770B">
                                    <w:rPr>
                                      <w:rFonts w:ascii="Times New Roman" w:hAnsi="Times New Roman"/>
                                      <w:sz w:val="18"/>
                                      <w:szCs w:val="18"/>
                                      <w:lang w:val="en-US"/>
                                    </w:rPr>
                                    <w:t>Has the Bank retained control over the asset?</w:t>
                                  </w:r>
                                </w:p>
                              </w:txbxContent>
                            </wps:txbx>
                            <wps:bodyPr rot="0" vert="horz" wrap="square" lIns="91440" tIns="45720" rIns="91440" bIns="45720" anchor="ctr" anchorCtr="0" upright="1">
                              <a:noAutofit/>
                            </wps:bodyPr>
                          </wps:wsp>
                          <wps:wsp>
                            <wps:cNvPr id="1002" name="Text Box 17"/>
                            <wps:cNvSpPr txBox="1">
                              <a:spLocks noChangeArrowheads="1"/>
                            </wps:cNvSpPr>
                            <wps:spPr bwMode="auto">
                              <a:xfrm>
                                <a:off x="517585" y="2751827"/>
                                <a:ext cx="4442460" cy="246380"/>
                              </a:xfrm>
                              <a:prstGeom prst="rect">
                                <a:avLst/>
                              </a:prstGeom>
                              <a:solidFill>
                                <a:srgbClr val="FFFFFF"/>
                              </a:solidFill>
                              <a:ln w="6350">
                                <a:solidFill>
                                  <a:srgbClr val="000000"/>
                                </a:solidFill>
                                <a:miter lim="800000"/>
                                <a:headEnd/>
                                <a:tailEnd/>
                              </a:ln>
                            </wps:spPr>
                            <wps:txbx>
                              <w:txbxContent>
                                <w:p w14:paraId="76C8A0C3" w14:textId="77777777" w:rsidR="003A587C" w:rsidRPr="007D770B" w:rsidRDefault="003A587C" w:rsidP="00331FED">
                                  <w:pPr>
                                    <w:spacing w:after="0" w:line="240" w:lineRule="auto"/>
                                    <w:ind w:left="0"/>
                                    <w:contextualSpacing/>
                                    <w:rPr>
                                      <w:rFonts w:ascii="Times New Roman" w:hAnsi="Times New Roman"/>
                                      <w:sz w:val="18"/>
                                      <w:lang w:val="en-US"/>
                                    </w:rPr>
                                  </w:pPr>
                                  <w:r w:rsidRPr="007D770B">
                                    <w:rPr>
                                      <w:rFonts w:ascii="Times New Roman" w:hAnsi="Times New Roman"/>
                                      <w:sz w:val="18"/>
                                      <w:lang w:val="en-US"/>
                                    </w:rPr>
                                    <w:t>The asset continues to be recognized to the extent of continuing involvement in the asset</w:t>
                                  </w:r>
                                </w:p>
                              </w:txbxContent>
                            </wps:txbx>
                            <wps:bodyPr rot="0" vert="horz" wrap="square" lIns="91440" tIns="45720" rIns="91440" bIns="45720" anchor="t" anchorCtr="0" upright="1">
                              <a:noAutofit/>
                            </wps:bodyPr>
                          </wps:wsp>
                          <wps:wsp>
                            <wps:cNvPr id="1003" name="Text Box 18"/>
                            <wps:cNvSpPr txBox="1">
                              <a:spLocks noChangeArrowheads="1"/>
                            </wps:cNvSpPr>
                            <wps:spPr bwMode="auto">
                              <a:xfrm>
                                <a:off x="4520242" y="2001329"/>
                                <a:ext cx="1793875" cy="246380"/>
                              </a:xfrm>
                              <a:prstGeom prst="rect">
                                <a:avLst/>
                              </a:prstGeom>
                              <a:solidFill>
                                <a:srgbClr val="FFFFFF"/>
                              </a:solidFill>
                              <a:ln w="6350">
                                <a:solidFill>
                                  <a:srgbClr val="000000"/>
                                </a:solidFill>
                                <a:miter lim="800000"/>
                                <a:headEnd/>
                                <a:tailEnd/>
                              </a:ln>
                            </wps:spPr>
                            <wps:txbx>
                              <w:txbxContent>
                                <w:p w14:paraId="7CCEEBC7" w14:textId="77777777" w:rsidR="003A587C" w:rsidRPr="00C60EB2" w:rsidRDefault="003A587C" w:rsidP="00331FED">
                                  <w:pPr>
                                    <w:spacing w:after="0" w:line="240" w:lineRule="auto"/>
                                    <w:ind w:left="0"/>
                                    <w:contextualSpacing/>
                                    <w:rPr>
                                      <w:rFonts w:ascii="Times New Roman" w:hAnsi="Times New Roman"/>
                                      <w:sz w:val="18"/>
                                    </w:rPr>
                                  </w:pPr>
                                  <w:r>
                                    <w:rPr>
                                      <w:rFonts w:ascii="Times New Roman" w:hAnsi="Times New Roman"/>
                                      <w:sz w:val="18"/>
                                    </w:rPr>
                                    <w:t>Derecognize the asset</w:t>
                                  </w:r>
                                </w:p>
                              </w:txbxContent>
                            </wps:txbx>
                            <wps:bodyPr rot="0" vert="horz" wrap="square" lIns="91440" tIns="45720" rIns="91440" bIns="45720" anchor="t" anchorCtr="0" upright="1">
                              <a:noAutofit/>
                            </wps:bodyPr>
                          </wps:wsp>
                          <wps:wsp>
                            <wps:cNvPr id="1004" name="Text Box 19"/>
                            <wps:cNvSpPr txBox="1">
                              <a:spLocks noChangeArrowheads="1"/>
                            </wps:cNvSpPr>
                            <wps:spPr bwMode="auto">
                              <a:xfrm>
                                <a:off x="4511615" y="1121434"/>
                                <a:ext cx="1802921" cy="246380"/>
                              </a:xfrm>
                              <a:prstGeom prst="rect">
                                <a:avLst/>
                              </a:prstGeom>
                              <a:solidFill>
                                <a:srgbClr val="FFFFFF"/>
                              </a:solidFill>
                              <a:ln w="6350">
                                <a:solidFill>
                                  <a:srgbClr val="000000"/>
                                </a:solidFill>
                                <a:miter lim="800000"/>
                                <a:headEnd/>
                                <a:tailEnd/>
                              </a:ln>
                            </wps:spPr>
                            <wps:txbx>
                              <w:txbxContent>
                                <w:p w14:paraId="6B87CA30" w14:textId="77777777" w:rsidR="003A587C" w:rsidRPr="007D770B" w:rsidRDefault="003A587C" w:rsidP="00331FED">
                                  <w:pPr>
                                    <w:spacing w:after="0" w:line="240" w:lineRule="auto"/>
                                    <w:ind w:left="0"/>
                                    <w:contextualSpacing/>
                                    <w:rPr>
                                      <w:rFonts w:ascii="Times New Roman" w:hAnsi="Times New Roman"/>
                                      <w:sz w:val="18"/>
                                      <w:lang w:val="en-US"/>
                                    </w:rPr>
                                  </w:pPr>
                                  <w:r w:rsidRPr="007D770B">
                                    <w:rPr>
                                      <w:rFonts w:ascii="Times New Roman" w:hAnsi="Times New Roman"/>
                                      <w:sz w:val="18"/>
                                      <w:lang w:val="en-US"/>
                                    </w:rPr>
                                    <w:t>The asset continues to be recognized</w:t>
                                  </w:r>
                                </w:p>
                              </w:txbxContent>
                            </wps:txbx>
                            <wps:bodyPr rot="0" vert="horz" wrap="square" lIns="91440" tIns="45720" rIns="91440" bIns="45720" anchor="t" anchorCtr="0" upright="1">
                              <a:noAutofit/>
                            </wps:bodyPr>
                          </wps:wsp>
                          <wps:wsp>
                            <wps:cNvPr id="1005" name="Text Box 21"/>
                            <wps:cNvSpPr txBox="1">
                              <a:spLocks noChangeArrowheads="1"/>
                            </wps:cNvSpPr>
                            <wps:spPr bwMode="auto">
                              <a:xfrm>
                                <a:off x="4511615" y="241540"/>
                                <a:ext cx="1793875" cy="246380"/>
                              </a:xfrm>
                              <a:prstGeom prst="rect">
                                <a:avLst/>
                              </a:prstGeom>
                              <a:solidFill>
                                <a:srgbClr val="FFFFFF"/>
                              </a:solidFill>
                              <a:ln w="6350">
                                <a:solidFill>
                                  <a:srgbClr val="000000"/>
                                </a:solidFill>
                                <a:miter lim="800000"/>
                                <a:headEnd/>
                                <a:tailEnd/>
                              </a:ln>
                            </wps:spPr>
                            <wps:txbx>
                              <w:txbxContent>
                                <w:p w14:paraId="54B769F1" w14:textId="77777777" w:rsidR="003A587C" w:rsidRPr="00C60EB2" w:rsidRDefault="003A587C" w:rsidP="00331FED">
                                  <w:pPr>
                                    <w:spacing w:after="0" w:line="240" w:lineRule="auto"/>
                                    <w:ind w:left="0"/>
                                    <w:contextualSpacing/>
                                    <w:rPr>
                                      <w:rFonts w:ascii="Times New Roman" w:hAnsi="Times New Roman"/>
                                      <w:sz w:val="18"/>
                                    </w:rPr>
                                  </w:pPr>
                                  <w:r>
                                    <w:rPr>
                                      <w:rFonts w:ascii="Times New Roman" w:hAnsi="Times New Roman"/>
                                      <w:sz w:val="18"/>
                                    </w:rPr>
                                    <w:t>Derecognize the asset</w:t>
                                  </w:r>
                                </w:p>
                              </w:txbxContent>
                            </wps:txbx>
                            <wps:bodyPr rot="0" vert="horz" wrap="square" lIns="91440" tIns="45720" rIns="91440" bIns="45720" anchor="t" anchorCtr="0" upright="1">
                              <a:noAutofit/>
                            </wps:bodyPr>
                          </wps:wsp>
                          <wps:wsp>
                            <wps:cNvPr id="1006" name="Text Box 30"/>
                            <wps:cNvSpPr txBox="1">
                              <a:spLocks noChangeArrowheads="1"/>
                            </wps:cNvSpPr>
                            <wps:spPr bwMode="auto">
                              <a:xfrm>
                                <a:off x="4071668" y="1751163"/>
                                <a:ext cx="414068" cy="241539"/>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5DF0571" w14:textId="77777777" w:rsidR="003A587C" w:rsidRPr="006A1892" w:rsidRDefault="003A587C" w:rsidP="00331FED">
                                  <w:pPr>
                                    <w:spacing w:after="0" w:line="240" w:lineRule="auto"/>
                                    <w:ind w:left="0"/>
                                    <w:contextualSpacing/>
                                    <w:rPr>
                                      <w:rFonts w:ascii="Times New Roman" w:hAnsi="Times New Roman"/>
                                      <w:b/>
                                      <w:sz w:val="16"/>
                                    </w:rPr>
                                  </w:pPr>
                                  <w:r>
                                    <w:rPr>
                                      <w:rFonts w:ascii="Times New Roman" w:hAnsi="Times New Roman"/>
                                      <w:b/>
                                      <w:sz w:val="16"/>
                                    </w:rPr>
                                    <w:t>No</w:t>
                                  </w:r>
                                </w:p>
                              </w:txbxContent>
                            </wps:txbx>
                            <wps:bodyPr rot="0" vert="horz" wrap="square" lIns="91440" tIns="45720" rIns="91440" bIns="45720" anchor="t" anchorCtr="0" upright="1">
                              <a:noAutofit/>
                            </wps:bodyPr>
                          </wps:wsp>
                          <wps:wsp>
                            <wps:cNvPr id="1007" name="Text Box 31"/>
                            <wps:cNvSpPr txBox="1">
                              <a:spLocks noChangeArrowheads="1"/>
                            </wps:cNvSpPr>
                            <wps:spPr bwMode="auto">
                              <a:xfrm>
                                <a:off x="4106174" y="34506"/>
                                <a:ext cx="318770" cy="24638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835B9CB" w14:textId="77777777" w:rsidR="003A587C" w:rsidRPr="006A1892" w:rsidRDefault="003A587C" w:rsidP="00331FED">
                                  <w:pPr>
                                    <w:spacing w:after="0" w:line="240" w:lineRule="auto"/>
                                    <w:ind w:left="0"/>
                                    <w:contextualSpacing/>
                                    <w:rPr>
                                      <w:rFonts w:ascii="Times New Roman" w:hAnsi="Times New Roman"/>
                                      <w:b/>
                                      <w:sz w:val="16"/>
                                    </w:rPr>
                                  </w:pPr>
                                  <w:r>
                                    <w:rPr>
                                      <w:rFonts w:ascii="Times New Roman" w:hAnsi="Times New Roman"/>
                                      <w:b/>
                                      <w:sz w:val="16"/>
                                    </w:rPr>
                                    <w:t>Yes</w:t>
                                  </w:r>
                                </w:p>
                              </w:txbxContent>
                            </wps:txbx>
                            <wps:bodyPr rot="0" vert="horz" wrap="square" lIns="91440" tIns="45720" rIns="91440" bIns="45720" anchor="t" anchorCtr="0" upright="1">
                              <a:noAutofit/>
                            </wps:bodyPr>
                          </wps:wsp>
                          <wps:wsp>
                            <wps:cNvPr id="1008" name="Text Box 32"/>
                            <wps:cNvSpPr txBox="1">
                              <a:spLocks noChangeArrowheads="1"/>
                            </wps:cNvSpPr>
                            <wps:spPr bwMode="auto">
                              <a:xfrm>
                                <a:off x="4097547" y="905774"/>
                                <a:ext cx="318770" cy="24638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9133BB5" w14:textId="77777777" w:rsidR="003A587C" w:rsidRPr="006A1892" w:rsidRDefault="003A587C" w:rsidP="00331FED">
                                  <w:pPr>
                                    <w:spacing w:after="0" w:line="240" w:lineRule="auto"/>
                                    <w:ind w:left="0"/>
                                    <w:contextualSpacing/>
                                    <w:rPr>
                                      <w:rFonts w:ascii="Times New Roman" w:hAnsi="Times New Roman"/>
                                      <w:b/>
                                      <w:sz w:val="16"/>
                                    </w:rPr>
                                  </w:pPr>
                                  <w:r>
                                    <w:rPr>
                                      <w:rFonts w:ascii="Times New Roman" w:hAnsi="Times New Roman"/>
                                      <w:b/>
                                      <w:sz w:val="16"/>
                                    </w:rPr>
                                    <w:t>Yes</w:t>
                                  </w:r>
                                </w:p>
                              </w:txbxContent>
                            </wps:txbx>
                            <wps:bodyPr rot="0" vert="horz" wrap="square" lIns="91440" tIns="45720" rIns="91440" bIns="45720" anchor="t" anchorCtr="0" upright="1">
                              <a:noAutofit/>
                            </wps:bodyPr>
                          </wps:wsp>
                          <wps:wsp>
                            <wps:cNvPr id="1009" name="Text Box 34"/>
                            <wps:cNvSpPr txBox="1">
                              <a:spLocks noChangeArrowheads="1"/>
                            </wps:cNvSpPr>
                            <wps:spPr bwMode="auto">
                              <a:xfrm>
                                <a:off x="1285336" y="2449902"/>
                                <a:ext cx="318770" cy="24638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EF9C463" w14:textId="77777777" w:rsidR="003A587C" w:rsidRPr="006A1892" w:rsidRDefault="003A587C" w:rsidP="00331FED">
                                  <w:pPr>
                                    <w:spacing w:after="0" w:line="240" w:lineRule="auto"/>
                                    <w:ind w:left="0"/>
                                    <w:contextualSpacing/>
                                    <w:rPr>
                                      <w:rFonts w:ascii="Times New Roman" w:hAnsi="Times New Roman"/>
                                      <w:b/>
                                      <w:sz w:val="16"/>
                                    </w:rPr>
                                  </w:pPr>
                                  <w:r>
                                    <w:rPr>
                                      <w:rFonts w:ascii="Times New Roman" w:hAnsi="Times New Roman"/>
                                      <w:b/>
                                      <w:sz w:val="16"/>
                                    </w:rPr>
                                    <w:t>Yes</w:t>
                                  </w:r>
                                </w:p>
                              </w:txbxContent>
                            </wps:txbx>
                            <wps:bodyPr rot="0" vert="horz" wrap="square" lIns="91440" tIns="45720" rIns="91440" bIns="45720" anchor="t" anchorCtr="0" upright="1">
                              <a:noAutofit/>
                            </wps:bodyPr>
                          </wps:wsp>
                          <wps:wsp>
                            <wps:cNvPr id="1010" name="Straight Arrow Connector 38"/>
                            <wps:cNvCnPr>
                              <a:cxnSpLocks noChangeShapeType="1"/>
                            </wps:cNvCnPr>
                            <wps:spPr bwMode="auto">
                              <a:xfrm>
                                <a:off x="2493034" y="690114"/>
                                <a:ext cx="0" cy="205633"/>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011" name="Straight Arrow Connector 39"/>
                            <wps:cNvCnPr>
                              <a:cxnSpLocks noChangeShapeType="1"/>
                            </wps:cNvCnPr>
                            <wps:spPr bwMode="auto">
                              <a:xfrm>
                                <a:off x="2493034" y="1587261"/>
                                <a:ext cx="0" cy="214258"/>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012" name="Straight Arrow Connector 41"/>
                            <wps:cNvCnPr>
                              <a:cxnSpLocks noChangeShapeType="1"/>
                            </wps:cNvCnPr>
                            <wps:spPr bwMode="auto">
                              <a:xfrm>
                                <a:off x="4080294" y="362310"/>
                                <a:ext cx="439948" cy="8626"/>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013" name="Straight Arrow Connector 44"/>
                            <wps:cNvCnPr>
                              <a:cxnSpLocks noChangeShapeType="1"/>
                            </wps:cNvCnPr>
                            <wps:spPr bwMode="auto">
                              <a:xfrm>
                                <a:off x="2493034" y="2484408"/>
                                <a:ext cx="0" cy="266017"/>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014" name="Text Box 52"/>
                            <wps:cNvSpPr txBox="1">
                              <a:spLocks noChangeArrowheads="1"/>
                            </wps:cNvSpPr>
                            <wps:spPr bwMode="auto">
                              <a:xfrm>
                                <a:off x="0" y="241540"/>
                                <a:ext cx="603885" cy="24638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D9F9117" w14:textId="77777777" w:rsidR="003A587C" w:rsidRPr="002C4652" w:rsidRDefault="003A587C" w:rsidP="00331FED">
                                  <w:pPr>
                                    <w:spacing w:after="0" w:line="240" w:lineRule="auto"/>
                                    <w:ind w:left="0"/>
                                    <w:contextualSpacing/>
                                    <w:rPr>
                                      <w:rFonts w:ascii="Times New Roman" w:hAnsi="Times New Roman"/>
                                      <w:b/>
                                    </w:rPr>
                                  </w:pPr>
                                  <w:r>
                                    <w:rPr>
                                      <w:rFonts w:ascii="Times New Roman" w:hAnsi="Times New Roman"/>
                                      <w:b/>
                                    </w:rPr>
                                    <w:t>Step 5</w:t>
                                  </w:r>
                                </w:p>
                              </w:txbxContent>
                            </wps:txbx>
                            <wps:bodyPr rot="0" vert="horz" wrap="square" lIns="91440" tIns="45720" rIns="91440" bIns="45720" anchor="t" anchorCtr="0" upright="1">
                              <a:noAutofit/>
                            </wps:bodyPr>
                          </wps:wsp>
                          <wps:wsp>
                            <wps:cNvPr id="1015" name="Straight Connector 56"/>
                            <wps:cNvCnPr>
                              <a:cxnSpLocks noChangeShapeType="1"/>
                            </wps:cNvCnPr>
                            <wps:spPr bwMode="auto">
                              <a:xfrm>
                                <a:off x="77638" y="3131389"/>
                                <a:ext cx="624967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inline>
            </w:drawing>
          </mc:Choice>
          <mc:Fallback>
            <w:pict>
              <v:group w14:anchorId="02810A1A" id="Group 111" o:spid="_x0000_s1085" style="width:502.3pt;height:546.1pt;mso-position-horizontal-relative:char;mso-position-vertical-relative:line" coordsize="63790,69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sKXoQsAANt5AAAOAAAAZHJzL2Uyb0RvYy54bWzsXV2TmzgWfd+q/Q8U75tGQoDkijOV6UxS&#10;WzW7M7XJ/gDaxh+7NniBTnfm1++RBBJgd7uTadRxhX7osg3GcDm6Ovfcq8vrn+73O+9zVlbbIp/7&#10;5FXge1m+KJbbfD33//3p/d+471V1mi/TXZFnc/9LVvk/vfnrX17fHWYZLTbFbpmVHg6SV7O7w9zf&#10;1PVhdnVVLTbZPq1eFYcsx8ZVUe7TGm/L9dWyTO9w9P3uigZBfHVXlMtDWSyyqsKn7/RG/406/mqV&#10;LerfVqsqq73d3Me51ep/qf7fyP9Xb16ns3WZHjbbRXMa6TecxT7d5vhRc6h3aZ16t+X26FD77aIs&#10;qmJVv1oU+6titdouMnUNuBoSDK7mQ1ncHtS1rGd364MxE0w7sNM3H3bxz8+/l952OfcFF76Xp3vc&#10;JPW7HiFEmufusJ5hrw/l4ePh91JfI17+Wiz+W2Hz1XC7fL/WO3s3d/8oljhgelsXyjz3q3IvD4EL&#10;9+7VXfhi7kJ2X3sLfBiHiaAEN2uBbbEII5Y092mxwc08+t5i80vnm0Ec22/GIZeXcJXO9A+rk21O&#10;Tl4ZMFdZs1Z/zqwfN+khU3erkgZrzSpwJdqsv31Odx4JtVHVPq1FK21OLy+uN2m+zt6WZXG3ydIl&#10;TkndBJx45wvyTYWbcda+hASMcOJ7sCTlCY1ErBHf2joMSBgkUWsxEpGoZ7B0diir+kNW7D35Yu5n&#10;u932UMnLTGfp51+rWpu33Ut+XBW77fL9drdTb8r1zfWu9HDpc/+9+mt+oLfbLvfuAMGIRurIvW1V&#10;9xCB+jt1CIyVfImzSWfScL80r+t0u9OvAYJdrvCqjafvf31/c6/gHzJ5UGnZm2L5BbYtC+0s4Nzw&#10;YlOUf/jeHRzF3K/+d5uWme/t/p7j/gjCmPQs6g2LEoo3ZXfLTXdLmi9wqLm/qEvf02+ua+2Pbg/l&#10;dr3BbxFlg7x4i1Gz2ioL2/NqrgC4dQZg4EcD+GNdpvIUPYVP77rIczjYovQYbY0H4F/n2k0s7vPG&#10;TRhcqyHy6csBLqEHa/2VJ8OaERoyinEOWEcBi1mkBlU6a2HNQiFYolGtfIfxAEeArpprMhejrf8A&#10;tvNCAluhbGzIerWyUypdAZA39/fZEpjLMM3KV3rcnUC0hq/cLO3Z4KRxyRIyyps3zilJaHtvtc+P&#10;X87ln3Lc6ewSXT5PWGvVh0dMdxpwPGIEjUOmJsbeiGHSc8k5dxoxapgonjAcMVxOll2WFClDDkmQ&#10;JIIjk6SQhDEYm7xhRIQ0JIn0CU8ZMae/aVzkC5AknsCZa6t+kj785+LeazyRoT1efY+P29lxLMbE&#10;iYgCmLUdBnaERCTmNG6oEmWglmfGSYm5cRyeFIdR8M08ab+tEXHttvu5zw2Z+lbSpNiiJScjk6b6&#10;QigTT8A9BpTJ8AvPLVciYP2Y5IHnMIaTaCKplijFlIkY4dVT/P5umz/K+4+4ERHBn8Dpt/H5k+zH&#10;QZjHEwgdAw9mBgdIsYz03HgwEodBKPQtV+HI4JaHhAVJG16HSTj5MTk02vjFSfB3OX7MSEJmWjaW&#10;cgpqBs6iIT1AcxyEnL/4pCx5l3F/54QGxdOmOVNpLVYn46BTD8+ZxmZO9AWcCeZLJewM4TbNl1Dl&#10;v0ptPi2LcqlKDubLJpJyzPhpxBNN+CMeR6KJogxBujz/Ysw4zWUdHZ5zI3UpHV60M34zjymxeiwZ&#10;PggRPWqQkSCGKK9+3caWfRme8uDHleHNfXGC3sXFyPCch0cOk3ZFRHcRBuT2hAlonFJ6oozSQOVO&#10;LJxJIkIllElxapJKVH4JOSLIcxPtO6J9Ris3IQY1qTi3MUYnq3TaSxNBpLLzsqj+mliDGRHViTe9&#10;mLhWRowDfW6Y0kQmuhmvTkIOKjhLQk0RaBQQVDEoNb/loY1Eh7oIjjQNNhm5/gfNaLrQ9LjJSjyY&#10;x0MW2ilMYki4kc58c8qRAjoNkxBZccWkJpiMXuHD+bHaf+RN3AoYLIDyy6FIS4YGgYwfFUhwjjzX&#10;k2T/H6NAwok7OU4RUBOsO6U6mrUjoJD4iFkSs4EfYUgStOUAlKFG7MycM06u86uojkmrTVSnJ3sY&#10;Cf/BOSx0THUixlDh2YBPBAlSZye5DiMRGNHEdXQZl6n+HaVMldsyVYMTm7LW7kEGr07IsNbfCYfM&#10;QId67CTAP5MAL44FeDACS2Yd6kkmuUeYoGFb7d2GPpeX4mNGl7uUucjWfOmCt9O1b9Jp67BZV4tG&#10;jVg73gIBm/ft1bgZaKCYIUIMpCWZMEBEpCD8lCq409808ZK1iKxmlq5v/EBCGIlXLxUwlKYhh2Pm&#10;KISgQYhABoywMWFr5H5yQvzAawSYESadjOvF5SQnZDZgkM2lQ/S6KX9iESEx0mcqtCFJCL/RZ5eE&#10;BxTri15axpUV/d9NHSczEYATYF+MTiyMTmyTEyZB6TRi7yo64EjBkBfLgD2GvqBzE+cDp+8gYDfK&#10;6YS5TsBOyRMCdmM6J+GYzkfooCwWASGDdG+bm2Ao41eOxJCoKTeBRc2jxOsU0+u5FBbonA3nxl9j&#10;1IWJLkIezLwGJ1h0qk5twsnoMQVo/Vmc2NIEJ+6EBZKBgTBK8ZnGPEBlS0//685lZ3TnKTkhuyQ8&#10;Qz2msLGnoTqWFTqlOoQmWJLSVMtFMfJXqorBlheFBAtsjDN5qYVYX5WcMJ544jodroNF2kfOqSM6&#10;G6M5cUua36DAJwn0cnYLuGmV1LN5meOAKjI1Sk69DI/bBgIk0Tpm535fXNG3Xs49VRcOqgsF+p00&#10;LPn6tvycLb1/dfpXREbOa5A3pr5KSRTH2sdAUBW6vMxCLqGhQJJdx+9YlisXNT2a+Vyo61GXo4pN&#10;7EpjeRXrZXPZ6fI/kLpW+x26Gsn2MyDpbbVudx+QRLtPjIXODSXr7gNx2u4jj9NyM9UrQ1WkPa0N&#10;DHvPyc/vmsvrtXrRPTVoxHBsdTMebCUT8ugdf3vqGM+wvtnJJH056q7AopihuhsZxdCp10ZrqCgG&#10;WGXoEESoPR+EDhdIDY2e6AR1zyC92szYI7lCIUyxU9NZRnmLMftkRJjIdckbljQz1An0o8o4pEkY&#10;NBIpMs6IK5o9zveYOf1NI19YizjLFQphZEKdK3Q5l7VDb0oWPtJQzBZTOBnYlzOdEMkcmvlEY3c4&#10;l4zJw7rY5SIhw0ZIU7a77YhnA7MJwLryremaBgCb2ikN4G4+RtZNuQIwFtoxiiRlTz6dEGwQbEoQ&#10;JgQPEWzSAkbu1Q3EmiJPd9V/irbpeg2aRIQfZbYZuJyMnF922d13Va+hl3NMcs9A7oFjNhV0FtYv&#10;s8SCRTRAfKpCVTSqRvuaQTwyLZJWE6UEsWnCaxU5Jw77GYJhefqjJ3GBa5Mosbg2woFTBaZfX0cJ&#10;042TrZI51dedwLWJcCZcd/J/wPVxPgilmbZqxR0N6eIaK94gQfdZ9eSuT8DaxD0TrPuwNmkn467D&#10;Rv903N1K9npEPkcr5qDXKMzq47pbbCNxf27F3csXjkamLmBCXR91x2ma8IWcqeyfIrugI08TsihQ&#10;fsJShMvL0rRdvh09HeKCiKlJ81hPZ1QXt8Q0EAkeFaMwh8bDCeDXl8UurmqsXV43gW4oXpnclwXd&#10;MP/lZrURoWitIRcgwtFRxoQIFPgv2dVBamv49zS99qZX2TP7TNMo/bipRkJ1UHHPBHp962n2sYUZ&#10;6BgUKtpnMtbTwoyxFmYQrI85j5OuduMWJwTtbql+zI/1Uq26Thi64crhPwHFgahHTA7m44MP1ury&#10;9/GB0l2acepxEeq5Wk0JjSqgnaDiRv/FUwPPzT12cTpo9/hQQX2VmXso43gG3gNdfFD1qjOLk09x&#10;4VOOEwV4/EtD6JzGY5hTFCk+llIvr6FL+1i8KRIbRGKy0cKAE9sFPOhTaYE3vkdKEvm4VyU5das7&#10;2zYmP8IiHluIqh7/aJ76qD7HE4QVsWuediwfUdx9r75hn8n85v8AAAD//wMAUEsDBBQABgAIAAAA&#10;IQCsc+rH3QAAAAcBAAAPAAAAZHJzL2Rvd25yZXYueG1sTI9BS8NAEIXvgv9hGcGb3SRqsTGbUop6&#10;KkJbQXqbZqdJaHY2ZLdJ+u/deNHL8IY3vPdNthxNI3rqXG1ZQTyLQBAXVtdcKvjavz+8gHAeWWNj&#10;mRRcycEyv73JMNV24C31O1+KEMIuRQWV920qpSsqMuhmtiUO3sl2Bn1Yu1LqDocQbhqZRNFcGqw5&#10;NFTY0rqi4ry7GAUfAw6rx/it35xP6+th//z5vYlJqfu7cfUKwtPo/45hwg/okAemo72wdqJREB7x&#10;v3PyouhpDuI4qUWSgMwz+Z8//wEAAP//AwBQSwECLQAUAAYACAAAACEAtoM4kv4AAADhAQAAEwAA&#10;AAAAAAAAAAAAAAAAAAAAW0NvbnRlbnRfVHlwZXNdLnhtbFBLAQItABQABgAIAAAAIQA4/SH/1gAA&#10;AJQBAAALAAAAAAAAAAAAAAAAAC8BAABfcmVscy8ucmVsc1BLAQItABQABgAIAAAAIQBnYsKXoQsA&#10;ANt5AAAOAAAAAAAAAAAAAAAAAC4CAABkcnMvZTJvRG9jLnhtbFBLAQItABQABgAIAAAAIQCsc+rH&#10;3QAAAAcBAAAPAAAAAAAAAAAAAAAAAPsNAABkcnMvZG93bnJldi54bWxQSwUGAAAAAAQABADzAAAA&#10;BQ8AAAAA&#10;">
                <v:oval id="Oval 13" o:spid="_x0000_s1086" style="position:absolute;left:11041;top:28725;width:30131;height:6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ez9wgAAANwAAAAPAAAAZHJzL2Rvd25yZXYueG1sRE9Ni8Iw&#10;EL0L/ocwgjdNVVhs1yjuoq6KIusunodmbIvNpDRR6783B8Hj431PZo0pxY1qV1hWMOhHIIhTqwvO&#10;FPz/LXtjEM4jaywtk4IHOZhN260JJtre+ZduR5+JEMIuQQW591UipUtzMuj6tiIO3NnWBn2AdSZ1&#10;jfcQbko5jKIPabDg0JBjRd85pZfj1ShYHX5iObp+RWfe7Mf7027x2I4WSnU7zfwThKfGv8Uv91or&#10;iOMwP5wJR0BOnwAAAP//AwBQSwECLQAUAAYACAAAACEA2+H2y+4AAACFAQAAEwAAAAAAAAAAAAAA&#10;AAAAAAAAW0NvbnRlbnRfVHlwZXNdLnhtbFBLAQItABQABgAIAAAAIQBa9CxbvwAAABUBAAALAAAA&#10;AAAAAAAAAAAAAB8BAABfcmVscy8ucmVsc1BLAQItABQABgAIAAAAIQA6Vez9wgAAANwAAAAPAAAA&#10;AAAAAAAAAAAAAAcCAABkcnMvZG93bnJldi54bWxQSwUGAAAAAAMAAwC3AAAA9gIAAAAA&#10;">
                  <v:textbox>
                    <w:txbxContent>
                      <w:p w14:paraId="558E7791" w14:textId="77777777" w:rsidR="003A587C" w:rsidRPr="007D770B" w:rsidRDefault="003A587C" w:rsidP="00331FED">
                        <w:pPr>
                          <w:spacing w:after="0" w:line="240" w:lineRule="auto"/>
                          <w:ind w:left="0"/>
                          <w:jc w:val="center"/>
                          <w:rPr>
                            <w:rFonts w:ascii="Times New Roman" w:hAnsi="Times New Roman"/>
                            <w:sz w:val="18"/>
                            <w:szCs w:val="18"/>
                            <w:lang w:val="en-US"/>
                          </w:rPr>
                        </w:pPr>
                        <w:r w:rsidRPr="007D770B">
                          <w:rPr>
                            <w:rFonts w:ascii="Times New Roman" w:hAnsi="Times New Roman"/>
                            <w:sz w:val="18"/>
                            <w:szCs w:val="18"/>
                            <w:lang w:val="en-US"/>
                          </w:rPr>
                          <w:t>Has the Bank assumed an obligation to pay cash flows associated with the asset?</w:t>
                        </w:r>
                      </w:p>
                    </w:txbxContent>
                  </v:textbox>
                </v:oval>
                <v:shape id="Straight Arrow Connector 42" o:spid="_x0000_s1087" type="#_x0000_t32" style="position:absolute;left:41234;top:50464;width:439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DpsxQAAANwAAAAPAAAAZHJzL2Rvd25yZXYueG1sRI9Pa8JA&#10;FMTvhX6H5RV6KXWTSP+YuooIrYInU8HrI/uSDWbfhuwa02/vCkKPw8z8hpkvR9uKgXrfOFaQThIQ&#10;xKXTDdcKDr/fr58gfEDW2DomBX/kYbl4fJhjrt2F9zQUoRYRwj5HBSaELpfSl4Ys+onriKNXud5i&#10;iLKvpe7xEuG2lVmSvEuLDccFgx2tDZWn4mwVVJmm9OV0NJuPN6zWu2k2DO2PUs9P4+oLRKAx/Ifv&#10;7a1WMJulcDsTj4BcXAEAAP//AwBQSwECLQAUAAYACAAAACEA2+H2y+4AAACFAQAAEwAAAAAAAAAA&#10;AAAAAAAAAAAAW0NvbnRlbnRfVHlwZXNdLnhtbFBLAQItABQABgAIAAAAIQBa9CxbvwAAABUBAAAL&#10;AAAAAAAAAAAAAAAAAB8BAABfcmVscy8ucmVsc1BLAQItABQABgAIAAAAIQDGMDpsxQAAANwAAAAP&#10;AAAAAAAAAAAAAAAAAAcCAABkcnMvZG93bnJldi54bWxQSwUGAAAAAAMAAwC3AAAA+QIAAAAA&#10;">
                  <v:stroke endarrow="open"/>
                </v:shape>
                <v:group id="Group 61" o:spid="_x0000_s1088" style="position:absolute;width:63790;height:69356" coordsize="63790,69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xA1xQAAANwAAAAPAAAAZHJzL2Rvd25yZXYueG1sRI9Bi8Iw&#10;FITvwv6H8IS9aVoXdalGEVmXPYigLoi3R/Nsi81LaWJb/70RBI/DzHzDzJedKUVDtSssK4iHEQji&#10;1OqCMwX/x83gG4TzyBpLy6TgTg6Wi4/eHBNtW95Tc/CZCBB2CSrIva8SKV2ak0E3tBVx8C62NuiD&#10;rDOpa2wD3JRyFEUTabDgsJBjReuc0uvhZhT8ttiuvuKfZnu9rO/n43h32sak1Ge/W81AeOr8O/xq&#10;/2kF0+kInmfCEZCLBwAAAP//AwBQSwECLQAUAAYACAAAACEA2+H2y+4AAACFAQAAEwAAAAAAAAAA&#10;AAAAAAAAAAAAW0NvbnRlbnRfVHlwZXNdLnhtbFBLAQItABQABgAIAAAAIQBa9CxbvwAAABUBAAAL&#10;AAAAAAAAAAAAAAAAAB8BAABfcmVscy8ucmVsc1BLAQItABQABgAIAAAAIQA6FxA1xQAAANwAAAAP&#10;AAAAAAAAAAAAAAAAAAcCAABkcnMvZG93bnJldi54bWxQSwUGAAAAAAMAAwC3AAAA+QIAAAAA&#10;">
                  <v:shape id="Straight Arrow Connector 43" o:spid="_x0000_s1089" type="#_x0000_t32" style="position:absolute;left:41234;top:59263;width:43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nCTxAAAANwAAAAPAAAAZHJzL2Rvd25yZXYueG1sRI9Ba8JA&#10;FITvBf/D8oReRDemViW6igitBU9Vwesj+5INZt+G7BrTf98VCj0OM/MNs972thYdtb5yrGA6SUAQ&#10;505XXCq4nD/GSxA+IGusHZOCH/Kw3Qxe1php9+Bv6k6hFBHCPkMFJoQmk9Lnhiz6iWuIo1e41mKI&#10;si2lbvER4baWaZLMpcWK44LBhvaG8tvpbhUUqabp6HY1h8U7FvvjW9p19adSr8N+twIRqA//4b/2&#10;l1awXMzgeSYeAbn5BQAA//8DAFBLAQItABQABgAIAAAAIQDb4fbL7gAAAIUBAAATAAAAAAAAAAAA&#10;AAAAAAAAAABbQ29udGVudF9UeXBlc10ueG1sUEsBAi0AFAAGAAgAAAAhAFr0LFu/AAAAFQEAAAsA&#10;AAAAAAAAAAAAAAAAHwEAAF9yZWxzLy5yZWxzUEsBAi0AFAAGAAgAAAAhABCqcJPEAAAA3AAAAA8A&#10;AAAAAAAAAAAAAAAABwIAAGRycy9kb3ducmV2LnhtbFBLBQYAAAAAAwADALcAAAD4AgAAAAA=&#10;">
                    <v:stroke endarrow="open"/>
                  </v:shape>
                  <v:group id="Group 58" o:spid="_x0000_s1090" style="position:absolute;width:63313;height:19323" coordsize="63313,19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wXxQAAANwAAAAPAAAAZHJzL2Rvd25yZXYueG1sRI9Li8JA&#10;EITvwv6HoRe86SQrPoiOIrK77EEEHyDemkybBDM9ITObxH/vCILHoqq+oharzpSiodoVlhXEwwgE&#10;cWp1wZmC0/FnMAPhPLLG0jIpuJOD1fKjt8BE25b31Bx8JgKEXYIKcu+rREqX5mTQDW1FHLyrrQ36&#10;IOtM6hrbADel/IqiiTRYcFjIsaJNTunt8G8U/LbYrkfxd7O9XTf3y3G8O29jUqr/2a3nIDx1/h1+&#10;tf+0gtl0DM8z4QjI5QMAAP//AwBQSwECLQAUAAYACAAAACEA2+H2y+4AAACFAQAAEwAAAAAAAAAA&#10;AAAAAAAAAAAAW0NvbnRlbnRfVHlwZXNdLnhtbFBLAQItABQABgAIAAAAIQBa9CxbvwAAABUBAAAL&#10;AAAAAAAAAAAAAAAAAB8BAABfcmVscy8ucmVsc1BLAQItABQABgAIAAAAIQBDShwXxQAAANwAAAAP&#10;AAAAAAAAAAAAAAAAAAcCAABkcnMvZG93bnJldi54bWxQSwUGAAAAAAMAAwC3AAAA+QIAAAAA&#10;">
                    <v:shape id="Text Box 1" o:spid="_x0000_s1091" type="#_x0000_t202" style="position:absolute;left:8195;width:51682;height:2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gmHwgAAANwAAAAPAAAAZHJzL2Rvd25yZXYueG1sRI9Ba8JA&#10;FITvBf/D8gRvzUYDaYiuooVC6K02F2+P7DMJZt+G3dXEf98tFHocZuYbZneYzSAe5HxvWcE6SUEQ&#10;N1b33Cqovz9eCxA+IGscLJOCJ3k47BcvOyy1nfiLHufQighhX6KCLoSxlNI3HRn0iR2Jo3e1zmCI&#10;0rVSO5wi3Axyk6a5NNhzXOhwpPeOmtv5bhRU+SlcqNafOttkdqpl466DV2q1nI9bEIHm8B/+a1da&#10;QfGWw++ZeATk/gcAAP//AwBQSwECLQAUAAYACAAAACEA2+H2y+4AAACFAQAAEwAAAAAAAAAAAAAA&#10;AAAAAAAAW0NvbnRlbnRfVHlwZXNdLnhtbFBLAQItABQABgAIAAAAIQBa9CxbvwAAABUBAAALAAAA&#10;AAAAAAAAAAAAAB8BAABfcmVscy8ucmVsc1BLAQItABQABgAIAAAAIQBOpgmHwgAAANwAAAAPAAAA&#10;AAAAAAAAAAAAAAcCAABkcnMvZG93bnJldi54bWxQSwUGAAAAAAMAAwC3AAAA9gIAAAAA&#10;" strokeweight=".5pt">
                      <v:textbox>
                        <w:txbxContent>
                          <w:p w14:paraId="3EEE2F24" w14:textId="77777777" w:rsidR="003A587C" w:rsidRPr="007D770B" w:rsidRDefault="003A587C" w:rsidP="00331FED">
                            <w:pPr>
                              <w:spacing w:after="0" w:line="240" w:lineRule="auto"/>
                              <w:ind w:left="0"/>
                              <w:contextualSpacing/>
                              <w:rPr>
                                <w:rFonts w:ascii="Times New Roman" w:hAnsi="Times New Roman"/>
                                <w:sz w:val="18"/>
                                <w:lang w:val="en-US"/>
                              </w:rPr>
                            </w:pPr>
                            <w:r w:rsidRPr="007D770B">
                              <w:rPr>
                                <w:rFonts w:ascii="Times New Roman" w:hAnsi="Times New Roman"/>
                                <w:sz w:val="18"/>
                                <w:lang w:val="en-US"/>
                              </w:rPr>
                              <w:t>Consolidate all subsidiaries (including special purpose entities)</w:t>
                            </w:r>
                          </w:p>
                        </w:txbxContent>
                      </v:textbox>
                    </v:shape>
                    <v:line id="Straight Connector 2" o:spid="_x0000_s1092" style="position:absolute;visibility:visible;mso-wrap-style:square" from="172,3623" to="62669,3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VDCxAAAANwAAAAPAAAAZHJzL2Rvd25yZXYueG1sRI9Ba8JA&#10;FITvBf/D8oTe6sYKKtFVRFCLt6ZF8PbIPpOY7Nt0d6Px37uFQo/DzHzDLNe9acSNnK8sKxiPEhDE&#10;udUVFwq+v3ZvcxA+IGtsLJOCB3lYrwYvS0y1vfMn3bJQiAhhn6KCMoQ2ldLnJRn0I9sSR+9incEQ&#10;pSukdniPcNPI9ySZSoMVx4USW9qWlNdZZxScuozP13rnGuz2h8Pl9FP7yVGp12G/WYAI1If/8F/7&#10;QyuYz2bweyYeAbl6AgAA//8DAFBLAQItABQABgAIAAAAIQDb4fbL7gAAAIUBAAATAAAAAAAAAAAA&#10;AAAAAAAAAABbQ29udGVudF9UeXBlc10ueG1sUEsBAi0AFAAGAAgAAAAhAFr0LFu/AAAAFQEAAAsA&#10;AAAAAAAAAAAAAAAAHwEAAF9yZWxzLy5yZWxzUEsBAi0AFAAGAAgAAAAhAAaxUMLEAAAA3AAAAA8A&#10;AAAAAAAAAAAAAAAABwIAAGRycy9kb3ducmV2LnhtbFBLBQYAAAAAAwADALcAAAD4AgAAAAA=&#10;" strokeweight="1.5pt"/>
                    <v:shape id="Text Box 5" o:spid="_x0000_s1093" type="#_x0000_t202" style="position:absolute;left:16303;top:4572;width:31408;height:3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ThuvAAAANwAAAAPAAAAZHJzL2Rvd25yZXYueG1sRE+9CsIw&#10;EN4F3yGc4KapCirVKCoI4qZ2cTuasy02l5JEW9/eDILjx/e/3namFm9yvrKsYDJOQBDnVldcKMhu&#10;x9EShA/IGmvLpOBDHrabfm+NqbYtX+h9DYWIIexTVFCG0KRS+rwkg35sG+LIPawzGCJ0hdQO2xhu&#10;ajlNkrk0WHFsKLGhQ0n58/oyCk7zfbhTps96Np3ZNpO5e9ReqeGg261ABOrCX/xzn7SC5SKujWfi&#10;EZCbLwAAAP//AwBQSwECLQAUAAYACAAAACEA2+H2y+4AAACFAQAAEwAAAAAAAAAAAAAAAAAAAAAA&#10;W0NvbnRlbnRfVHlwZXNdLnhtbFBLAQItABQABgAIAAAAIQBa9CxbvwAAABUBAAALAAAAAAAAAAAA&#10;AAAAAB8BAABfcmVscy8ucmVsc1BLAQItABQABgAIAAAAIQBQdThuvAAAANwAAAAPAAAAAAAAAAAA&#10;AAAAAAcCAABkcnMvZG93bnJldi54bWxQSwUGAAAAAAMAAwC3AAAA8AIAAAAA&#10;" strokeweight=".5pt">
                      <v:textbox>
                        <w:txbxContent>
                          <w:p w14:paraId="75D4D768" w14:textId="77777777" w:rsidR="003A587C" w:rsidRPr="007D770B" w:rsidRDefault="003A587C" w:rsidP="00331FED">
                            <w:pPr>
                              <w:spacing w:after="0" w:line="240" w:lineRule="auto"/>
                              <w:ind w:left="0"/>
                              <w:contextualSpacing/>
                              <w:jc w:val="center"/>
                              <w:rPr>
                                <w:rFonts w:ascii="Times New Roman" w:hAnsi="Times New Roman"/>
                                <w:sz w:val="18"/>
                                <w:lang w:val="en-US"/>
                              </w:rPr>
                            </w:pPr>
                            <w:r w:rsidRPr="007D770B">
                              <w:rPr>
                                <w:rFonts w:ascii="Times New Roman" w:hAnsi="Times New Roman"/>
                                <w:sz w:val="18"/>
                                <w:lang w:val="en-US"/>
                              </w:rPr>
                              <w:t>Determine whether the flowchart should be applied to part or all of the asset (or a group of similar assets)?</w:t>
                            </w:r>
                          </w:p>
                        </w:txbxContent>
                      </v:textbox>
                    </v:shape>
                    <v:shape id="Text Box 6" o:spid="_x0000_s1094" type="#_x0000_t202" style="position:absolute;left:431;width:6039;height:2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9GGxAAAANwAAAAPAAAAZHJzL2Rvd25yZXYueG1sRI/BasMw&#10;EETvgf6D2EJuiewQWteNEkqh0FOgiePzYm0tU2tlJMVx8vVRodDjMDNvmM1usr0YyYfOsYJ8mYEg&#10;bpzuuFVQHT8WBYgQkTX2jknBlQLstg+zDZbaXfiLxkNsRYJwKFGBiXEopQyNIYth6Qbi5H07bzEm&#10;6VupPV4S3PZylWVP0mLHacHgQO+Gmp/D2SqoW3urT/ngjbb9mve367FynVLzx+ntFUSkKf6H/9qf&#10;WkHx/AK/Z9IRkNs7AAAA//8DAFBLAQItABQABgAIAAAAIQDb4fbL7gAAAIUBAAATAAAAAAAAAAAA&#10;AAAAAAAAAABbQ29udGVudF9UeXBlc10ueG1sUEsBAi0AFAAGAAgAAAAhAFr0LFu/AAAAFQEAAAsA&#10;AAAAAAAAAAAAAAAAHwEAAF9yZWxzLy5yZWxzUEsBAi0AFAAGAAgAAAAhAPgH0YbEAAAA3AAAAA8A&#10;AAAAAAAAAAAAAAAABwIAAGRycy9kb3ducmV2LnhtbFBLBQYAAAAAAwADALcAAAD4AgAAAAA=&#10;" stroked="f" strokeweight=".5pt">
                      <v:textbox>
                        <w:txbxContent>
                          <w:p w14:paraId="40D598F4" w14:textId="77777777" w:rsidR="003A587C" w:rsidRPr="002C4652" w:rsidRDefault="003A587C" w:rsidP="00331FED">
                            <w:pPr>
                              <w:spacing w:after="0" w:line="240" w:lineRule="auto"/>
                              <w:ind w:left="0"/>
                              <w:contextualSpacing/>
                              <w:rPr>
                                <w:rFonts w:ascii="Times New Roman" w:hAnsi="Times New Roman"/>
                                <w:b/>
                              </w:rPr>
                            </w:pPr>
                            <w:r w:rsidRPr="002C4652">
                              <w:rPr>
                                <w:rFonts w:ascii="Times New Roman" w:hAnsi="Times New Roman"/>
                                <w:b/>
                              </w:rPr>
                              <w:t>Stage 1</w:t>
                            </w:r>
                          </w:p>
                        </w:txbxContent>
                      </v:textbox>
                    </v:shape>
                    <v:line id="Straight Connector 7" o:spid="_x0000_s1095" style="position:absolute;visibility:visible;mso-wrap-style:square" from="0,9144" to="62496,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biRwgAAANwAAAAPAAAAZHJzL2Rvd25yZXYueG1sRE/JasMw&#10;EL0H+g9iCrklchMoxo0cQiFN6K1uMPQ2WOMltkauJCfu31eHQo+Pt+/2sxnEjZzvLCt4WicgiCur&#10;O24UXD6PqxSED8gaB8uk4Ic87POHxQ4zbe/8QbciNCKGsM9QQRvCmEnpq5YM+rUdiSNXW2cwROga&#10;qR3eY7gZ5CZJnqXBjmNDiyO9tlT1xWQUlFPBX9f+6Aac3k6nuvzu/fZdqeXjfHgBEWgO/+I/91kr&#10;SNM4P56JR0DmvwAAAP//AwBQSwECLQAUAAYACAAAACEA2+H2y+4AAACFAQAAEwAAAAAAAAAAAAAA&#10;AAAAAAAAW0NvbnRlbnRfVHlwZXNdLnhtbFBLAQItABQABgAIAAAAIQBa9CxbvwAAABUBAAALAAAA&#10;AAAAAAAAAAAAAB8BAABfcmVscy8ucmVsc1BLAQItABQABgAIAAAAIQC8jbiRwgAAANwAAAAPAAAA&#10;AAAAAAAAAAAAAAcCAABkcnMvZG93bnJldi54bWxQSwUGAAAAAAMAAwC3AAAA9gIAAAAA&#10;" strokeweight="1.5pt"/>
                    <v:shape id="Text Box 8" o:spid="_x0000_s1096" type="#_x0000_t202" style="position:absolute;left:258;top:5865;width:6039;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K2nwwAAANwAAAAPAAAAZHJzL2Rvd25yZXYueG1sRI/BasMw&#10;EETvhfyD2EBvtexSinGshFIo9BSIneS8WBvLxFoZSU2cfH1VKOQ4zMwbpt7MdhQX8mFwrKDIchDE&#10;ndMD9wr27ddLCSJEZI2jY1JwowCb9eKpxkq7K+/o0sReJAiHChWYGKdKytAZshgyNxEn7+S8xZik&#10;76X2eE1wO8rXPH+XFgdOCwYn+jTUnZsfq+DY2/vxUEzeaDu+8fZ+a/duUOp5OX+sQESa4yP83/7W&#10;CsqygL8z6QjI9S8AAAD//wMAUEsBAi0AFAAGAAgAAAAhANvh9svuAAAAhQEAABMAAAAAAAAAAAAA&#10;AAAAAAAAAFtDb250ZW50X1R5cGVzXS54bWxQSwECLQAUAAYACAAAACEAWvQsW78AAAAVAQAACwAA&#10;AAAAAAAAAAAAAAAfAQAAX3JlbHMvLnJlbHNQSwECLQAUAAYACAAAACEAM6Stp8MAAADcAAAADwAA&#10;AAAAAAAAAAAAAAAHAgAAZHJzL2Rvd25yZXYueG1sUEsFBgAAAAADAAMAtwAAAPcCAAAAAA==&#10;" stroked="f" strokeweight=".5pt">
                      <v:textbox>
                        <w:txbxContent>
                          <w:p w14:paraId="4FD8670E" w14:textId="77777777" w:rsidR="003A587C" w:rsidRPr="002C4652" w:rsidRDefault="003A587C" w:rsidP="00331FED">
                            <w:pPr>
                              <w:spacing w:after="0" w:line="240" w:lineRule="auto"/>
                              <w:ind w:left="0"/>
                              <w:contextualSpacing/>
                              <w:rPr>
                                <w:rFonts w:ascii="Times New Roman" w:hAnsi="Times New Roman"/>
                                <w:b/>
                              </w:rPr>
                            </w:pPr>
                            <w:r>
                              <w:rPr>
                                <w:rFonts w:ascii="Times New Roman" w:hAnsi="Times New Roman"/>
                                <w:b/>
                              </w:rPr>
                              <w:t>Stage 2</w:t>
                            </w:r>
                          </w:p>
                        </w:txbxContent>
                      </v:textbox>
                    </v:shape>
                    <v:oval id="Oval 9" o:spid="_x0000_s1097" style="position:absolute;left:10351;top:10610;width:30131;height:6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05RxgAAANwAAAAPAAAAZHJzL2Rvd25yZXYueG1sRI/dasJA&#10;FITvhb7Dcgre6aYKEqOrVPGnFUOpll4fssckmD0bsqvGt+8WBC+HmfmGmc5bU4krNa60rOCtH4Eg&#10;zqwuOVfwc1z3YhDOI2usLJOCOzmYz146U0y0vfE3XQ8+FwHCLkEFhfd1IqXLCjLo+rYmDt7JNgZ9&#10;kE0udYO3ADeVHETRSBosOSwUWNOyoOx8uBgFm6/tWA4vi+jEn2mc/u5X991wpVT3tX2fgPDU+mf4&#10;0f7QCuJ4AP9nwhGQsz8AAAD//wMAUEsBAi0AFAAGAAgAAAAhANvh9svuAAAAhQEAABMAAAAAAAAA&#10;AAAAAAAAAAAAAFtDb250ZW50X1R5cGVzXS54bWxQSwECLQAUAAYACAAAACEAWvQsW78AAAAVAQAA&#10;CwAAAAAAAAAAAAAAAAAfAQAAX3JlbHMvLnJlbHNQSwECLQAUAAYACAAAACEAVvNOUcYAAADcAAAA&#10;DwAAAAAAAAAAAAAAAAAHAgAAZHJzL2Rvd25yZXYueG1sUEsFBgAAAAADAAMAtwAAAPoCAAAAAA==&#10;">
                      <v:textbox>
                        <w:txbxContent>
                          <w:p w14:paraId="77B74529" w14:textId="77777777" w:rsidR="003A587C" w:rsidRPr="007D770B" w:rsidRDefault="003A587C" w:rsidP="00331FED">
                            <w:pPr>
                              <w:spacing w:after="0" w:line="240" w:lineRule="auto"/>
                              <w:ind w:left="0"/>
                              <w:jc w:val="center"/>
                              <w:rPr>
                                <w:rFonts w:ascii="Times New Roman" w:hAnsi="Times New Roman"/>
                                <w:sz w:val="18"/>
                                <w:szCs w:val="18"/>
                                <w:lang w:val="en-US"/>
                              </w:rPr>
                            </w:pPr>
                            <w:r w:rsidRPr="007D770B">
                              <w:rPr>
                                <w:rFonts w:ascii="Times New Roman" w:hAnsi="Times New Roman"/>
                                <w:sz w:val="18"/>
                                <w:szCs w:val="18"/>
                                <w:lang w:val="en-US"/>
                              </w:rPr>
                              <w:t>Have the rights to the cash flows associated with the asset expired?</w:t>
                            </w:r>
                          </w:p>
                        </w:txbxContent>
                      </v:textbox>
                    </v:oval>
                    <v:shape id="Text Box 23" o:spid="_x0000_s1098" type="#_x0000_t202" style="position:absolute;left:45374;top:12422;width:17939;height:2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No4wgAAANwAAAAPAAAAZHJzL2Rvd25yZXYueG1sRI/NasMw&#10;EITvhb6D2EJutVwbgnGjmLRQML0l9aW3xVr/EGtlJNV2374KBHocZuYb5lBtZhILOT9aVvCSpCCI&#10;W6tH7hU0Xx/PBQgfkDVOlknBL3mojo8PByy1XflMyyX0IkLYl6hgCGEupfTtQAZ9Ymfi6HXWGQxR&#10;ul5qh2uEm0lmabqXBkeOCwPO9D5Qe738GAX1/i18U6M/dZ7ldm1k67rJK7V72k6vIAJt4T98b9da&#10;QVHkcDsTj4A8/gEAAP//AwBQSwECLQAUAAYACAAAACEA2+H2y+4AAACFAQAAEwAAAAAAAAAAAAAA&#10;AAAAAAAAW0NvbnRlbnRfVHlwZXNdLnhtbFBLAQItABQABgAIAAAAIQBa9CxbvwAAABUBAAALAAAA&#10;AAAAAAAAAAAAAB8BAABfcmVscy8ucmVsc1BLAQItABQABgAIAAAAIQBrBNo4wgAAANwAAAAPAAAA&#10;AAAAAAAAAAAAAAcCAABkcnMvZG93bnJldi54bWxQSwUGAAAAAAMAAwC3AAAA9gIAAAAA&#10;" strokeweight=".5pt">
                      <v:textbox>
                        <w:txbxContent>
                          <w:p w14:paraId="0EBB4174" w14:textId="77777777" w:rsidR="003A587C" w:rsidRPr="00C60EB2" w:rsidRDefault="003A587C" w:rsidP="00331FED">
                            <w:pPr>
                              <w:spacing w:after="0" w:line="240" w:lineRule="auto"/>
                              <w:ind w:left="0"/>
                              <w:contextualSpacing/>
                              <w:rPr>
                                <w:rFonts w:ascii="Times New Roman" w:hAnsi="Times New Roman"/>
                                <w:sz w:val="18"/>
                              </w:rPr>
                            </w:pPr>
                            <w:r>
                              <w:rPr>
                                <w:rFonts w:ascii="Times New Roman" w:hAnsi="Times New Roman"/>
                                <w:sz w:val="18"/>
                              </w:rPr>
                              <w:t>Derecognize the asset</w:t>
                            </w:r>
                          </w:p>
                        </w:txbxContent>
                      </v:textbox>
                    </v:shape>
                    <v:shape id="Text Box 24" o:spid="_x0000_s1099" type="#_x0000_t202" style="position:absolute;left:41234;top:10610;width:3192;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w4/wQAAANwAAAAPAAAAZHJzL2Rvd25yZXYueG1sRI9Pi8Iw&#10;FMTvwn6H8Ba8adpFpFRjkYUFTwv+PT+aZ1NsXkoStfrpNwuCx2FmfsMsq8F24kY+tI4V5NMMBHHt&#10;dMuNgsP+Z1KACBFZY+eYFDwoQLX6GC2x1O7OW7rtYiMShEOJCkyMfSllqA1ZDFPXEyfv7LzFmKRv&#10;pPZ4T3Dbya8sm0uLLacFgz19G6ovu6tVcGrs83TMe2+07Wb8+3zsD65Vavw5rBcgIg3xHX61N1pB&#10;Uczg/0w6AnL1BwAA//8DAFBLAQItABQABgAIAAAAIQDb4fbL7gAAAIUBAAATAAAAAAAAAAAAAAAA&#10;AAAAAABbQ29udGVudF9UeXBlc10ueG1sUEsBAi0AFAAGAAgAAAAhAFr0LFu/AAAAFQEAAAsAAAAA&#10;AAAAAAAAAAAAHwEAAF9yZWxzLy5yZWxzUEsBAi0AFAAGAAgAAAAhACPTDj/BAAAA3AAAAA8AAAAA&#10;AAAAAAAAAAAABwIAAGRycy9kb3ducmV2LnhtbFBLBQYAAAAAAwADALcAAAD1AgAAAAA=&#10;" stroked="f" strokeweight=".5pt">
                      <v:textbox>
                        <w:txbxContent>
                          <w:p w14:paraId="3EDF1EC8" w14:textId="77777777" w:rsidR="003A587C" w:rsidRPr="006A1892" w:rsidRDefault="003A587C" w:rsidP="00331FED">
                            <w:pPr>
                              <w:spacing w:after="0" w:line="240" w:lineRule="auto"/>
                              <w:ind w:left="0"/>
                              <w:contextualSpacing/>
                              <w:rPr>
                                <w:rFonts w:ascii="Times New Roman" w:hAnsi="Times New Roman"/>
                                <w:b/>
                                <w:sz w:val="16"/>
                              </w:rPr>
                            </w:pPr>
                            <w:r>
                              <w:rPr>
                                <w:rFonts w:ascii="Times New Roman" w:hAnsi="Times New Roman"/>
                                <w:b/>
                                <w:sz w:val="16"/>
                              </w:rPr>
                              <w:t>Yes</w:t>
                            </w:r>
                          </w:p>
                        </w:txbxContent>
                      </v:textbox>
                    </v:shape>
                    <v:shape id="Straight Arrow Connector 25" o:spid="_x0000_s1100" type="#_x0000_t32" style="position:absolute;left:29847;top:2501;width:0;height:21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6UvxAAAANwAAAAPAAAAZHJzL2Rvd25yZXYueG1sRI9Pa8JA&#10;FMTvhX6H5RW8FN0YUUPqKkXwD/SkLfT6yL5kg9m3IbuN8du7gtDjMDO/YVabwTaip87XjhVMJwkI&#10;4sLpmisFP9+7cQbCB2SNjWNScCMPm/Xrywpz7a58ov4cKhEh7HNUYEJocyl9Yciin7iWOHql6yyG&#10;KLtK6g6vEW4bmSbJQlqsOS4YbGlrqLic/6yCMtU0fb/8msNyjuX2a5b2fbNXavQ2fH6ACDSE//Cz&#10;fdQKsmwOjzPxCMj1HQAA//8DAFBLAQItABQABgAIAAAAIQDb4fbL7gAAAIUBAAATAAAAAAAAAAAA&#10;AAAAAAAAAABbQ29udGVudF9UeXBlc10ueG1sUEsBAi0AFAAGAAgAAAAhAFr0LFu/AAAAFQEAAAsA&#10;AAAAAAAAAAAAAAAAHwEAAF9yZWxzLy5yZWxzUEsBAi0AFAAGAAgAAAAhAEozpS/EAAAA3AAAAA8A&#10;AAAAAAAAAAAAAAAABwIAAGRycy9kb3ducmV2LnhtbFBLBQYAAAAAAwADALcAAAD4AgAAAAA=&#10;">
                      <v:stroke endarrow="open"/>
                    </v:shape>
                    <v:shape id="Straight Arrow Connector 26" o:spid="_x0000_s1101" type="#_x0000_t32" style="position:absolute;left:26310;top:8281;width:0;height:23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TtYxAAAANwAAAAPAAAAZHJzL2Rvd25yZXYueG1sRI9Pa8JA&#10;FMTvBb/D8oReim6MVEN0FRFaCz35B7w+si/ZYPZtyG5j+u27BcHjMDO/YdbbwTaip87XjhXMpgkI&#10;4sLpmisFl/PHJAPhA7LGxjEp+CUP283oZY25dnc+Un8KlYgQ9jkqMCG0uZS+MGTRT11LHL3SdRZD&#10;lF0ldYf3CLeNTJNkIS3WHBcMtrQ3VNxOP1ZBmWqavd2u5rB8x3L/PU/7vvlU6nU87FYgAg3hGX60&#10;v7SCLFvA/5l4BOTmDwAA//8DAFBLAQItABQABgAIAAAAIQDb4fbL7gAAAIUBAAATAAAAAAAAAAAA&#10;AAAAAAAAAABbQ29udGVudF9UeXBlc10ueG1sUEsBAi0AFAAGAAgAAAAhAFr0LFu/AAAAFQEAAAsA&#10;AAAAAAAAAAAAAAAAHwEAAF9yZWxzLy5yZWxzUEsBAi0AFAAGAAgAAAAhALrhO1jEAAAA3AAAAA8A&#10;AAAAAAAAAAAAAAAABwIAAGRycy9kb3ducmV2LnhtbFBLBQYAAAAAAwADALcAAAD4AgAAAAA=&#10;">
                      <v:stroke endarrow="open"/>
                    </v:shape>
                    <v:shape id="Straight Arrow Connector 27" o:spid="_x0000_s1102" type="#_x0000_t32" style="position:absolute;left:40457;top:13888;width:48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Z7DxAAAANwAAAAPAAAAZHJzL2Rvd25yZXYueG1sRI9Ba8JA&#10;FITvBf/D8gpeim5MUUPqKiLUCp60Ba+P7Es2mH0bstsY/70rFHocZuYbZrUZbCN66nztWMFsmoAg&#10;LpyuuVLw8/05yUD4gKyxcUwK7uRhsx69rDDX7sYn6s+hEhHCPkcFJoQ2l9IXhiz6qWuJo1e6zmKI&#10;squk7vAW4baRaZIspMWa44LBlnaGiuv51yooU02zt+vFfC3nWO6O72nfN3ulxq/D9gNEoCH8h//a&#10;B60gy5bwPBOPgFw/AAAA//8DAFBLAQItABQABgAIAAAAIQDb4fbL7gAAAIUBAAATAAAAAAAAAAAA&#10;AAAAAAAAAABbQ29udGVudF9UeXBlc10ueG1sUEsBAi0AFAAGAAgAAAAhAFr0LFu/AAAAFQEAAAsA&#10;AAAAAAAAAAAAAAAAHwEAAF9yZWxzLy5yZWxzUEsBAi0AFAAGAAgAAAAhANWtnsPEAAAA3AAAAA8A&#10;AAAAAAAAAAAAAAAABwIAAGRycy9kb3ducmV2LnhtbFBLBQYAAAAAAwADALcAAAD4AgAAAAA=&#10;">
                      <v:stroke endarrow="open"/>
                    </v:shape>
                    <v:shape id="Text Box 28" o:spid="_x0000_s1103" type="#_x0000_t202" style="position:absolute;left:12422;top:16476;width:4140;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gQ6vAAAANwAAAAPAAAAZHJzL2Rvd25yZXYueG1sRE/LqsIw&#10;EN0L/kMYwZ2mikjpNYoIgivB53po5jbFZlKSqNWvNwvB5eG8F6vONuJBPtSOFUzGGQji0umaKwXn&#10;03aUgwgRWWPjmBS8KMBq2e8tsNDuyQd6HGMlUgiHAhWYGNtCylAashjGriVO3L/zFmOCvpLa4zOF&#10;20ZOs2wuLdacGgy2tDFU3o53q+Ba2ff1Mmm90baZ8f79Op1drdRw0K3/QETq4k/8de+0gjxPa9OZ&#10;dATk8gMAAP//AwBQSwECLQAUAAYACAAAACEA2+H2y+4AAACFAQAAEwAAAAAAAAAAAAAAAAAAAAAA&#10;W0NvbnRlbnRfVHlwZXNdLnhtbFBLAQItABQABgAIAAAAIQBa9CxbvwAAABUBAAALAAAAAAAAAAAA&#10;AAAAAB8BAABfcmVscy8ucmVsc1BLAQItABQABgAIAAAAIQCingQ6vAAAANwAAAAPAAAAAAAAAAAA&#10;AAAAAAcCAABkcnMvZG93bnJldi54bWxQSwUGAAAAAAMAAwC3AAAA8AIAAAAA&#10;" stroked="f" strokeweight=".5pt">
                      <v:textbox>
                        <w:txbxContent>
                          <w:p w14:paraId="4C629AFE" w14:textId="77777777" w:rsidR="003A587C" w:rsidRPr="006A1892" w:rsidRDefault="003A587C" w:rsidP="00331FED">
                            <w:pPr>
                              <w:spacing w:after="0" w:line="240" w:lineRule="auto"/>
                              <w:ind w:left="0"/>
                              <w:contextualSpacing/>
                              <w:rPr>
                                <w:rFonts w:ascii="Times New Roman" w:hAnsi="Times New Roman"/>
                                <w:b/>
                                <w:sz w:val="16"/>
                              </w:rPr>
                            </w:pPr>
                            <w:r>
                              <w:rPr>
                                <w:rFonts w:ascii="Times New Roman" w:hAnsi="Times New Roman"/>
                                <w:b/>
                                <w:sz w:val="16"/>
                              </w:rPr>
                              <w:t>No</w:t>
                            </w:r>
                          </w:p>
                        </w:txbxContent>
                      </v:textbox>
                    </v:shape>
                    <v:shape id="Straight Arrow Connector 35" o:spid="_x0000_s1104" type="#_x0000_t32" style="position:absolute;left:25447;top:16907;width:0;height:24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q8qxQAAANwAAAAPAAAAZHJzL2Rvd25yZXYueG1sRI9Ba8JA&#10;FITvhf6H5RV6KXVjpG2auooIrYInU8HrI/uSDWbfhuwa03/vCkKPw8x8w8yXo23FQL1vHCuYThIQ&#10;xKXTDdcKDr/frxkIH5A1to5JwR95WC4eH+aYa3fhPQ1FqEWEsM9RgQmhy6X0pSGLfuI64uhVrrcY&#10;ouxrqXu8RLhtZZok79Jiw3HBYEdrQ+WpOFsFVapp+nI6ms3HG1br3SwdhvZHqeencfUFItAY/sP3&#10;9lYryLJPuJ2JR0AurgAAAP//AwBQSwECLQAUAAYACAAAACEA2+H2y+4AAACFAQAAEwAAAAAAAAAA&#10;AAAAAAAAAAAAW0NvbnRlbnRfVHlwZXNdLnhtbFBLAQItABQABgAIAAAAIQBa9CxbvwAAABUBAAAL&#10;AAAAAAAAAAAAAAAAAB8BAABfcmVscy8ucmVsc1BLAQItABQABgAIAAAAIQDLfq8qxQAAANwAAAAP&#10;AAAAAAAAAAAAAAAAAAcCAABkcnMvZG93bnJldi54bWxQSwUGAAAAAAMAAwC3AAAA+QIAAAAA&#10;">
                      <v:stroke endarrow="open"/>
                    </v:shape>
                    <v:line id="Straight Connector 46" o:spid="_x0000_s1105" style="position:absolute;visibility:visible;mso-wrap-style:square" from="0,18374" to="62496,18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C5MwgAAANwAAAAPAAAAZHJzL2Rvd25yZXYueG1sRE/LasJA&#10;FN0L/YfhFrrTSS2ITR2lFHzgziiB7i6Za5ImcyedmWj8e2chuDyc92I1mFZcyPnasoL3SQKCuLC6&#10;5lLB6bgez0H4gKyxtUwKbuRhtXwZLTDV9soHumShFDGEfYoKqhC6VEpfVGTQT2xHHLmzdQZDhK6U&#10;2uE1hptWTpNkJg3WHBsq7OinoqLJeqMg7zP+/WvWrsV+s92e8//Gf+yVensdvr9ABBrCU/xw77SC&#10;+WecH8/EIyCXdwAAAP//AwBQSwECLQAUAAYACAAAACEA2+H2y+4AAACFAQAAEwAAAAAAAAAAAAAA&#10;AAAAAAAAW0NvbnRlbnRfVHlwZXNdLnhtbFBLAQItABQABgAIAAAAIQBa9CxbvwAAABUBAAALAAAA&#10;AAAAAAAAAAAAAB8BAABfcmVscy8ucmVsc1BLAQItABQABgAIAAAAIQA5VC5MwgAAANwAAAAPAAAA&#10;AAAAAAAAAAAAAAcCAABkcnMvZG93bnJldi54bWxQSwUGAAAAAAMAAwC3AAAA9gIAAAAA&#10;" strokeweight="1.5pt"/>
                    <v:shape id="Text Box 50" o:spid="_x0000_s1106" type="#_x0000_t202" style="position:absolute;left:431;top:14923;width:6039;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Tt6wgAAANwAAAAPAAAAZHJzL2Rvd25yZXYueG1sRI9Pi8Iw&#10;FMTvgt8hPMGbTbuIaNcosrDgSVj/nR/N26bYvJQkq9VPvxEEj8PM/IZZrnvbiiv50DhWUGQ5COLK&#10;6YZrBcfD92QOIkRkja1jUnCnAOvVcLDEUrsb/9B1H2uRIBxKVGBi7EopQ2XIYshcR5y8X+ctxiR9&#10;LbXHW4LbVn7k+UxabDgtGOzoy1B12f9ZBefaPs6novNG23bKu8f9cHSNUuNRv/kEEamP7/CrvdUK&#10;5osCnmfSEZCrfwAAAP//AwBQSwECLQAUAAYACAAAACEA2+H2y+4AAACFAQAAEwAAAAAAAAAAAAAA&#10;AAAAAAAAW0NvbnRlbnRfVHlwZXNdLnhtbFBLAQItABQABgAIAAAAIQBa9CxbvwAAABUBAAALAAAA&#10;AAAAAAAAAAAAAB8BAABfcmVscy8ucmVsc1BLAQItABQABgAIAAAAIQC2fTt6wgAAANwAAAAPAAAA&#10;AAAAAAAAAAAAAAcCAABkcnMvZG93bnJldi54bWxQSwUGAAAAAAMAAwC3AAAA9gIAAAAA&#10;" stroked="f" strokeweight=".5pt">
                      <v:textbox>
                        <w:txbxContent>
                          <w:p w14:paraId="3432CFAF" w14:textId="77777777" w:rsidR="003A587C" w:rsidRPr="002C4652" w:rsidRDefault="003A587C" w:rsidP="00331FED">
                            <w:pPr>
                              <w:spacing w:after="0" w:line="240" w:lineRule="auto"/>
                              <w:ind w:left="0"/>
                              <w:contextualSpacing/>
                              <w:rPr>
                                <w:rFonts w:ascii="Times New Roman" w:hAnsi="Times New Roman"/>
                                <w:b/>
                              </w:rPr>
                            </w:pPr>
                            <w:r>
                              <w:rPr>
                                <w:rFonts w:ascii="Times New Roman" w:hAnsi="Times New Roman"/>
                                <w:b/>
                              </w:rPr>
                              <w:t>Step 3</w:t>
                            </w:r>
                          </w:p>
                        </w:txbxContent>
                      </v:textbox>
                    </v:shape>
                  </v:group>
                  <v:group id="Group 59" o:spid="_x0000_s1107" style="position:absolute;left:431;top:19323;width:63145;height:23028" coordsize="63145,23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2KZxQAAANwAAAAPAAAAZHJzL2Rvd25yZXYueG1sRI9Bi8Iw&#10;FITvwv6H8IS9aVoXxa1GEVmXPYigLoi3R/Nsi81LaWJb/70RBI/DzHzDzJedKUVDtSssK4iHEQji&#10;1OqCMwX/x81gCsJ5ZI2lZVJwJwfLxUdvjom2Le+pOfhMBAi7BBXk3leJlC7NyaAb2oo4eBdbG/RB&#10;1pnUNbYBbko5iqKJNFhwWMixonVO6fVwMwp+W2xXX/FPs71e1vfzcbw7bWNS6rPfrWYgPHX+HX61&#10;/7SC6fcInmfCEZCLBwAAAP//AwBQSwECLQAUAAYACAAAACEA2+H2y+4AAACFAQAAEwAAAAAAAAAA&#10;AAAAAAAAAAAAW0NvbnRlbnRfVHlwZXNdLnhtbFBLAQItABQABgAIAAAAIQBa9CxbvwAAABUBAAAL&#10;AAAAAAAAAAAAAAAAAB8BAABfcmVscy8ucmVsc1BLAQItABQABgAIAAAAIQB8r2KZxQAAANwAAAAP&#10;AAAAAAAAAAAAAAAAAAcCAABkcnMvZG93bnJldi54bWxQSwUGAAAAAAMAAwC3AAAA+QIAAAAA&#10;">
                    <v:oval id="Oval 12" o:spid="_x0000_s1108" style="position:absolute;left:9920;width:30131;height:6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n0XxgAAANwAAAAPAAAAZHJzL2Rvd25yZXYueG1sRI/dasJA&#10;FITvC77DcgTv6sYGSkxdRYs/VZRSK14fssckmD0bsqvGt+8WBC+HmfmGGU1aU4krNa60rGDQj0AQ&#10;Z1aXnCs4/C5eExDOI2usLJOCOzmYjDsvI0y1vfEPXfc+FwHCLkUFhfd1KqXLCjLo+rYmDt7JNgZ9&#10;kE0udYO3ADeVfIuid2mw5LBQYE2fBWXn/cUoWH6vhjK+zKITr3fJ7rid3zfxXKlet51+gPDU+mf4&#10;0f7SCpJhDP9nwhGQ4z8AAAD//wMAUEsBAi0AFAAGAAgAAAAhANvh9svuAAAAhQEAABMAAAAAAAAA&#10;AAAAAAAAAAAAAFtDb250ZW50X1R5cGVzXS54bWxQSwECLQAUAAYACAAAACEAWvQsW78AAAAVAQAA&#10;CwAAAAAAAAAAAAAAAAAfAQAAX3JlbHMvLnJlbHNQSwECLQAUAAYACAAAACEAvGZ9F8YAAADcAAAA&#10;DwAAAAAAAAAAAAAAAAAHAgAAZHJzL2Rvd25yZXYueG1sUEsFBgAAAAADAAMAtwAAAPoCAAAAAA==&#10;">
                      <v:textbox>
                        <w:txbxContent>
                          <w:p w14:paraId="35B85818" w14:textId="77777777" w:rsidR="003A587C" w:rsidRPr="007D770B" w:rsidRDefault="003A587C" w:rsidP="00331FED">
                            <w:pPr>
                              <w:spacing w:after="0" w:line="240" w:lineRule="auto"/>
                              <w:ind w:left="0"/>
                              <w:jc w:val="center"/>
                              <w:rPr>
                                <w:rFonts w:ascii="Times New Roman" w:hAnsi="Times New Roman"/>
                                <w:sz w:val="18"/>
                                <w:szCs w:val="18"/>
                                <w:lang w:val="en-US"/>
                              </w:rPr>
                            </w:pPr>
                            <w:r w:rsidRPr="007D770B">
                              <w:rPr>
                                <w:rFonts w:ascii="Times New Roman" w:hAnsi="Times New Roman"/>
                                <w:sz w:val="18"/>
                                <w:szCs w:val="18"/>
                                <w:lang w:val="en-US"/>
                              </w:rPr>
                              <w:t>Has the Bank transferred its rights to receive cash flows from the asset?</w:t>
                            </w:r>
                          </w:p>
                        </w:txbxContent>
                      </v:textbox>
                    </v:oval>
                    <v:shape id="Text Box 22" o:spid="_x0000_s1109" type="#_x0000_t202" style="position:absolute;left:45116;top:11731;width:18029;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NSRwAAAANwAAAAPAAAAZHJzL2Rvd25yZXYueG1sRI9Bi8Iw&#10;FITvgv8hPMGbpuoiWo2iC4J4U3vx9miebbF5KUnW1n9vhAWPw8x8w6y3nanFk5yvLCuYjBMQxLnV&#10;FRcKsuthtADhA7LG2jIpeJGH7abfW2Oqbctnel5CISKEfYoKyhCaVEqfl2TQj21DHL27dQZDlK6Q&#10;2mEb4aaW0ySZS4MVx4USG/otKX9c/oyC43wfbpTpk55NZ7bNZO7utVdqOOh2KxCBuvAN/7ePWsFi&#10;+QOfM/EIyM0bAAD//wMAUEsBAi0AFAAGAAgAAAAhANvh9svuAAAAhQEAABMAAAAAAAAAAAAAAAAA&#10;AAAAAFtDb250ZW50X1R5cGVzXS54bWxQSwECLQAUAAYACAAAACEAWvQsW78AAAAVAQAACwAAAAAA&#10;AAAAAAAAAAAfAQAAX3JlbHMvLnJlbHNQSwECLQAUAAYACAAAACEAYTTUkcAAAADcAAAADwAAAAAA&#10;AAAAAAAAAAAHAgAAZHJzL2Rvd25yZXYueG1sUEsFBgAAAAADAAMAtwAAAPQCAAAAAA==&#10;" strokeweight=".5pt">
                      <v:textbox>
                        <w:txbxContent>
                          <w:p w14:paraId="4D7DDB7C" w14:textId="77777777" w:rsidR="003A587C" w:rsidRPr="007D770B" w:rsidRDefault="003A587C" w:rsidP="00331FED">
                            <w:pPr>
                              <w:spacing w:after="0" w:line="240" w:lineRule="auto"/>
                              <w:ind w:left="0"/>
                              <w:contextualSpacing/>
                              <w:rPr>
                                <w:rFonts w:ascii="Times New Roman" w:hAnsi="Times New Roman"/>
                                <w:sz w:val="18"/>
                                <w:lang w:val="en-US"/>
                              </w:rPr>
                            </w:pPr>
                            <w:r w:rsidRPr="007D770B">
                              <w:rPr>
                                <w:rFonts w:ascii="Times New Roman" w:hAnsi="Times New Roman"/>
                                <w:sz w:val="18"/>
                                <w:lang w:val="en-US"/>
                              </w:rPr>
                              <w:t>The asset continues to be recognized</w:t>
                            </w:r>
                          </w:p>
                        </w:txbxContent>
                      </v:textbox>
                    </v:shape>
                    <v:shape id="Text Box 29" o:spid="_x0000_s1110" type="#_x0000_t202" style="position:absolute;left:40457;top:9230;width:4141;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j15xAAAANwAAAAPAAAAZHJzL2Rvd25yZXYueG1sRI/BasMw&#10;EETvgf6D2EJuieyQFteNEkqh0FOgiePzYm0tU2tlJMVx8vVRodDjMDNvmM1usr0YyYfOsYJ8mYEg&#10;bpzuuFVQHT8WBYgQkTX2jknBlQLstg+zDZbaXfiLxkNsRYJwKFGBiXEopQyNIYth6Qbi5H07bzEm&#10;6VupPV4S3PZylWXP0mLHacHgQO+Gmp/D2SqoW3urT/ngjbb9mve367FynVLzx+ntFUSkKf6H/9qf&#10;WkHx8gS/Z9IRkNs7AAAA//8DAFBLAQItABQABgAIAAAAIQDb4fbL7gAAAIUBAAATAAAAAAAAAAAA&#10;AAAAAAAAAABbQ29udGVudF9UeXBlc10ueG1sUEsBAi0AFAAGAAgAAAAhAFr0LFu/AAAAFQEAAAsA&#10;AAAAAAAAAAAAAAAAHwEAAF9yZWxzLy5yZWxzUEsBAi0AFAAGAAgAAAAhAMlGPXnEAAAA3AAAAA8A&#10;AAAAAAAAAAAAAAAABwIAAGRycy9kb3ducmV2LnhtbFBLBQYAAAAAAwADALcAAAD4AgAAAAA=&#10;" stroked="f" strokeweight=".5pt">
                      <v:textbox>
                        <w:txbxContent>
                          <w:p w14:paraId="4A2B1F95" w14:textId="77777777" w:rsidR="003A587C" w:rsidRPr="006A1892" w:rsidRDefault="003A587C" w:rsidP="00331FED">
                            <w:pPr>
                              <w:spacing w:after="0" w:line="240" w:lineRule="auto"/>
                              <w:ind w:left="0"/>
                              <w:contextualSpacing/>
                              <w:jc w:val="center"/>
                              <w:rPr>
                                <w:rFonts w:ascii="Times New Roman" w:hAnsi="Times New Roman"/>
                                <w:b/>
                                <w:sz w:val="16"/>
                              </w:rPr>
                            </w:pPr>
                            <w:r>
                              <w:rPr>
                                <w:rFonts w:ascii="Times New Roman" w:hAnsi="Times New Roman"/>
                                <w:b/>
                                <w:sz w:val="16"/>
                              </w:rPr>
                              <w:t>No</w:t>
                            </w:r>
                          </w:p>
                        </w:txbxContent>
                      </v:textbox>
                    </v:shape>
                    <v:shape id="Straight Arrow Connector 36" o:spid="_x0000_s1111" type="#_x0000_t32" style="position:absolute;left:25016;top:6901;width:0;height:24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g1/xAAAANwAAAAPAAAAZHJzL2Rvd25yZXYueG1sRI9Ba8JA&#10;FITvBf/D8oReim4SadXoKkVoLXiqCl4f2ZdsMPs2ZLcx/feuUOhxmJlvmPV2sI3oqfO1YwXpNAFB&#10;XDhdc6XgfPqYLED4gKyxcUwKfsnDdjN6WmOu3Y2/qT+GSkQI+xwVmBDaXEpfGLLop64ljl7pOosh&#10;yq6SusNbhNtGZknyJi3WHBcMtrQzVFyPP1ZBmWlKX64Xs5+/Yrk7zLK+bz6Veh4P7ysQgYbwH/5r&#10;f2kFWbqEx5l4BOTmDgAA//8DAFBLAQItABQABgAIAAAAIQDb4fbL7gAAAIUBAAATAAAAAAAAAAAA&#10;AAAAAAAAAABbQ29udGVudF9UeXBlc10ueG1sUEsBAi0AFAAGAAgAAAAhAFr0LFu/AAAAFQEAAAsA&#10;AAAAAAAAAAAAAAAAHwEAAF9yZWxzLy5yZWxzUEsBAi0AFAAGAAgAAAAhALiuDX/EAAAA3AAAAA8A&#10;AAAAAAAAAAAAAAAABwIAAGRycy9kb3ducmV2LnhtbFBLBQYAAAAAAwADALcAAAD4AgAAAAA=&#10;">
                      <v:stroke endarrow="open"/>
                    </v:shape>
                    <v:shape id="Straight Arrow Connector 37" o:spid="_x0000_s1112" type="#_x0000_t32" style="position:absolute;left:25016;top:16303;width:0;height:24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lWzxAAAANwAAAAPAAAAZHJzL2Rvd25yZXYueG1sRI9BawIx&#10;FITvBf9DeIVeimaNtJatUURoFXqqCr0+Nm83i5uXZZOu6783guBxmJlvmMVqcI3oqQu1Zw3TSQaC&#10;uPCm5krD8fA1/gARIrLBxjNpuFCA1XL0tMDc+DP/Ur+PlUgQDjlqsDG2uZShsOQwTHxLnLzSdw5j&#10;kl0lTYfnBHeNVFn2Lh3WnBYstrSxVJz2/05DqQxNX09/djt/w3LzM1N933xr/fI8rD9BRBriI3xv&#10;74wGpRTczqQjIJdXAAAA//8DAFBLAQItABQABgAIAAAAIQDb4fbL7gAAAIUBAAATAAAAAAAAAAAA&#10;AAAAAAAAAABbQ29udGVudF9UeXBlc10ueG1sUEsBAi0AFAAGAAgAAAAhAFr0LFu/AAAAFQEAAAsA&#10;AAAAAAAAAAAAAAAAHwEAAF9yZWxzLy5yZWxzUEsBAi0AFAAGAAgAAAAhAHhmVbPEAAAA3AAAAA8A&#10;AAAAAAAAAAAAAAAABwIAAGRycy9kb3ducmV2LnhtbFBLBQYAAAAAAwADALcAAAD4AgAAAAA=&#10;">
                      <v:stroke endarrow="open"/>
                    </v:shape>
                    <v:shape id="Straight Arrow Connector 40" o:spid="_x0000_s1113" type="#_x0000_t32" style="position:absolute;left:40802;top:12680;width:41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4qQbxQAAANwAAAAPAAAAZHJzL2Rvd25yZXYueG1sRI/NasMw&#10;EITvhb6D2EIvJZHj0qRxI4cQaFrIKT+Q62KtLWNrZSzFcd6+KhR6HGbmG2a1Hm0rBup97VjBbJqA&#10;IC6crrlScD59Tt5B+ICssXVMCu7kYZ0/Pqww0+7GBxqOoRIRwj5DBSaELpPSF4Ys+qnriKNXut5i&#10;iLKvpO7xFuG2lWmSzKXFmuOCwY62hormeLUKylTT7KW5mK/FG5bb/Ws6DO1OqeencfMBItAY/sN/&#10;7W+tYLlM4fdMPAIy/wEAAP//AwBQSwECLQAUAAYACAAAACEA2+H2y+4AAACFAQAAEwAAAAAAAAAA&#10;AAAAAAAAAAAAW0NvbnRlbnRfVHlwZXNdLnhtbFBLAQItABQABgAIAAAAIQBa9CxbvwAAABUBAAAL&#10;AAAAAAAAAAAAAAAAAB8BAABfcmVscy8ucmVsc1BLAQItABQABgAIAAAAIQA24qQbxQAAANwAAAAP&#10;AAAAAAAAAAAAAAAAAAcCAABkcnMvZG93bnJldi54bWxQSwUGAAAAAAMAAwC3AAAA+QIAAAAA&#10;">
                      <v:stroke endarrow="open"/>
                    </v:shape>
                    <v:shape id="Text Box 45" o:spid="_x0000_s1114" type="#_x0000_t202" style="position:absolute;left:12767;top:15613;width:3187;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g8LxAAAANwAAAAPAAAAZHJzL2Rvd25yZXYueG1sRI/BasMw&#10;EETvgf6D2EJuseyklMaNEkqh0FOgiePzYm0tU2tlJMVx8vVRodDjMDNvmM1usr0YyYfOsYIiy0EQ&#10;N0533Cqojh+LFxAhImvsHZOCKwXYbR9mGyy1u/AXjYfYigThUKICE+NQShkaQxZD5gbi5H07bzEm&#10;6VupPV4S3PZymefP0mLHacHgQO+Gmp/D2SqoW3urT8Xgjbb9E+9v12PlOqXmj9PbK4hIU/wP/7U/&#10;tYL1egW/Z9IRkNs7AAAA//8DAFBLAQItABQABgAIAAAAIQDb4fbL7gAAAIUBAAATAAAAAAAAAAAA&#10;AAAAAAAAAABbQ29udGVudF9UeXBlc10ueG1sUEsBAi0AFAAGAAgAAAAhAFr0LFu/AAAAFQEAAAsA&#10;AAAAAAAAAAAAAAAAHwEAAF9yZWxzLy5yZWxzUEsBAi0AFAAGAAgAAAAhAF8CDwvEAAAA3AAAAA8A&#10;AAAAAAAAAAAAAAAABwIAAGRycy9kb3ducmV2LnhtbFBLBQYAAAAAAwADALcAAAD4AgAAAAA=&#10;" stroked="f" strokeweight=".5pt">
                      <v:textbox>
                        <w:txbxContent>
                          <w:p w14:paraId="6123BA40" w14:textId="77777777" w:rsidR="003A587C" w:rsidRPr="006A1892" w:rsidRDefault="003A587C" w:rsidP="00331FED">
                            <w:pPr>
                              <w:spacing w:after="0" w:line="240" w:lineRule="auto"/>
                              <w:ind w:left="0"/>
                              <w:contextualSpacing/>
                              <w:rPr>
                                <w:rFonts w:ascii="Times New Roman" w:hAnsi="Times New Roman"/>
                                <w:b/>
                                <w:sz w:val="16"/>
                              </w:rPr>
                            </w:pPr>
                            <w:r>
                              <w:rPr>
                                <w:rFonts w:ascii="Times New Roman" w:hAnsi="Times New Roman"/>
                                <w:b/>
                                <w:sz w:val="16"/>
                              </w:rPr>
                              <w:t>Yes</w:t>
                            </w:r>
                          </w:p>
                        </w:txbxContent>
                      </v:textbox>
                    </v:shape>
                    <v:line id="Straight Connector 47" o:spid="_x0000_s1115" style="position:absolute;visibility:visible;mso-wrap-style:square" from="0,17770" to="62496,17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ifSxQAAANwAAAAPAAAAZHJzL2Rvd25yZXYueG1sRI9Ba8JA&#10;FITvBf/D8oTe6sZaRKOriKCW3pqK4O2RfSYx2bfp7kbTf98tCD0OM/MNs1z3phE3cr6yrGA8SkAQ&#10;51ZXXCg4fu1eZiB8QNbYWCYFP+RhvRo8LTHV9s6fdMtCISKEfYoKyhDaVEqfl2TQj2xLHL2LdQZD&#10;lK6Q2uE9wk0jX5NkKg1WHBdKbGlbUl5nnVFw6jI+X+uda7DbHw6X03ftJx9KPQ/7zQJEoD78hx/t&#10;d61gPn+DvzPxCMjVLwAAAP//AwBQSwECLQAUAAYACAAAACEA2+H2y+4AAACFAQAAEwAAAAAAAAAA&#10;AAAAAAAAAAAAW0NvbnRlbnRfVHlwZXNdLnhtbFBLAQItABQABgAIAAAAIQBa9CxbvwAAABUBAAAL&#10;AAAAAAAAAAAAAAAAAB8BAABfcmVscy8ucmVsc1BLAQItABQABgAIAAAAIQAwjifSxQAAANwAAAAP&#10;AAAAAAAAAAAAAAAAAAcCAABkcnMvZG93bnJldi54bWxQSwUGAAAAAAMAAwC3AAAA+QIAAAAA&#10;" strokeweight="1.5pt"/>
                    <v:shape id="Text Box 51" o:spid="_x0000_s1116" type="#_x0000_t202" style="position:absolute;left:86;top:517;width:6039;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LkxAAAANwAAAAPAAAAZHJzL2Rvd25yZXYueG1sRI/BasMw&#10;EETvgf6D2EJuseyQlsaNEkqh0FOgiePzYm0tU2tlJMVx8vVRodDjMDNvmM1usr0YyYfOsYIiy0EQ&#10;N0533Cqojh+LFxAhImvsHZOCKwXYbR9mGyy1u/AXjYfYigThUKICE+NQShkaQxZD5gbi5H07bzEm&#10;6VupPV4S3PZymefP0mLHacHgQO+Gmp/D2SqoW3urT8Xgjbb9ive367FynVLzx+ntFUSkKf6H/9qf&#10;WsF6/QS/Z9IRkNs7AAAA//8DAFBLAQItABQABgAIAAAAIQDb4fbL7gAAAIUBAAATAAAAAAAAAAAA&#10;AAAAAAAAAABbQ29udGVudF9UeXBlc10ueG1sUEsBAi0AFAAGAAgAAAAhAFr0LFu/AAAAFQEAAAsA&#10;AAAAAAAAAAAAAAAAHwEAAF9yZWxzLy5yZWxzUEsBAi0AFAAGAAgAAAAhAL+nMuTEAAAA3AAAAA8A&#10;AAAAAAAAAAAAAAAABwIAAGRycy9kb3ducmV2LnhtbFBLBQYAAAAAAwADALcAAAD4AgAAAAA=&#10;" stroked="f" strokeweight=".5pt">
                      <v:textbox>
                        <w:txbxContent>
                          <w:p w14:paraId="327ED97A" w14:textId="77777777" w:rsidR="003A587C" w:rsidRPr="002C4652" w:rsidRDefault="003A587C" w:rsidP="00331FED">
                            <w:pPr>
                              <w:spacing w:after="0" w:line="240" w:lineRule="auto"/>
                              <w:ind w:left="0"/>
                              <w:contextualSpacing/>
                              <w:rPr>
                                <w:rFonts w:ascii="Times New Roman" w:hAnsi="Times New Roman"/>
                                <w:b/>
                              </w:rPr>
                            </w:pPr>
                            <w:r>
                              <w:rPr>
                                <w:rFonts w:ascii="Times New Roman" w:hAnsi="Times New Roman"/>
                                <w:b/>
                              </w:rPr>
                              <w:t>Step 4</w:t>
                            </w:r>
                          </w:p>
                        </w:txbxContent>
                      </v:textbox>
                    </v:shape>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Curved Right Arrow 54" o:spid="_x0000_s1117" type="#_x0000_t102" style="position:absolute;left:2156;top:3019;width:7239;height:200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VLyxwAAANwAAAAPAAAAZHJzL2Rvd25yZXYueG1sRI9Pa8JA&#10;FMTvhX6H5RW8lLqxgiTRVUqxoCCKfw56e2Rfk9js25BdY/z2riD0OMzMb5jJrDOVaKlxpWUFg34E&#10;gjizuuRcwWH/8xGDcB5ZY2WZFNzIwWz6+jLBVNsrb6nd+VwECLsUFRTe16mULivIoOvbmjh4v7Yx&#10;6INscqkbvAa4qeRnFI2kwZLDQoE1fReU/e0uRkHrtsckfvenzVDOV/Xyto/X57NSvbfuawzCU+f/&#10;w8/2QitIkhE8zoQjIKd3AAAA//8DAFBLAQItABQABgAIAAAAIQDb4fbL7gAAAIUBAAATAAAAAAAA&#10;AAAAAAAAAAAAAABbQ29udGVudF9UeXBlc10ueG1sUEsBAi0AFAAGAAgAAAAhAFr0LFu/AAAAFQEA&#10;AAsAAAAAAAAAAAAAAAAAHwEAAF9yZWxzLy5yZWxzUEsBAi0AFAAGAAgAAAAhANtRUvLHAAAA3AAA&#10;AA8AAAAAAAAAAAAAAAAABwIAAGRycy9kb3ducmV2LnhtbFBLBQYAAAAAAwADALcAAAD7AgAAAAA=&#10;" adj="16378,19966,16200" fillcolor="#4f81bd" strokecolor="#385d8a" strokeweight="2pt"/>
                    <v:shape id="Text Box 55" o:spid="_x0000_s1118" type="#_x0000_t202" style="position:absolute;left:3795;top:10524;width:3188;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QkIxAAAANwAAAAPAAAAZHJzL2Rvd25yZXYueG1sRI/BasMw&#10;EETvgf6D2EJusewQ2saNEkqh0FOgiePzYm0tU2tlJMVx8vVRodDjMDNvmM1usr0YyYfOsYIiy0EQ&#10;N0533Cqojh+LFxAhImvsHZOCKwXYbR9mGyy1u/AXjYfYigThUKICE+NQShkaQxZD5gbi5H07bzEm&#10;6VupPV4S3PZymedP0mLHacHgQO+Gmp/D2SqoW3urT8Xgjbb9ive367FynVLzx+ntFUSkKf6H/9qf&#10;WsF6/Qy/Z9IRkNs7AAAA//8DAFBLAQItABQABgAIAAAAIQDb4fbL7gAAAIUBAAATAAAAAAAAAAAA&#10;AAAAAAAAAABbQ29udGVudF9UeXBlc10ueG1sUEsBAi0AFAAGAAgAAAAhAFr0LFu/AAAAFQEAAAsA&#10;AAAAAAAAAAAAAAAAHwEAAF9yZWxzLy5yZWxzUEsBAi0AFAAGAAgAAAAhACA5CQjEAAAA3AAAAA8A&#10;AAAAAAAAAAAAAAAABwIAAGRycy9kb3ducmV2LnhtbFBLBQYAAAAAAwADALcAAAD4AgAAAAA=&#10;" stroked="f" strokeweight=".5pt">
                      <v:textbox>
                        <w:txbxContent>
                          <w:p w14:paraId="4581057C" w14:textId="77777777" w:rsidR="003A587C" w:rsidRPr="006A1892" w:rsidRDefault="003A587C" w:rsidP="00331FED">
                            <w:pPr>
                              <w:spacing w:after="0" w:line="240" w:lineRule="auto"/>
                              <w:ind w:left="0"/>
                              <w:contextualSpacing/>
                              <w:rPr>
                                <w:rFonts w:ascii="Times New Roman" w:hAnsi="Times New Roman"/>
                                <w:b/>
                                <w:sz w:val="16"/>
                              </w:rPr>
                            </w:pPr>
                            <w:r>
                              <w:rPr>
                                <w:rFonts w:ascii="Times New Roman" w:hAnsi="Times New Roman"/>
                                <w:b/>
                                <w:sz w:val="16"/>
                              </w:rPr>
                              <w:t>Yes</w:t>
                            </w:r>
                          </w:p>
                        </w:txbxContent>
                      </v:textbox>
                    </v:shape>
                  </v:group>
                  <v:group id="Group 60" o:spid="_x0000_s1119" style="position:absolute;left:517;top:38042;width:63273;height:31314" coordsize="63273,3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lruwgAAANwAAAAPAAAAZHJzL2Rvd25yZXYueG1sRE9Ni8Iw&#10;EL0L+x/CLHjTtCuKVqOI7IoHEawLi7ehGdtiMylNtq3/3hwEj4/3vdr0phItNa60rCAeRyCIM6tL&#10;zhX8Xn5GcxDOI2usLJOCBznYrD8GK0y07fhMbepzEULYJaig8L5OpHRZQQbd2NbEgbvZxqAPsMml&#10;brAL4aaSX1E0kwZLDg0F1rQrKLun/0bBvsNuO4m/2+P9tntcL9PT3zEmpYaf/XYJwlPv3+KX+6AV&#10;LBZhbTgTjoBcPwEAAP//AwBQSwECLQAUAAYACAAAACEA2+H2y+4AAACFAQAAEwAAAAAAAAAAAAAA&#10;AAAAAAAAW0NvbnRlbnRfVHlwZXNdLnhtbFBLAQItABQABgAIAAAAIQBa9CxbvwAAABUBAAALAAAA&#10;AAAAAAAAAAAAAB8BAABfcmVscy8ucmVsc1BLAQItABQABgAIAAAAIQBrplruwgAAANwAAAAPAAAA&#10;AAAAAAAAAAAAAAcCAABkcnMvZG93bnJldi54bWxQSwUGAAAAAAMAAwC3AAAA9gIAAAAA&#10;">
                    <v:oval id="Oval 14" o:spid="_x0000_s1120" style="position:absolute;left:10524;width:30130;height:6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0VgxgAAANwAAAAPAAAAZHJzL2Rvd25yZXYueG1sRI9Ba8JA&#10;FITvQv/D8gq96aYKYmI20optrRhKtfT8yD6T0OzbkF01/ntXKHgcZuYbJl30phEn6lxtWcHzKAJB&#10;XFhdc6ngZ/82nIFwHlljY5kUXMjBInsYpJhoe+ZvOu18KQKEXYIKKu/bREpXVGTQjWxLHLyD7Qz6&#10;ILtS6g7PAW4aOY6iqTRYc1iosKVlRcXf7mgUvH99xHJyfI0O/JnP8t/t6rKZrJR6euxf5iA89f4e&#10;/m+vtYI4juF2JhwBmV0BAAD//wMAUEsBAi0AFAAGAAgAAAAhANvh9svuAAAAhQEAABMAAAAAAAAA&#10;AAAAAAAAAAAAAFtDb250ZW50X1R5cGVzXS54bWxQSwECLQAUAAYACAAAACEAWvQsW78AAAAVAQAA&#10;CwAAAAAAAAAAAAAAAAAfAQAAX3JlbHMvLnJlbHNQSwECLQAUAAYACAAAACEAq29FYMYAAADcAAAA&#10;DwAAAAAAAAAAAAAAAAAHAgAAZHJzL2Rvd25yZXYueG1sUEsFBgAAAAADAAMAtwAAAPoCAAAAAA==&#10;">
                      <v:textbox>
                        <w:txbxContent>
                          <w:p w14:paraId="2B39D82D" w14:textId="77777777" w:rsidR="003A587C" w:rsidRPr="007D770B" w:rsidRDefault="003A587C" w:rsidP="00331FED">
                            <w:pPr>
                              <w:spacing w:after="0" w:line="240" w:lineRule="auto"/>
                              <w:ind w:left="0"/>
                              <w:jc w:val="center"/>
                              <w:rPr>
                                <w:rFonts w:ascii="Times New Roman" w:hAnsi="Times New Roman"/>
                                <w:sz w:val="18"/>
                                <w:szCs w:val="18"/>
                                <w:lang w:val="en-US"/>
                              </w:rPr>
                            </w:pPr>
                            <w:r w:rsidRPr="007D770B">
                              <w:rPr>
                                <w:rFonts w:ascii="Times New Roman" w:hAnsi="Times New Roman"/>
                                <w:sz w:val="18"/>
                                <w:szCs w:val="18"/>
                                <w:lang w:val="en-US"/>
                              </w:rPr>
                              <w:t>Has the Bank transferred substantially all the risks and rewards?</w:t>
                            </w:r>
                          </w:p>
                        </w:txbxContent>
                      </v:textbox>
                    </v:oval>
                    <v:oval id="Oval 15" o:spid="_x0000_s1121" style="position:absolute;left:10524;top:8971;width:30130;height:6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hUlxwAAAN0AAAAPAAAAZHJzL2Rvd25yZXYueG1sRI9PawJB&#10;DMXvhX6HIQVvdcYKxa6OYot/WqmIWnoOO3F36U5m2Rl1/fbNodBbwnt575fJrPO1ulAbq8AWBn0D&#10;ijgPruLCwtdx+TgCFROywzowWbhRhNn0/m6CmQtX3tPlkAolIRwztFCm1GRax7wkj7EfGmLRTqH1&#10;mGRtC+1avEq4r/WTMc/aY8XSUGJDbyXlP4ezt7DarV/08PxqTvyxHW2/Pxe3zXBhbe+hm49BJerS&#10;v/nv+t0JvjHCL9/ICHr6CwAA//8DAFBLAQItABQABgAIAAAAIQDb4fbL7gAAAIUBAAATAAAAAAAA&#10;AAAAAAAAAAAAAABbQ29udGVudF9UeXBlc10ueG1sUEsBAi0AFAAGAAgAAAAhAFr0LFu/AAAAFQEA&#10;AAsAAAAAAAAAAAAAAAAAHwEAAF9yZWxzLy5yZWxzUEsBAi0AFAAGAAgAAAAhAJOeFSXHAAAA3QAA&#10;AA8AAAAAAAAAAAAAAAAABwIAAGRycy9kb3ducmV2LnhtbFBLBQYAAAAAAwADALcAAAD7AgAAAAA=&#10;">
                      <v:textbox>
                        <w:txbxContent>
                          <w:p w14:paraId="2551B960" w14:textId="77777777" w:rsidR="003A587C" w:rsidRPr="007D770B" w:rsidRDefault="003A587C" w:rsidP="00331FED">
                            <w:pPr>
                              <w:spacing w:after="0" w:line="240" w:lineRule="auto"/>
                              <w:ind w:left="0"/>
                              <w:jc w:val="center"/>
                              <w:rPr>
                                <w:rFonts w:ascii="Times New Roman" w:hAnsi="Times New Roman"/>
                                <w:sz w:val="18"/>
                                <w:szCs w:val="18"/>
                                <w:lang w:val="en-US"/>
                              </w:rPr>
                            </w:pPr>
                            <w:r w:rsidRPr="007D770B">
                              <w:rPr>
                                <w:rFonts w:ascii="Times New Roman" w:hAnsi="Times New Roman"/>
                                <w:sz w:val="18"/>
                                <w:szCs w:val="18"/>
                                <w:lang w:val="en-US"/>
                              </w:rPr>
                              <w:t>Has the Bank substantially retained all risks and rewards?</w:t>
                            </w:r>
                          </w:p>
                        </w:txbxContent>
                      </v:textbox>
                    </v:oval>
                    <v:oval id="Oval 16" o:spid="_x0000_s1122" style="position:absolute;left:10524;top:17942;width:30130;height:6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rC+xAAAAN0AAAAPAAAAZHJzL2Rvd25yZXYueG1sRE/bagIx&#10;EH0X+g9hCr5pooLo1ihVvFRRSm3p87AZd5duJssm6vr3jSD4NodzncmssaW4UO0Lxxp6XQWCOHWm&#10;4EzDz/eqMwLhA7LB0jFpuJGH2fSlNcHEuCt/0eUYMhFD2CeoIQ+hSqT0aU4WfddVxJE7udpiiLDO&#10;pKnxGsNtKftKDaXFgmNDjhUtckr/jmerYf25GcvBea5OvD2MDr/75W03WGrdfm3e30AEasJT/HB/&#10;mDhfqR7cv4knyOk/AAAA//8DAFBLAQItABQABgAIAAAAIQDb4fbL7gAAAIUBAAATAAAAAAAAAAAA&#10;AAAAAAAAAABbQ29udGVudF9UeXBlc10ueG1sUEsBAi0AFAAGAAgAAAAhAFr0LFu/AAAAFQEAAAsA&#10;AAAAAAAAAAAAAAAAHwEAAF9yZWxzLy5yZWxzUEsBAi0AFAAGAAgAAAAhAPzSsL7EAAAA3QAAAA8A&#10;AAAAAAAAAAAAAAAABwIAAGRycy9kb3ducmV2LnhtbFBLBQYAAAAAAwADALcAAAD4AgAAAAA=&#10;">
                      <v:textbox>
                        <w:txbxContent>
                          <w:p w14:paraId="256A110C" w14:textId="77777777" w:rsidR="003A587C" w:rsidRPr="007D770B" w:rsidRDefault="003A587C" w:rsidP="00331FED">
                            <w:pPr>
                              <w:spacing w:after="0" w:line="240" w:lineRule="auto"/>
                              <w:ind w:left="0"/>
                              <w:jc w:val="center"/>
                              <w:rPr>
                                <w:rFonts w:ascii="Times New Roman" w:hAnsi="Times New Roman"/>
                                <w:sz w:val="18"/>
                                <w:szCs w:val="18"/>
                                <w:lang w:val="en-US"/>
                              </w:rPr>
                            </w:pPr>
                            <w:r w:rsidRPr="007D770B">
                              <w:rPr>
                                <w:rFonts w:ascii="Times New Roman" w:hAnsi="Times New Roman"/>
                                <w:sz w:val="18"/>
                                <w:szCs w:val="18"/>
                                <w:lang w:val="en-US"/>
                              </w:rPr>
                              <w:t>Has the Bank retained control over the asset?</w:t>
                            </w:r>
                          </w:p>
                        </w:txbxContent>
                      </v:textbox>
                    </v:oval>
                    <v:shape id="Text Box 17" o:spid="_x0000_s1123" type="#_x0000_t202" style="position:absolute;left:5175;top:27518;width:44425;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blMwAAAAN0AAAAPAAAAZHJzL2Rvd25yZXYueG1sRE/JasMw&#10;EL0X8g9iCrk1Um0wxbES2kAh5NbUl9wGa7wQa2QkNXb+PioUepvHW6faL3YUN/JhcKzhdaNAEDfO&#10;DNxpqL8/X95AhIhscHRMGu4UYL9bPVVYGjfzF93OsRMphEOJGvoYp1LK0PRkMWzcRJy41nmLMUHf&#10;SeNxTuF2lJlShbQ4cGrocaJDT831/GM1HIuPeKHanEye5W6uZePbMWi9fl7etyAiLfFf/Oc+mjRf&#10;qQx+v0knyN0DAAD//wMAUEsBAi0AFAAGAAgAAAAhANvh9svuAAAAhQEAABMAAAAAAAAAAAAAAAAA&#10;AAAAAFtDb250ZW50X1R5cGVzXS54bWxQSwECLQAUAAYACAAAACEAWvQsW78AAAAVAQAACwAAAAAA&#10;AAAAAAAAAAAfAQAAX3JlbHMvLnJlbHNQSwECLQAUAAYACAAAACEAbwG5TMAAAADdAAAADwAAAAAA&#10;AAAAAAAAAAAHAgAAZHJzL2Rvd25yZXYueG1sUEsFBgAAAAADAAMAtwAAAPQCAAAAAA==&#10;" strokeweight=".5pt">
                      <v:textbox>
                        <w:txbxContent>
                          <w:p w14:paraId="76C8A0C3" w14:textId="77777777" w:rsidR="003A587C" w:rsidRPr="007D770B" w:rsidRDefault="003A587C" w:rsidP="00331FED">
                            <w:pPr>
                              <w:spacing w:after="0" w:line="240" w:lineRule="auto"/>
                              <w:ind w:left="0"/>
                              <w:contextualSpacing/>
                              <w:rPr>
                                <w:rFonts w:ascii="Times New Roman" w:hAnsi="Times New Roman"/>
                                <w:sz w:val="18"/>
                                <w:lang w:val="en-US"/>
                              </w:rPr>
                            </w:pPr>
                            <w:r w:rsidRPr="007D770B">
                              <w:rPr>
                                <w:rFonts w:ascii="Times New Roman" w:hAnsi="Times New Roman"/>
                                <w:sz w:val="18"/>
                                <w:lang w:val="en-US"/>
                              </w:rPr>
                              <w:t>The asset continues to be recognized to the extent of continuing involvement in the asset</w:t>
                            </w:r>
                          </w:p>
                        </w:txbxContent>
                      </v:textbox>
                    </v:shape>
                    <v:shape id="Text Box 18" o:spid="_x0000_s1124" type="#_x0000_t202" style="position:absolute;left:45202;top:20013;width:17939;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RzXvwAAAN0AAAAPAAAAZHJzL2Rvd25yZXYueG1sRE9Ni8Iw&#10;EL0L+x/CLOzNJmtBpGsUXRBkb2ov3oZmbMs2k5JEW/+9EQRv83ifs1yPthM38qF1rOE7UyCIK2da&#10;rjWUp910ASJEZIOdY9JwpwDr1cdkiYVxAx/odoy1SCEcCtTQxNgXUoaqIYshcz1x4i7OW4wJ+loa&#10;j0MKt52cKTWXFltODQ329NtQ9X+8Wg37+TaeqTR/Jp/lbihl5S9d0Prrc9z8gIg0xrf45d6bNF+p&#10;HJ7fpBPk6gEAAP//AwBQSwECLQAUAAYACAAAACEA2+H2y+4AAACFAQAAEwAAAAAAAAAAAAAAAAAA&#10;AAAAW0NvbnRlbnRfVHlwZXNdLnhtbFBLAQItABQABgAIAAAAIQBa9CxbvwAAABUBAAALAAAAAAAA&#10;AAAAAAAAAB8BAABfcmVscy8ucmVsc1BLAQItABQABgAIAAAAIQAATRzXvwAAAN0AAAAPAAAAAAAA&#10;AAAAAAAAAAcCAABkcnMvZG93bnJldi54bWxQSwUGAAAAAAMAAwC3AAAA8wIAAAAA&#10;" strokeweight=".5pt">
                      <v:textbox>
                        <w:txbxContent>
                          <w:p w14:paraId="7CCEEBC7" w14:textId="77777777" w:rsidR="003A587C" w:rsidRPr="00C60EB2" w:rsidRDefault="003A587C" w:rsidP="00331FED">
                            <w:pPr>
                              <w:spacing w:after="0" w:line="240" w:lineRule="auto"/>
                              <w:ind w:left="0"/>
                              <w:contextualSpacing/>
                              <w:rPr>
                                <w:rFonts w:ascii="Times New Roman" w:hAnsi="Times New Roman"/>
                                <w:sz w:val="18"/>
                              </w:rPr>
                            </w:pPr>
                            <w:r>
                              <w:rPr>
                                <w:rFonts w:ascii="Times New Roman" w:hAnsi="Times New Roman"/>
                                <w:sz w:val="18"/>
                              </w:rPr>
                              <w:t>Derecognize the asset</w:t>
                            </w:r>
                          </w:p>
                        </w:txbxContent>
                      </v:textbox>
                    </v:shape>
                    <v:shape id="Text Box 19" o:spid="_x0000_s1125" type="#_x0000_t202" style="position:absolute;left:45116;top:11214;width:18029;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ISjvwAAAN0AAAAPAAAAZHJzL2Rvd25yZXYueG1sRE9Ni8Iw&#10;EL0L/ocwgjdN1EWWahRdWBBvq73sbWjGtthMShJt/fdGELzN433OetvbRtzJh9qxhtlUgSAunKm5&#10;1JCffyffIEJENtg4Jg0PCrDdDAdrzIzr+I/up1iKFMIhQw1VjG0mZSgqshimriVO3MV5izFBX0rj&#10;sUvhtpFzpZbSYs2pocKWfioqrqeb1XBY7uM/5eZoFvOF63JZ+EsTtB6P+t0KRKQ+fsRv98Gk+Up9&#10;weubdILcPAEAAP//AwBQSwECLQAUAAYACAAAACEA2+H2y+4AAACFAQAAEwAAAAAAAAAAAAAAAAAA&#10;AAAAW0NvbnRlbnRfVHlwZXNdLnhtbFBLAQItABQABgAIAAAAIQBa9CxbvwAAABUBAAALAAAAAAAA&#10;AAAAAAAAAB8BAABfcmVscy8ucmVsc1BLAQItABQABgAIAAAAIQCPpISjvwAAAN0AAAAPAAAAAAAA&#10;AAAAAAAAAAcCAABkcnMvZG93bnJldi54bWxQSwUGAAAAAAMAAwC3AAAA8wIAAAAA&#10;" strokeweight=".5pt">
                      <v:textbox>
                        <w:txbxContent>
                          <w:p w14:paraId="6B87CA30" w14:textId="77777777" w:rsidR="003A587C" w:rsidRPr="007D770B" w:rsidRDefault="003A587C" w:rsidP="00331FED">
                            <w:pPr>
                              <w:spacing w:after="0" w:line="240" w:lineRule="auto"/>
                              <w:ind w:left="0"/>
                              <w:contextualSpacing/>
                              <w:rPr>
                                <w:rFonts w:ascii="Times New Roman" w:hAnsi="Times New Roman"/>
                                <w:sz w:val="18"/>
                                <w:lang w:val="en-US"/>
                              </w:rPr>
                            </w:pPr>
                            <w:r w:rsidRPr="007D770B">
                              <w:rPr>
                                <w:rFonts w:ascii="Times New Roman" w:hAnsi="Times New Roman"/>
                                <w:sz w:val="18"/>
                                <w:lang w:val="en-US"/>
                              </w:rPr>
                              <w:t>The asset continues to be recognized</w:t>
                            </w:r>
                          </w:p>
                        </w:txbxContent>
                      </v:textbox>
                    </v:shape>
                    <v:shape id="Text Box 21" o:spid="_x0000_s1126" type="#_x0000_t202" style="position:absolute;left:45116;top:2415;width:17938;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CE4vwAAAN0AAAAPAAAAZHJzL2Rvd25yZXYueG1sRE9Ni8Iw&#10;EL0L/ocwgjdNVFaWahRdWBBvq73sbWjGtthMShJt/fdGELzN433OetvbRtzJh9qxhtlUgSAunKm5&#10;1JCffyffIEJENtg4Jg0PCrDdDAdrzIzr+I/up1iKFMIhQw1VjG0mZSgqshimriVO3MV5izFBX0rj&#10;sUvhtpFzpZbSYs2pocKWfioqrqeb1XBY7uM/5eZoFvOF63JZ+EsTtB6P+t0KRKQ+fsRv98Gk+Up9&#10;weubdILcPAEAAP//AwBQSwECLQAUAAYACAAAACEA2+H2y+4AAACFAQAAEwAAAAAAAAAAAAAAAAAA&#10;AAAAW0NvbnRlbnRfVHlwZXNdLnhtbFBLAQItABQABgAIAAAAIQBa9CxbvwAAABUBAAALAAAAAAAA&#10;AAAAAAAAAB8BAABfcmVscy8ucmVsc1BLAQItABQABgAIAAAAIQDg6CE4vwAAAN0AAAAPAAAAAAAA&#10;AAAAAAAAAAcCAABkcnMvZG93bnJldi54bWxQSwUGAAAAAAMAAwC3AAAA8wIAAAAA&#10;" strokeweight=".5pt">
                      <v:textbox>
                        <w:txbxContent>
                          <w:p w14:paraId="54B769F1" w14:textId="77777777" w:rsidR="003A587C" w:rsidRPr="00C60EB2" w:rsidRDefault="003A587C" w:rsidP="00331FED">
                            <w:pPr>
                              <w:spacing w:after="0" w:line="240" w:lineRule="auto"/>
                              <w:ind w:left="0"/>
                              <w:contextualSpacing/>
                              <w:rPr>
                                <w:rFonts w:ascii="Times New Roman" w:hAnsi="Times New Roman"/>
                                <w:sz w:val="18"/>
                              </w:rPr>
                            </w:pPr>
                            <w:r>
                              <w:rPr>
                                <w:rFonts w:ascii="Times New Roman" w:hAnsi="Times New Roman"/>
                                <w:sz w:val="18"/>
                              </w:rPr>
                              <w:t>Derecognize the asset</w:t>
                            </w:r>
                          </w:p>
                        </w:txbxContent>
                      </v:textbox>
                    </v:shape>
                    <v:shape id="Text Box 30" o:spid="_x0000_s1127" type="#_x0000_t202" style="position:absolute;left:40716;top:17511;width:4141;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cxKwwAAAN0AAAAPAAAAZHJzL2Rvd25yZXYueG1sRI/NasMw&#10;EITvgbyD2EJviZxSSnAjm1II9FRofnxerK1kaq2MpMZ2nr4KBHrbZWa+nd3Vk+vFhULsPCvYrAsQ&#10;xK3XHRsFp+N+tQURE7LG3jMpmClCXS0XOyy1H/mLLodkRIZwLFGBTWkopYytJYdx7QfirH374DDl&#10;NRipA44Z7nr5VBQv0mHH+YLFgd4ttT+HX6egMe7anDdDsNr1z/x5nY8n3yn1+DC9vYJINKV/8z39&#10;oXP9TITbN3kEWf0BAAD//wMAUEsBAi0AFAAGAAgAAAAhANvh9svuAAAAhQEAABMAAAAAAAAAAAAA&#10;AAAAAAAAAFtDb250ZW50X1R5cGVzXS54bWxQSwECLQAUAAYACAAAACEAWvQsW78AAAAVAQAACwAA&#10;AAAAAAAAAAAAAAAfAQAAX3JlbHMvLnJlbHNQSwECLQAUAAYACAAAACEAPSHMSsMAAADdAAAADwAA&#10;AAAAAAAAAAAAAAAHAgAAZHJzL2Rvd25yZXYueG1sUEsFBgAAAAADAAMAtwAAAPcCAAAAAA==&#10;" stroked="f" strokeweight=".5pt">
                      <v:textbox>
                        <w:txbxContent>
                          <w:p w14:paraId="05DF0571" w14:textId="77777777" w:rsidR="003A587C" w:rsidRPr="006A1892" w:rsidRDefault="003A587C" w:rsidP="00331FED">
                            <w:pPr>
                              <w:spacing w:after="0" w:line="240" w:lineRule="auto"/>
                              <w:ind w:left="0"/>
                              <w:contextualSpacing/>
                              <w:rPr>
                                <w:rFonts w:ascii="Times New Roman" w:hAnsi="Times New Roman"/>
                                <w:b/>
                                <w:sz w:val="16"/>
                              </w:rPr>
                            </w:pPr>
                            <w:r>
                              <w:rPr>
                                <w:rFonts w:ascii="Times New Roman" w:hAnsi="Times New Roman"/>
                                <w:b/>
                                <w:sz w:val="16"/>
                              </w:rPr>
                              <w:t>No</w:t>
                            </w:r>
                          </w:p>
                        </w:txbxContent>
                      </v:textbox>
                    </v:shape>
                    <v:shape id="Text Box 31" o:spid="_x0000_s1128" type="#_x0000_t202" style="position:absolute;left:41061;top:345;width:3188;height:2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WnRwQAAAN0AAAAPAAAAZHJzL2Rvd25yZXYueG1sRE/fa8Iw&#10;EH4f+D+EE/Y2E8eYozOKCIM9Ddaqz0dzNsXmUpKsrf71y2Dg2318P2+9nVwnBgqx9axhuVAgiGtv&#10;Wm40HKqPpzcQMSEb7DyThitF2G5mD2ssjB/5m4YyNSKHcCxQg02pL6SMtSWHceF74sydfXCYMgyN&#10;NAHHHO46+azUq3TYcm6w2NPeUn0pf5yGU+Nup+OyD9a47oW/btfq4FutH+fT7h1Eoindxf/uT5Pn&#10;K7WCv2/yCXLzCwAA//8DAFBLAQItABQABgAIAAAAIQDb4fbL7gAAAIUBAAATAAAAAAAAAAAAAAAA&#10;AAAAAABbQ29udGVudF9UeXBlc10ueG1sUEsBAi0AFAAGAAgAAAAhAFr0LFu/AAAAFQEAAAsAAAAA&#10;AAAAAAAAAAAAHwEAAF9yZWxzLy5yZWxzUEsBAi0AFAAGAAgAAAAhAFJtadHBAAAA3QAAAA8AAAAA&#10;AAAAAAAAAAAABwIAAGRycy9kb3ducmV2LnhtbFBLBQYAAAAAAwADALcAAAD1AgAAAAA=&#10;" stroked="f" strokeweight=".5pt">
                      <v:textbox>
                        <w:txbxContent>
                          <w:p w14:paraId="5835B9CB" w14:textId="77777777" w:rsidR="003A587C" w:rsidRPr="006A1892" w:rsidRDefault="003A587C" w:rsidP="00331FED">
                            <w:pPr>
                              <w:spacing w:after="0" w:line="240" w:lineRule="auto"/>
                              <w:ind w:left="0"/>
                              <w:contextualSpacing/>
                              <w:rPr>
                                <w:rFonts w:ascii="Times New Roman" w:hAnsi="Times New Roman"/>
                                <w:b/>
                                <w:sz w:val="16"/>
                              </w:rPr>
                            </w:pPr>
                            <w:r>
                              <w:rPr>
                                <w:rFonts w:ascii="Times New Roman" w:hAnsi="Times New Roman"/>
                                <w:b/>
                                <w:sz w:val="16"/>
                              </w:rPr>
                              <w:t>Yes</w:t>
                            </w:r>
                          </w:p>
                        </w:txbxContent>
                      </v:textbox>
                    </v:shape>
                    <v:shape id="Text Box 32" o:spid="_x0000_s1129" type="#_x0000_t202" style="position:absolute;left:40975;top:9057;width:3188;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v2jwwAAAN0AAAAPAAAAZHJzL2Rvd25yZXYueG1sRI9Ba8Mw&#10;DIXvg/0Ho8Fuq50xykjrhlIY7DRY2/UsYi0Oi+Vge23aX18dCr1JvKf3Pi2bKQzqSCn3kS1UMwOK&#10;uI2u587Cfvfx8g4qF2SHQ2SycKYMzerxYYm1iyf+puO2dEpCONdowZcy1lrn1lPAPIsjsWi/MQUs&#10;sqZOu4QnCQ+DfjVmrgP2LA0eR9p4av+2/8HCoQuXw081Ju/C8MZfl/NuH3trn5+m9QJUoanczbfr&#10;Tyf4xgiufCMj6NUVAAD//wMAUEsBAi0AFAAGAAgAAAAhANvh9svuAAAAhQEAABMAAAAAAAAAAAAA&#10;AAAAAAAAAFtDb250ZW50X1R5cGVzXS54bWxQSwECLQAUAAYACAAAACEAWvQsW78AAAAVAQAACwAA&#10;AAAAAAAAAAAAAAAfAQAAX3JlbHMvLnJlbHNQSwECLQAUAAYACAAAACEAI/L9o8MAAADdAAAADwAA&#10;AAAAAAAAAAAAAAAHAgAAZHJzL2Rvd25yZXYueG1sUEsFBgAAAAADAAMAtwAAAPcCAAAAAA==&#10;" stroked="f" strokeweight=".5pt">
                      <v:textbox>
                        <w:txbxContent>
                          <w:p w14:paraId="59133BB5" w14:textId="77777777" w:rsidR="003A587C" w:rsidRPr="006A1892" w:rsidRDefault="003A587C" w:rsidP="00331FED">
                            <w:pPr>
                              <w:spacing w:after="0" w:line="240" w:lineRule="auto"/>
                              <w:ind w:left="0"/>
                              <w:contextualSpacing/>
                              <w:rPr>
                                <w:rFonts w:ascii="Times New Roman" w:hAnsi="Times New Roman"/>
                                <w:b/>
                                <w:sz w:val="16"/>
                              </w:rPr>
                            </w:pPr>
                            <w:r>
                              <w:rPr>
                                <w:rFonts w:ascii="Times New Roman" w:hAnsi="Times New Roman"/>
                                <w:b/>
                                <w:sz w:val="16"/>
                              </w:rPr>
                              <w:t>Yes</w:t>
                            </w:r>
                          </w:p>
                        </w:txbxContent>
                      </v:textbox>
                    </v:shape>
                    <v:shape id="Text Box 34" o:spid="_x0000_s1130" type="#_x0000_t202" style="position:absolute;left:12853;top:24499;width:3188;height:2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lg4wQAAAN0AAAAPAAAAZHJzL2Rvd25yZXYueG1sRE/fa8Iw&#10;EH4f+D+EE/Y2E8cYrjOKCIM9Ddaqz0dzNsXmUpKsrf71y2Dg2318P2+9nVwnBgqx9axhuVAgiGtv&#10;Wm40HKqPpxWImJANdp5Jw5UibDezhzUWxo/8TUOZGpFDOBaowabUF1LG2pLDuPA9cebOPjhMGYZG&#10;moBjDnedfFbqVTpsOTdY7Glvqb6UP07DqXG303HZB2tc98Jft2t18K3Wj/Np9w4i0ZTu4n/3p8nz&#10;lXqDv2/yCXLzCwAA//8DAFBLAQItABQABgAIAAAAIQDb4fbL7gAAAIUBAAATAAAAAAAAAAAAAAAA&#10;AAAAAABbQ29udGVudF9UeXBlc10ueG1sUEsBAi0AFAAGAAgAAAAhAFr0LFu/AAAAFQEAAAsAAAAA&#10;AAAAAAAAAAAAHwEAAF9yZWxzLy5yZWxzUEsBAi0AFAAGAAgAAAAhAEy+WDjBAAAA3QAAAA8AAAAA&#10;AAAAAAAAAAAABwIAAGRycy9kb3ducmV2LnhtbFBLBQYAAAAAAwADALcAAAD1AgAAAAA=&#10;" stroked="f" strokeweight=".5pt">
                      <v:textbox>
                        <w:txbxContent>
                          <w:p w14:paraId="0EF9C463" w14:textId="77777777" w:rsidR="003A587C" w:rsidRPr="006A1892" w:rsidRDefault="003A587C" w:rsidP="00331FED">
                            <w:pPr>
                              <w:spacing w:after="0" w:line="240" w:lineRule="auto"/>
                              <w:ind w:left="0"/>
                              <w:contextualSpacing/>
                              <w:rPr>
                                <w:rFonts w:ascii="Times New Roman" w:hAnsi="Times New Roman"/>
                                <w:b/>
                                <w:sz w:val="16"/>
                              </w:rPr>
                            </w:pPr>
                            <w:r>
                              <w:rPr>
                                <w:rFonts w:ascii="Times New Roman" w:hAnsi="Times New Roman"/>
                                <w:b/>
                                <w:sz w:val="16"/>
                              </w:rPr>
                              <w:t>Yes</w:t>
                            </w:r>
                          </w:p>
                        </w:txbxContent>
                      </v:textbox>
                    </v:shape>
                    <v:shape id="Straight Arrow Connector 38" o:spid="_x0000_s1131" type="#_x0000_t32" style="position:absolute;left:24930;top:6901;width:0;height:20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o+RxgAAAN0AAAAPAAAAZHJzL2Rvd25yZXYueG1sRI9Ba8Mw&#10;DIXvg/4Ho8IuY3WSsq2kdcsobCvs1G6wq4iVODSWQ+yl2b+fDoXeJN7Te582u8l3aqQhtoEN5IsM&#10;FHEVbMuNge+vt8cVqJiQLXaBycAfRdhtZ3cbLG248JHGU2qUhHAs0YBLqS+1jpUjj3ERemLR6jB4&#10;TLIOjbYDXiTcd7rIsmftsWVpcNjT3lF1Pv16A3VhKX84/7iPlyes95/LYhy7d2Pu59PrGlSiKd3M&#10;1+uDFfwsF375RkbQ238AAAD//wMAUEsBAi0AFAAGAAgAAAAhANvh9svuAAAAhQEAABMAAAAAAAAA&#10;AAAAAAAAAAAAAFtDb250ZW50X1R5cGVzXS54bWxQSwECLQAUAAYACAAAACEAWvQsW78AAAAVAQAA&#10;CwAAAAAAAAAAAAAAAAAfAQAAX3JlbHMvLnJlbHNQSwECLQAUAAYACAAAACEAwfaPkcYAAADdAAAA&#10;DwAAAAAAAAAAAAAAAAAHAgAAZHJzL2Rvd25yZXYueG1sUEsFBgAAAAADAAMAtwAAAPoCAAAAAA==&#10;">
                      <v:stroke endarrow="open"/>
                    </v:shape>
                    <v:shape id="Straight Arrow Connector 39" o:spid="_x0000_s1132" type="#_x0000_t32" style="position:absolute;left:24930;top:15872;width:0;height:2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ioKwgAAAN0AAAAPAAAAZHJzL2Rvd25yZXYueG1sRE9Na8JA&#10;EL0X/A/LFLyUuklEW1JXEaEqeNIWeh2yk2wwOxuy2xj/vSsI3ubxPmexGmwjeup87VhBOklAEBdO&#10;11wp+P35fv8E4QOyxsYxKbiSh9Vy9LLAXLsLH6k/hUrEEPY5KjAhtLmUvjBk0U9cSxy50nUWQ4Rd&#10;JXWHlxhuG5klyVxarDk2GGxpY6g4n/6tgjLTlL6d/8zuY4bl5jDN+r7ZKjV+HdZfIAIN4Sl+uPc6&#10;zk/SFO7fxBPk8gYAAP//AwBQSwECLQAUAAYACAAAACEA2+H2y+4AAACFAQAAEwAAAAAAAAAAAAAA&#10;AAAAAAAAW0NvbnRlbnRfVHlwZXNdLnhtbFBLAQItABQABgAIAAAAIQBa9CxbvwAAABUBAAALAAAA&#10;AAAAAAAAAAAAAB8BAABfcmVscy8ucmVsc1BLAQItABQABgAIAAAAIQCuuioKwgAAAN0AAAAPAAAA&#10;AAAAAAAAAAAAAAcCAABkcnMvZG93bnJldi54bWxQSwUGAAAAAAMAAwC3AAAA9gIAAAAA&#10;">
                      <v:stroke endarrow="open"/>
                    </v:shape>
                    <v:shape id="Straight Arrow Connector 41" o:spid="_x0000_s1133" type="#_x0000_t32" style="position:absolute;left:40802;top:3623;width:4400;height: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LR9wgAAAN0AAAAPAAAAZHJzL2Rvd25yZXYueG1sRE9Na8JA&#10;EL0X/A/LFLyUuklEW1JXEaEqeNIWeh2yk2wwOxuy2xj/vSsI3ubxPmexGmwjeup87VhBOklAEBdO&#10;11wp+P35fv8E4QOyxsYxKbiSh9Vy9LLAXLsLH6k/hUrEEPY5KjAhtLmUvjBk0U9cSxy50nUWQ4Rd&#10;JXWHlxhuG5klyVxarDk2GGxpY6g4n/6tgjLTlL6d/8zuY4bl5jDN+r7ZKjV+HdZfIAIN4Sl+uPc6&#10;zk/SDO7fxBPk8gYAAP//AwBQSwECLQAUAAYACAAAACEA2+H2y+4AAACFAQAAEwAAAAAAAAAAAAAA&#10;AAAAAAAAW0NvbnRlbnRfVHlwZXNdLnhtbFBLAQItABQABgAIAAAAIQBa9CxbvwAAABUBAAALAAAA&#10;AAAAAAAAAAAAAB8BAABfcmVscy8ucmVsc1BLAQItABQABgAIAAAAIQBeaLR9wgAAAN0AAAAPAAAA&#10;AAAAAAAAAAAAAAcCAABkcnMvZG93bnJldi54bWxQSwUGAAAAAAMAAwC3AAAA9gIAAAAA&#10;">
                      <v:stroke endarrow="open"/>
                    </v:shape>
                    <v:shape id="Straight Arrow Connector 44" o:spid="_x0000_s1134" type="#_x0000_t32" style="position:absolute;left:24930;top:24844;width:0;height:26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BHmwwAAAN0AAAAPAAAAZHJzL2Rvd25yZXYueG1sRE9La8JA&#10;EL4X/A/LCL0U3SRSlegqItQWevIBXofsJBvMzobsGuO/7xYKvc3H95z1drCN6KnztWMF6TQBQVw4&#10;XXOl4HL+mCxB+ICssXFMCp7kYbsZvawx1+7BR+pPoRIxhH2OCkwIbS6lLwxZ9FPXEkeudJ3FEGFX&#10;Sd3hI4bbRmZJMpcWa44NBlvaGypup7tVUGaa0rfb1Xwu3rHcf8+yvm8OSr2Oh90KRKAh/Iv/3F86&#10;zk/SGfx+E0+Qmx8AAAD//wMAUEsBAi0AFAAGAAgAAAAhANvh9svuAAAAhQEAABMAAAAAAAAAAAAA&#10;AAAAAAAAAFtDb250ZW50X1R5cGVzXS54bWxQSwECLQAUAAYACAAAACEAWvQsW78AAAAVAQAACwAA&#10;AAAAAAAAAAAAAAAfAQAAX3JlbHMvLnJlbHNQSwECLQAUAAYACAAAACEAMSQR5sMAAADdAAAADwAA&#10;AAAAAAAAAAAAAAAHAgAAZHJzL2Rvd25yZXYueG1sUEsFBgAAAAADAAMAtwAAAPcCAAAAAA==&#10;">
                      <v:stroke endarrow="open"/>
                    </v:shape>
                    <v:shape id="Text Box 52" o:spid="_x0000_s1135" type="#_x0000_t202" style="position:absolute;top:2415;width:6038;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mF7wQAAAN0AAAAPAAAAZHJzL2Rvd25yZXYueG1sRE9NawIx&#10;EL0X/A9hhN662S1SymoUEYSeClW752EzJoubyZJEXf31jSD0No/3OYvV6HpxoRA7zwqqogRB3Hrd&#10;sVFw2G/fPkHEhKyx90wKbhRhtZy8LLDW/so/dNklI3IIxxoV2JSGWsrYWnIYCz8QZ+7og8OUYTBS&#10;B7zmcNfL97L8kA47zg0WB9pYak+7s1PQGHdvfqshWO36GX/fb/uD75R6nY7rOYhEY/oXP91fOs8v&#10;qxk8vsknyOUfAAAA//8DAFBLAQItABQABgAIAAAAIQDb4fbL7gAAAIUBAAATAAAAAAAAAAAAAAAA&#10;AAAAAABbQ29udGVudF9UeXBlc10ueG1sUEsBAi0AFAAGAAgAAAAhAFr0LFu/AAAAFQEAAAsAAAAA&#10;AAAAAAAAAAAAHwEAAF9yZWxzLy5yZWxzUEsBAi0AFAAGAAgAAAAhACdmYXvBAAAA3QAAAA8AAAAA&#10;AAAAAAAAAAAABwIAAGRycy9kb3ducmV2LnhtbFBLBQYAAAAAAwADALcAAAD1AgAAAAA=&#10;" stroked="f" strokeweight=".5pt">
                      <v:textbox>
                        <w:txbxContent>
                          <w:p w14:paraId="6D9F9117" w14:textId="77777777" w:rsidR="003A587C" w:rsidRPr="002C4652" w:rsidRDefault="003A587C" w:rsidP="00331FED">
                            <w:pPr>
                              <w:spacing w:after="0" w:line="240" w:lineRule="auto"/>
                              <w:ind w:left="0"/>
                              <w:contextualSpacing/>
                              <w:rPr>
                                <w:rFonts w:ascii="Times New Roman" w:hAnsi="Times New Roman"/>
                                <w:b/>
                              </w:rPr>
                            </w:pPr>
                            <w:r>
                              <w:rPr>
                                <w:rFonts w:ascii="Times New Roman" w:hAnsi="Times New Roman"/>
                                <w:b/>
                              </w:rPr>
                              <w:t>Step 5</w:t>
                            </w:r>
                          </w:p>
                        </w:txbxContent>
                      </v:textbox>
                    </v:shape>
                    <v:line id="Straight Connector 56" o:spid="_x0000_s1136" style="position:absolute;visibility:visible;mso-wrap-style:square" from="776,31313" to="63273,31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GNAwwAAAN0AAAAPAAAAZHJzL2Rvd25yZXYueG1sRE9Na8JA&#10;EL0X/A/LCN7qxkqLRFcRwVp6M4rgbciOSUx2Nu5uNP33bqHQ2zze5yxWvWnEnZyvLCuYjBMQxLnV&#10;FRcKjoft6wyED8gaG8uk4Ic8rJaDlwWm2j54T/csFCKGsE9RQRlCm0rp85IM+rFtiSN3sc5giNAV&#10;Ujt8xHDTyLck+ZAGK44NJba0KSmvs84oOHUZn6/11jXYfe52l9Ot9tNvpUbDfj0HEagP/+I/95eO&#10;85PJO/x+E0+QyycAAAD//wMAUEsBAi0AFAAGAAgAAAAhANvh9svuAAAAhQEAABMAAAAAAAAAAAAA&#10;AAAAAAAAAFtDb250ZW50X1R5cGVzXS54bWxQSwECLQAUAAYACAAAACEAWvQsW78AAAAVAQAACwAA&#10;AAAAAAAAAAAAAAAfAQAAX3JlbHMvLnJlbHNQSwECLQAUAAYACAAAACEAVXhjQMMAAADdAAAADwAA&#10;AAAAAAAAAAAAAAAHAgAAZHJzL2Rvd25yZXYueG1sUEsFBgAAAAADAAMAtwAAAPcCAAAAAA==&#10;" strokeweight="1.5pt"/>
                  </v:group>
                </v:group>
                <w10:anchorlock/>
              </v:group>
            </w:pict>
          </mc:Fallback>
        </mc:AlternateContent>
      </w:r>
    </w:p>
    <w:p w14:paraId="430DE286" w14:textId="77777777" w:rsidR="00905915" w:rsidRDefault="00905915" w:rsidP="00331FED">
      <w:pPr>
        <w:pStyle w:val="21"/>
        <w:tabs>
          <w:tab w:val="clear" w:pos="1134"/>
        </w:tabs>
        <w:spacing w:after="240"/>
        <w:ind w:firstLine="0"/>
        <w:rPr>
          <w:b/>
          <w:i/>
          <w:sz w:val="20"/>
          <w:szCs w:val="20"/>
        </w:rPr>
      </w:pPr>
    </w:p>
    <w:p w14:paraId="06B80DC4" w14:textId="77777777" w:rsidR="00905915" w:rsidRDefault="00905915" w:rsidP="00331FED">
      <w:pPr>
        <w:pStyle w:val="21"/>
        <w:tabs>
          <w:tab w:val="clear" w:pos="1134"/>
        </w:tabs>
        <w:spacing w:after="240"/>
        <w:ind w:firstLine="0"/>
        <w:rPr>
          <w:b/>
          <w:i/>
          <w:sz w:val="20"/>
          <w:szCs w:val="20"/>
        </w:rPr>
      </w:pPr>
    </w:p>
    <w:p w14:paraId="5DF4DEEF" w14:textId="77777777" w:rsidR="00905915" w:rsidRDefault="00905915" w:rsidP="00331FED">
      <w:pPr>
        <w:pStyle w:val="21"/>
        <w:tabs>
          <w:tab w:val="clear" w:pos="1134"/>
        </w:tabs>
        <w:spacing w:after="240"/>
        <w:ind w:firstLine="0"/>
        <w:rPr>
          <w:b/>
          <w:i/>
          <w:sz w:val="20"/>
          <w:szCs w:val="20"/>
        </w:rPr>
      </w:pPr>
    </w:p>
    <w:p w14:paraId="161962A6" w14:textId="77777777" w:rsidR="00905915" w:rsidRDefault="00905915" w:rsidP="00331FED">
      <w:pPr>
        <w:pStyle w:val="21"/>
        <w:tabs>
          <w:tab w:val="clear" w:pos="1134"/>
        </w:tabs>
        <w:spacing w:after="240"/>
        <w:ind w:firstLine="0"/>
        <w:rPr>
          <w:b/>
          <w:i/>
          <w:sz w:val="20"/>
          <w:szCs w:val="20"/>
        </w:rPr>
      </w:pPr>
    </w:p>
    <w:p w14:paraId="66EA3C64" w14:textId="77777777" w:rsidR="00905915" w:rsidRDefault="00905915" w:rsidP="00331FED">
      <w:pPr>
        <w:pStyle w:val="21"/>
        <w:tabs>
          <w:tab w:val="clear" w:pos="1134"/>
        </w:tabs>
        <w:spacing w:after="240"/>
        <w:ind w:firstLine="0"/>
        <w:rPr>
          <w:b/>
          <w:i/>
          <w:sz w:val="20"/>
          <w:szCs w:val="20"/>
        </w:rPr>
      </w:pPr>
    </w:p>
    <w:p w14:paraId="431BAA1C" w14:textId="77777777" w:rsidR="00905915" w:rsidRDefault="00905915" w:rsidP="00331FED">
      <w:pPr>
        <w:pStyle w:val="21"/>
        <w:tabs>
          <w:tab w:val="clear" w:pos="1134"/>
        </w:tabs>
        <w:spacing w:after="240"/>
        <w:ind w:firstLine="0"/>
        <w:rPr>
          <w:b/>
          <w:i/>
          <w:sz w:val="20"/>
          <w:szCs w:val="20"/>
        </w:rPr>
      </w:pPr>
    </w:p>
    <w:p w14:paraId="417FA037" w14:textId="55DEDA4E" w:rsidR="00331FED" w:rsidRPr="007D770B" w:rsidRDefault="00331FED" w:rsidP="00331FED">
      <w:pPr>
        <w:pStyle w:val="21"/>
        <w:tabs>
          <w:tab w:val="clear" w:pos="1134"/>
        </w:tabs>
        <w:spacing w:after="240"/>
        <w:ind w:firstLine="0"/>
        <w:rPr>
          <w:sz w:val="20"/>
          <w:szCs w:val="20"/>
          <w:lang w:val="en-US"/>
        </w:rPr>
      </w:pPr>
      <w:r w:rsidRPr="007D770B">
        <w:rPr>
          <w:b/>
          <w:i/>
          <w:sz w:val="20"/>
          <w:szCs w:val="20"/>
          <w:lang w:val="en-US"/>
        </w:rPr>
        <w:lastRenderedPageBreak/>
        <w:t>Derecognition of a financial liability</w:t>
      </w:r>
    </w:p>
    <w:p w14:paraId="1DB08468" w14:textId="77777777" w:rsidR="00331FED" w:rsidRPr="007D770B" w:rsidRDefault="00331FED" w:rsidP="00331FED">
      <w:pPr>
        <w:pStyle w:val="21"/>
        <w:tabs>
          <w:tab w:val="clear" w:pos="1134"/>
        </w:tabs>
        <w:spacing w:after="240"/>
        <w:ind w:firstLine="0"/>
        <w:rPr>
          <w:sz w:val="20"/>
          <w:szCs w:val="20"/>
          <w:lang w:val="en-US"/>
        </w:rPr>
      </w:pPr>
      <w:r w:rsidRPr="007D770B">
        <w:rPr>
          <w:sz w:val="20"/>
          <w:szCs w:val="20"/>
          <w:lang w:val="en-US"/>
        </w:rPr>
        <w:t>The Bank removes a financial liability (or a part of a financial liability) from the statement of financial position only when it is extinguished, i.e. when the obligation specified in the contract is discharged or canceled or expires.</w:t>
      </w:r>
    </w:p>
    <w:p w14:paraId="17D45A8F" w14:textId="77777777" w:rsidR="00331FED" w:rsidRPr="007D770B" w:rsidRDefault="00331FED" w:rsidP="00331FED">
      <w:pPr>
        <w:pStyle w:val="21"/>
        <w:tabs>
          <w:tab w:val="clear" w:pos="1134"/>
        </w:tabs>
        <w:spacing w:after="240"/>
        <w:ind w:firstLine="0"/>
        <w:rPr>
          <w:sz w:val="20"/>
          <w:szCs w:val="20"/>
          <w:lang w:val="en-US"/>
        </w:rPr>
      </w:pPr>
      <w:r w:rsidRPr="007D770B">
        <w:rPr>
          <w:sz w:val="20"/>
          <w:szCs w:val="20"/>
          <w:lang w:val="en-US"/>
        </w:rPr>
        <w:t xml:space="preserve">Exchanges between an existing borrower and lender of debt instruments with substantially different terms and conditions should be accounted for as an extinguishment of the original financial liability and the recognition of a new financial liability. </w:t>
      </w:r>
    </w:p>
    <w:p w14:paraId="48A2CC15" w14:textId="7493E02B" w:rsidR="00331FED" w:rsidRPr="007D770B" w:rsidRDefault="00331FED" w:rsidP="00331FED">
      <w:pPr>
        <w:pStyle w:val="21"/>
        <w:tabs>
          <w:tab w:val="clear" w:pos="1134"/>
        </w:tabs>
        <w:spacing w:after="240"/>
        <w:ind w:firstLine="0"/>
        <w:rPr>
          <w:sz w:val="20"/>
          <w:szCs w:val="20"/>
          <w:lang w:val="en-US"/>
        </w:rPr>
      </w:pPr>
      <w:r w:rsidRPr="007D770B">
        <w:rPr>
          <w:sz w:val="20"/>
          <w:szCs w:val="20"/>
          <w:lang w:val="en-US"/>
        </w:rPr>
        <w:t xml:space="preserve">Similarly, a substantial modification of the terms of an existing financial liability or part of it (whether or not the modification is attributable to the financial difficulties of the debtor) should be </w:t>
      </w:r>
      <w:r w:rsidR="00EE3CCF" w:rsidRPr="007D770B">
        <w:rPr>
          <w:sz w:val="20"/>
          <w:szCs w:val="20"/>
          <w:lang w:val="en-US"/>
        </w:rPr>
        <w:t xml:space="preserve">accounted </w:t>
      </w:r>
      <w:r w:rsidRPr="007D770B">
        <w:rPr>
          <w:sz w:val="20"/>
          <w:szCs w:val="20"/>
          <w:lang w:val="en-US"/>
        </w:rPr>
        <w:t>for as an extinguishment of the original financial liability and the recognition of a new financial liability.</w:t>
      </w:r>
    </w:p>
    <w:p w14:paraId="287C1AF2" w14:textId="77777777" w:rsidR="00331FED" w:rsidRPr="007D770B" w:rsidRDefault="00331FED" w:rsidP="00331FED">
      <w:pPr>
        <w:pStyle w:val="af4"/>
        <w:spacing w:after="240"/>
        <w:ind w:firstLine="0"/>
        <w:rPr>
          <w:sz w:val="20"/>
          <w:szCs w:val="20"/>
          <w:lang w:val="en-US"/>
        </w:rPr>
      </w:pPr>
      <w:r w:rsidRPr="007D770B">
        <w:rPr>
          <w:sz w:val="20"/>
          <w:szCs w:val="20"/>
          <w:lang w:val="en-US"/>
        </w:rPr>
        <w:t>The Bank recognizes a change in terms as significant if, under the new terms, the present value of the cash flows discounted using the effective interest method, including fees paid and net of fees received, differs by 10% or more from the discounted present value of the remaining cash flows under the original terms of the financial liability. The present value is determined by applying the original effective interest rate.</w:t>
      </w:r>
    </w:p>
    <w:p w14:paraId="3C227D2C" w14:textId="77777777" w:rsidR="00331FED" w:rsidRPr="007D770B" w:rsidRDefault="00331FED" w:rsidP="00331FED">
      <w:pPr>
        <w:pStyle w:val="af4"/>
        <w:spacing w:after="240"/>
        <w:ind w:firstLine="0"/>
        <w:rPr>
          <w:sz w:val="20"/>
          <w:szCs w:val="20"/>
          <w:lang w:val="en-US"/>
        </w:rPr>
      </w:pPr>
      <w:r w:rsidRPr="007D770B">
        <w:rPr>
          <w:sz w:val="20"/>
          <w:szCs w:val="20"/>
          <w:lang w:val="en-US"/>
        </w:rPr>
        <w:t>The exchange between parties of debt instruments with substantially different terms and conditions is similarly reflected.</w:t>
      </w:r>
    </w:p>
    <w:p w14:paraId="1228D0DC" w14:textId="77777777" w:rsidR="00331FED" w:rsidRPr="007D770B" w:rsidRDefault="00331FED" w:rsidP="00331FED">
      <w:pPr>
        <w:pStyle w:val="21"/>
        <w:tabs>
          <w:tab w:val="clear" w:pos="1134"/>
        </w:tabs>
        <w:spacing w:after="240"/>
        <w:ind w:firstLine="0"/>
        <w:rPr>
          <w:sz w:val="20"/>
          <w:szCs w:val="20"/>
          <w:lang w:val="en-US"/>
        </w:rPr>
      </w:pPr>
      <w:r w:rsidRPr="007D770B">
        <w:rPr>
          <w:sz w:val="20"/>
          <w:szCs w:val="20"/>
          <w:lang w:val="en-US"/>
        </w:rPr>
        <w:t>The difference between the carrying amount of a financial liability (or part of a financial liability) extinguished or transferred to another party and the consideration paid, including any non-monetary assets transferred or liabilities assumed, shall be recognized in profit or loss.</w:t>
      </w:r>
    </w:p>
    <w:p w14:paraId="42E15386" w14:textId="77777777" w:rsidR="00331FED" w:rsidRPr="007D770B" w:rsidRDefault="00331FED" w:rsidP="00331FED">
      <w:pPr>
        <w:pStyle w:val="21"/>
        <w:tabs>
          <w:tab w:val="clear" w:pos="1134"/>
        </w:tabs>
        <w:spacing w:after="240"/>
        <w:ind w:firstLine="0"/>
        <w:rPr>
          <w:sz w:val="20"/>
          <w:szCs w:val="20"/>
          <w:lang w:val="en-US"/>
        </w:rPr>
      </w:pPr>
      <w:r w:rsidRPr="007D770B">
        <w:rPr>
          <w:sz w:val="20"/>
          <w:szCs w:val="20"/>
          <w:lang w:val="en-US"/>
        </w:rPr>
        <w:t xml:space="preserve">If the Bank repurchases a part of its financial liability, it must allocate the previous carrying amount of the financial liability between the part that continues to be recognized and the part that is derecognized based on the relative fair values of those parts at the repurchase date. </w:t>
      </w:r>
    </w:p>
    <w:p w14:paraId="594E2015" w14:textId="11C300D0" w:rsidR="00331FED" w:rsidRPr="007D770B" w:rsidRDefault="00331FED" w:rsidP="00331FED">
      <w:pPr>
        <w:pStyle w:val="21"/>
        <w:tabs>
          <w:tab w:val="clear" w:pos="1134"/>
        </w:tabs>
        <w:spacing w:after="240"/>
        <w:ind w:firstLine="0"/>
        <w:rPr>
          <w:sz w:val="20"/>
          <w:szCs w:val="20"/>
          <w:lang w:val="en-US"/>
        </w:rPr>
      </w:pPr>
      <w:r w:rsidRPr="007D770B">
        <w:rPr>
          <w:sz w:val="20"/>
          <w:szCs w:val="20"/>
          <w:lang w:val="en-US"/>
        </w:rPr>
        <w:t xml:space="preserve">Any difference between the carrying amount allocated to the derecognized portion </w:t>
      </w:r>
      <w:r w:rsidR="007F67F6" w:rsidRPr="007D770B">
        <w:rPr>
          <w:sz w:val="20"/>
          <w:szCs w:val="20"/>
          <w:lang w:val="en-US"/>
        </w:rPr>
        <w:t xml:space="preserve">and the </w:t>
      </w:r>
      <w:r w:rsidRPr="007D770B">
        <w:rPr>
          <w:sz w:val="20"/>
          <w:szCs w:val="20"/>
          <w:lang w:val="en-US"/>
        </w:rPr>
        <w:t xml:space="preserve">consideration </w:t>
      </w:r>
      <w:r w:rsidR="007F67F6" w:rsidRPr="007D770B">
        <w:rPr>
          <w:sz w:val="20"/>
          <w:szCs w:val="20"/>
          <w:lang w:val="en-US"/>
        </w:rPr>
        <w:t xml:space="preserve">paid for </w:t>
      </w:r>
      <w:r w:rsidRPr="007D770B">
        <w:rPr>
          <w:sz w:val="20"/>
          <w:szCs w:val="20"/>
          <w:lang w:val="en-US"/>
        </w:rPr>
        <w:t>the derecognized portion, including any non-monetary assets transferred or liabilities incurred, shall be recognized in profit or loss.</w:t>
      </w:r>
    </w:p>
    <w:p w14:paraId="2531AEC1" w14:textId="77777777" w:rsidR="00331FED" w:rsidRPr="007D770B" w:rsidRDefault="00331FED" w:rsidP="00331FED">
      <w:pPr>
        <w:pStyle w:val="af4"/>
        <w:spacing w:after="240"/>
        <w:ind w:firstLine="0"/>
        <w:rPr>
          <w:sz w:val="20"/>
          <w:szCs w:val="20"/>
          <w:lang w:val="en-US"/>
        </w:rPr>
      </w:pPr>
      <w:r w:rsidRPr="007D770B">
        <w:rPr>
          <w:sz w:val="20"/>
          <w:szCs w:val="20"/>
          <w:lang w:val="en-US"/>
        </w:rPr>
        <w:t>Where an exchange of financial liabilities or modification of terms is accounted for by the Bank as an extinguishment of a financial liability, the difference between the carrying amount of the liability (or part of it) extinguished or transferred and the consideration transferred, including any non-monetary assets transferred or liabilities incurred, is recognized in profit or loss within other income or other expenses.</w:t>
      </w:r>
    </w:p>
    <w:p w14:paraId="7E09F5E1" w14:textId="77777777" w:rsidR="00331FED" w:rsidRPr="007D770B" w:rsidRDefault="00331FED" w:rsidP="00E61D21">
      <w:pPr>
        <w:pStyle w:val="3"/>
        <w:rPr>
          <w:lang w:val="en-US"/>
        </w:rPr>
      </w:pPr>
      <w:bookmarkStart w:id="134" w:name="_Toc335757714"/>
      <w:bookmarkStart w:id="135" w:name="_Toc374457885"/>
      <w:bookmarkStart w:id="136" w:name="_Toc168502042"/>
      <w:r w:rsidRPr="007D770B">
        <w:rPr>
          <w:lang w:val="en-US"/>
        </w:rPr>
        <w:t>3.14. Other operations</w:t>
      </w:r>
      <w:bookmarkEnd w:id="134"/>
      <w:bookmarkEnd w:id="135"/>
      <w:bookmarkEnd w:id="136"/>
    </w:p>
    <w:p w14:paraId="5F2ABBC9" w14:textId="2E21E22B" w:rsidR="00331FED" w:rsidRPr="007D770B" w:rsidRDefault="00331FED" w:rsidP="00331FED">
      <w:pPr>
        <w:widowControl w:val="0"/>
        <w:tabs>
          <w:tab w:val="left" w:pos="0"/>
        </w:tabs>
        <w:spacing w:line="240" w:lineRule="auto"/>
        <w:ind w:left="0"/>
        <w:rPr>
          <w:rFonts w:ascii="Times New Roman" w:hAnsi="Times New Roman"/>
          <w:b/>
          <w:iCs/>
          <w:lang w:val="en-US"/>
        </w:rPr>
      </w:pPr>
      <w:r w:rsidRPr="007D770B">
        <w:rPr>
          <w:rFonts w:ascii="Times New Roman" w:hAnsi="Times New Roman"/>
          <w:b/>
          <w:iCs/>
          <w:lang w:val="en-US"/>
        </w:rPr>
        <w:t>3.14.</w:t>
      </w:r>
      <w:r w:rsidR="007B6285" w:rsidRPr="007D770B">
        <w:rPr>
          <w:rFonts w:ascii="Times New Roman" w:hAnsi="Times New Roman"/>
          <w:b/>
          <w:iCs/>
          <w:lang w:val="en-US"/>
        </w:rPr>
        <w:t xml:space="preserve">1 </w:t>
      </w:r>
      <w:r w:rsidRPr="007D770B">
        <w:rPr>
          <w:rFonts w:ascii="Times New Roman" w:hAnsi="Times New Roman"/>
          <w:b/>
          <w:iCs/>
          <w:lang w:val="en-US"/>
        </w:rPr>
        <w:t>Trust management</w:t>
      </w:r>
    </w:p>
    <w:p w14:paraId="05730263" w14:textId="2804A2D5" w:rsidR="00331FED" w:rsidRPr="007D770B" w:rsidRDefault="00331FED" w:rsidP="00331FED">
      <w:pPr>
        <w:widowControl w:val="0"/>
        <w:tabs>
          <w:tab w:val="left" w:pos="0"/>
        </w:tabs>
        <w:spacing w:line="240" w:lineRule="auto"/>
        <w:ind w:left="0"/>
        <w:rPr>
          <w:rFonts w:ascii="Times New Roman" w:hAnsi="Times New Roman"/>
          <w:iCs/>
          <w:lang w:val="en-US"/>
        </w:rPr>
      </w:pPr>
      <w:r w:rsidRPr="007D770B">
        <w:rPr>
          <w:rFonts w:ascii="Times New Roman" w:hAnsi="Times New Roman"/>
          <w:iCs/>
          <w:lang w:val="en-US"/>
        </w:rPr>
        <w:t xml:space="preserve">The bank acts as a trustee </w:t>
      </w:r>
      <w:r w:rsidR="00EE3CCF" w:rsidRPr="007D770B">
        <w:rPr>
          <w:rFonts w:ascii="Times New Roman" w:hAnsi="Times New Roman"/>
          <w:iCs/>
          <w:lang w:val="en-US"/>
        </w:rPr>
        <w:t xml:space="preserve">and may </w:t>
      </w:r>
      <w:r w:rsidRPr="007D770B">
        <w:rPr>
          <w:rFonts w:ascii="Times New Roman" w:hAnsi="Times New Roman"/>
          <w:iCs/>
          <w:lang w:val="en-US"/>
        </w:rPr>
        <w:t xml:space="preserve">hold assets of other institutions. </w:t>
      </w:r>
    </w:p>
    <w:p w14:paraId="282F46D0" w14:textId="77777777" w:rsidR="00331FED" w:rsidRPr="007D770B" w:rsidRDefault="00331FED" w:rsidP="00331FED">
      <w:pPr>
        <w:widowControl w:val="0"/>
        <w:tabs>
          <w:tab w:val="left" w:pos="0"/>
        </w:tabs>
        <w:spacing w:line="240" w:lineRule="auto"/>
        <w:ind w:left="0"/>
        <w:rPr>
          <w:rFonts w:ascii="Times New Roman" w:hAnsi="Times New Roman"/>
          <w:iCs/>
          <w:lang w:val="en-US"/>
        </w:rPr>
      </w:pPr>
      <w:r w:rsidRPr="007D770B">
        <w:rPr>
          <w:rFonts w:ascii="Times New Roman" w:hAnsi="Times New Roman"/>
          <w:iCs/>
          <w:lang w:val="en-US"/>
        </w:rPr>
        <w:t xml:space="preserve">These assets and income arising from them are not included in the Bank's financial statements as they are not assets of the Bank. </w:t>
      </w:r>
    </w:p>
    <w:p w14:paraId="38BC71E7" w14:textId="77777777" w:rsidR="00331FED" w:rsidRPr="007D770B" w:rsidRDefault="00331FED" w:rsidP="00331FED">
      <w:pPr>
        <w:widowControl w:val="0"/>
        <w:tabs>
          <w:tab w:val="left" w:pos="0"/>
        </w:tabs>
        <w:spacing w:line="240" w:lineRule="auto"/>
        <w:ind w:left="0"/>
        <w:rPr>
          <w:rFonts w:ascii="Times New Roman" w:hAnsi="Times New Roman"/>
          <w:iCs/>
          <w:lang w:val="en-US"/>
        </w:rPr>
      </w:pPr>
      <w:r w:rsidRPr="007D770B">
        <w:rPr>
          <w:rFonts w:ascii="Times New Roman" w:hAnsi="Times New Roman"/>
          <w:iCs/>
          <w:lang w:val="en-US"/>
        </w:rPr>
        <w:t xml:space="preserve">If the Bank engages in significant trust activities, disclosure of that fact and an indication of the extent of those activities in the financial statements is required. </w:t>
      </w:r>
    </w:p>
    <w:p w14:paraId="306A8AAD" w14:textId="77777777" w:rsidR="00331FED" w:rsidRPr="007D770B" w:rsidRDefault="00331FED" w:rsidP="00FB3915">
      <w:pPr>
        <w:widowControl w:val="0"/>
        <w:tabs>
          <w:tab w:val="left" w:pos="0"/>
          <w:tab w:val="left" w:pos="993"/>
        </w:tabs>
        <w:spacing w:line="240" w:lineRule="auto"/>
        <w:ind w:left="0"/>
        <w:rPr>
          <w:rFonts w:ascii="Times New Roman" w:hAnsi="Times New Roman"/>
          <w:iCs/>
          <w:lang w:val="en-US"/>
        </w:rPr>
      </w:pPr>
      <w:r w:rsidRPr="007D770B">
        <w:rPr>
          <w:rFonts w:ascii="Times New Roman" w:hAnsi="Times New Roman"/>
          <w:iCs/>
          <w:lang w:val="en-US"/>
        </w:rPr>
        <w:t xml:space="preserve">The Bank discloses fee and commission income from trust management activities in the financial statements. Also the Bank discloses principal activities, and accordingly trust management activities are disclosed only when material. </w:t>
      </w:r>
    </w:p>
    <w:p w14:paraId="188DB1DD" w14:textId="52FF6E18" w:rsidR="0085128A" w:rsidRPr="007D770B" w:rsidRDefault="00EE3CCF" w:rsidP="0085128A">
      <w:pPr>
        <w:widowControl w:val="0"/>
        <w:tabs>
          <w:tab w:val="left" w:pos="0"/>
        </w:tabs>
        <w:spacing w:line="240" w:lineRule="auto"/>
        <w:ind w:left="0"/>
        <w:rPr>
          <w:rFonts w:ascii="Times New Roman" w:hAnsi="Times New Roman"/>
          <w:b/>
          <w:iCs/>
          <w:lang w:val="en-US"/>
        </w:rPr>
      </w:pPr>
      <w:r w:rsidRPr="007D770B">
        <w:rPr>
          <w:rFonts w:ascii="Times New Roman" w:hAnsi="Times New Roman"/>
          <w:b/>
          <w:iCs/>
          <w:lang w:val="en-US"/>
        </w:rPr>
        <w:t>3.14.2 Securitization</w:t>
      </w:r>
    </w:p>
    <w:p w14:paraId="1E0FD4ED" w14:textId="77777777" w:rsidR="0085128A" w:rsidRPr="007D770B" w:rsidRDefault="0085128A" w:rsidP="0085128A">
      <w:pPr>
        <w:widowControl w:val="0"/>
        <w:tabs>
          <w:tab w:val="left" w:pos="0"/>
        </w:tabs>
        <w:spacing w:line="240" w:lineRule="auto"/>
        <w:ind w:left="0"/>
        <w:rPr>
          <w:rFonts w:ascii="Times New Roman" w:hAnsi="Times New Roman"/>
          <w:iCs/>
          <w:lang w:val="en-US"/>
        </w:rPr>
      </w:pPr>
      <w:r w:rsidRPr="007D770B">
        <w:rPr>
          <w:rFonts w:ascii="Times New Roman" w:hAnsi="Times New Roman"/>
          <w:iCs/>
          <w:lang w:val="en-US"/>
        </w:rPr>
        <w:t xml:space="preserve">Securitization is a method of raising financial resources used by mortgage lending institutions through the sale of a block or group of loans to a specially created target company. </w:t>
      </w:r>
    </w:p>
    <w:p w14:paraId="60684FA7" w14:textId="77777777" w:rsidR="0085128A" w:rsidRPr="007D770B" w:rsidRDefault="0085128A" w:rsidP="0085128A">
      <w:pPr>
        <w:widowControl w:val="0"/>
        <w:tabs>
          <w:tab w:val="left" w:pos="0"/>
        </w:tabs>
        <w:spacing w:line="240" w:lineRule="auto"/>
        <w:ind w:left="0"/>
        <w:rPr>
          <w:rFonts w:ascii="Times New Roman" w:hAnsi="Times New Roman"/>
          <w:iCs/>
          <w:lang w:val="en-US"/>
        </w:rPr>
      </w:pPr>
      <w:r w:rsidRPr="007D770B">
        <w:rPr>
          <w:rFonts w:ascii="Times New Roman" w:hAnsi="Times New Roman"/>
          <w:iCs/>
          <w:lang w:val="en-US"/>
        </w:rPr>
        <w:t xml:space="preserve">A special finance company finances the purchase by issuing a bond or other marketable debt instruments to outside investors that are guaranteed by the assets of the target company. Also, other groups of loans, such as credit card receivables, leases, installment loans and trade receivables, are securitized similarly to mortgage loans. </w:t>
      </w:r>
    </w:p>
    <w:p w14:paraId="1CC4A56B" w14:textId="55F970C6" w:rsidR="0085128A" w:rsidRPr="007D770B" w:rsidRDefault="0085128A" w:rsidP="0085128A">
      <w:pPr>
        <w:widowControl w:val="0"/>
        <w:tabs>
          <w:tab w:val="left" w:pos="0"/>
        </w:tabs>
        <w:spacing w:line="240" w:lineRule="auto"/>
        <w:ind w:left="0"/>
        <w:rPr>
          <w:rFonts w:ascii="Times New Roman" w:hAnsi="Times New Roman"/>
          <w:iCs/>
          <w:lang w:val="en-US"/>
        </w:rPr>
      </w:pPr>
      <w:r w:rsidRPr="007D770B">
        <w:rPr>
          <w:rFonts w:ascii="Times New Roman" w:hAnsi="Times New Roman"/>
          <w:iCs/>
          <w:lang w:val="en-US"/>
        </w:rPr>
        <w:t xml:space="preserve">A bank may undertake two types of securitization: </w:t>
      </w:r>
    </w:p>
    <w:p w14:paraId="3F0AB4FD" w14:textId="541A6198" w:rsidR="0085128A" w:rsidRPr="007D770B" w:rsidRDefault="0085128A" w:rsidP="00AE698A">
      <w:pPr>
        <w:widowControl w:val="0"/>
        <w:numPr>
          <w:ilvl w:val="0"/>
          <w:numId w:val="378"/>
        </w:numPr>
        <w:spacing w:line="240" w:lineRule="auto"/>
        <w:rPr>
          <w:rFonts w:ascii="Times New Roman" w:hAnsi="Times New Roman"/>
          <w:lang w:val="en-US"/>
        </w:rPr>
      </w:pPr>
      <w:r w:rsidRPr="007D770B">
        <w:rPr>
          <w:rFonts w:ascii="Times New Roman" w:hAnsi="Times New Roman"/>
          <w:lang w:val="en-US"/>
        </w:rPr>
        <w:t xml:space="preserve">In a true securitization, the Bank sells </w:t>
      </w:r>
      <w:r w:rsidR="00805CD2" w:rsidRPr="007D770B">
        <w:rPr>
          <w:rFonts w:ascii="Times New Roman" w:hAnsi="Times New Roman"/>
          <w:lang w:val="en-US"/>
        </w:rPr>
        <w:t xml:space="preserve">the securitized </w:t>
      </w:r>
      <w:r w:rsidRPr="007D770B">
        <w:rPr>
          <w:rFonts w:ascii="Times New Roman" w:hAnsi="Times New Roman"/>
          <w:lang w:val="en-US"/>
        </w:rPr>
        <w:t xml:space="preserve">assets to a special purpose vehicle. The special purpose vehicle acquires the rights of claim on the allocated assets and issues bonds secured by these assets. </w:t>
      </w:r>
    </w:p>
    <w:p w14:paraId="18CE33D1" w14:textId="71A05B8A" w:rsidR="0085128A" w:rsidRPr="007D770B" w:rsidRDefault="0085128A" w:rsidP="00AE698A">
      <w:pPr>
        <w:widowControl w:val="0"/>
        <w:numPr>
          <w:ilvl w:val="0"/>
          <w:numId w:val="378"/>
        </w:numPr>
        <w:spacing w:line="240" w:lineRule="auto"/>
        <w:rPr>
          <w:rFonts w:ascii="Times New Roman" w:hAnsi="Times New Roman"/>
          <w:lang w:val="en-US"/>
        </w:rPr>
      </w:pPr>
      <w:r w:rsidRPr="007D770B">
        <w:rPr>
          <w:rFonts w:ascii="Times New Roman" w:hAnsi="Times New Roman"/>
          <w:lang w:val="en-US"/>
        </w:rPr>
        <w:lastRenderedPageBreak/>
        <w:t xml:space="preserve">In a synthetic securitization, the Bank transfers the risk associated with the </w:t>
      </w:r>
      <w:r w:rsidR="00805CD2" w:rsidRPr="007D770B">
        <w:rPr>
          <w:rFonts w:ascii="Times New Roman" w:hAnsi="Times New Roman"/>
          <w:lang w:val="en-US"/>
        </w:rPr>
        <w:t xml:space="preserve">securitized </w:t>
      </w:r>
      <w:r w:rsidRPr="007D770B">
        <w:rPr>
          <w:rFonts w:ascii="Times New Roman" w:hAnsi="Times New Roman"/>
          <w:lang w:val="en-US"/>
        </w:rPr>
        <w:t xml:space="preserve">asset but not the asset itself. </w:t>
      </w:r>
    </w:p>
    <w:p w14:paraId="39A68D9A" w14:textId="5E99ADBE" w:rsidR="0085128A" w:rsidRPr="00F41327" w:rsidRDefault="0085128A" w:rsidP="0085128A">
      <w:pPr>
        <w:widowControl w:val="0"/>
        <w:tabs>
          <w:tab w:val="left" w:pos="0"/>
        </w:tabs>
        <w:spacing w:line="240" w:lineRule="auto"/>
        <w:ind w:left="0"/>
        <w:rPr>
          <w:rFonts w:ascii="Times New Roman" w:hAnsi="Times New Roman"/>
          <w:iCs/>
        </w:rPr>
      </w:pPr>
      <w:r>
        <w:rPr>
          <w:rFonts w:ascii="Times New Roman" w:hAnsi="Times New Roman"/>
          <w:iCs/>
        </w:rPr>
        <w:t>Bunk</w:t>
      </w:r>
      <w:r w:rsidRPr="00F41327">
        <w:rPr>
          <w:rFonts w:ascii="Times New Roman" w:hAnsi="Times New Roman"/>
          <w:iCs/>
        </w:rPr>
        <w:t>:</w:t>
      </w:r>
    </w:p>
    <w:p w14:paraId="45931B05" w14:textId="711BADC8" w:rsidR="0085128A" w:rsidRPr="007D770B" w:rsidRDefault="0085128A" w:rsidP="00AE698A">
      <w:pPr>
        <w:widowControl w:val="0"/>
        <w:numPr>
          <w:ilvl w:val="0"/>
          <w:numId w:val="379"/>
        </w:numPr>
        <w:spacing w:line="240" w:lineRule="auto"/>
        <w:rPr>
          <w:rFonts w:ascii="Times New Roman" w:hAnsi="Times New Roman"/>
          <w:lang w:val="en-US"/>
        </w:rPr>
      </w:pPr>
      <w:r w:rsidRPr="007D770B">
        <w:rPr>
          <w:rFonts w:ascii="Times New Roman" w:hAnsi="Times New Roman"/>
          <w:lang w:val="en-US"/>
        </w:rPr>
        <w:t xml:space="preserve">If the risks and rewards </w:t>
      </w:r>
      <w:r w:rsidR="00805CD2" w:rsidRPr="007D770B">
        <w:rPr>
          <w:rFonts w:ascii="Times New Roman" w:hAnsi="Times New Roman"/>
          <w:lang w:val="en-US"/>
        </w:rPr>
        <w:t xml:space="preserve">of the securitized </w:t>
      </w:r>
      <w:r w:rsidRPr="007D770B">
        <w:rPr>
          <w:rFonts w:ascii="Times New Roman" w:hAnsi="Times New Roman"/>
          <w:lang w:val="en-US"/>
        </w:rPr>
        <w:t>asset are retained, the asset continues to be recognized;</w:t>
      </w:r>
    </w:p>
    <w:p w14:paraId="378072FF" w14:textId="3BE2EF83" w:rsidR="0085128A" w:rsidRPr="007D770B" w:rsidRDefault="0085128A" w:rsidP="00AE698A">
      <w:pPr>
        <w:widowControl w:val="0"/>
        <w:numPr>
          <w:ilvl w:val="0"/>
          <w:numId w:val="379"/>
        </w:numPr>
        <w:spacing w:line="240" w:lineRule="auto"/>
        <w:rPr>
          <w:rFonts w:ascii="Times New Roman" w:hAnsi="Times New Roman"/>
          <w:lang w:val="en-US"/>
        </w:rPr>
      </w:pPr>
      <w:r w:rsidRPr="007D770B">
        <w:rPr>
          <w:rFonts w:ascii="Times New Roman" w:hAnsi="Times New Roman"/>
          <w:lang w:val="en-US"/>
        </w:rPr>
        <w:t xml:space="preserve">When the risks and rewards of </w:t>
      </w:r>
      <w:r w:rsidR="00805CD2" w:rsidRPr="007D770B">
        <w:rPr>
          <w:rFonts w:ascii="Times New Roman" w:hAnsi="Times New Roman"/>
          <w:lang w:val="en-US"/>
        </w:rPr>
        <w:t xml:space="preserve">a securitized </w:t>
      </w:r>
      <w:r w:rsidR="00FB090E" w:rsidRPr="007D770B">
        <w:rPr>
          <w:rFonts w:ascii="Times New Roman" w:hAnsi="Times New Roman"/>
          <w:lang w:val="en-US"/>
        </w:rPr>
        <w:t xml:space="preserve">asset are </w:t>
      </w:r>
      <w:r w:rsidRPr="007D770B">
        <w:rPr>
          <w:rFonts w:ascii="Times New Roman" w:hAnsi="Times New Roman"/>
          <w:lang w:val="en-US"/>
        </w:rPr>
        <w:t xml:space="preserve">transferred, derecognizes the asset. </w:t>
      </w:r>
    </w:p>
    <w:p w14:paraId="55C874DB" w14:textId="376D7E6D" w:rsidR="0085128A" w:rsidRPr="007D770B" w:rsidRDefault="0085128A" w:rsidP="0085128A">
      <w:pPr>
        <w:widowControl w:val="0"/>
        <w:tabs>
          <w:tab w:val="left" w:pos="0"/>
        </w:tabs>
        <w:spacing w:line="240" w:lineRule="auto"/>
        <w:ind w:left="0"/>
        <w:rPr>
          <w:rFonts w:ascii="Times New Roman" w:hAnsi="Times New Roman"/>
          <w:b/>
          <w:iCs/>
          <w:color w:val="3366FF"/>
          <w:sz w:val="18"/>
          <w:lang w:val="en-US"/>
        </w:rPr>
      </w:pPr>
      <w:r w:rsidRPr="007D770B">
        <w:rPr>
          <w:rFonts w:ascii="Times New Roman" w:hAnsi="Times New Roman"/>
          <w:iCs/>
          <w:lang w:val="en-US"/>
        </w:rPr>
        <w:t xml:space="preserve">Derecognition of an asset is analyzed in accordance with Section 3.13 of this chapter of </w:t>
      </w:r>
      <w:r w:rsidR="00EC2244" w:rsidRPr="007D770B">
        <w:rPr>
          <w:rFonts w:ascii="Times New Roman" w:hAnsi="Times New Roman"/>
          <w:iCs/>
          <w:lang w:val="en-US"/>
        </w:rPr>
        <w:t xml:space="preserve">the Accounting </w:t>
      </w:r>
      <w:r w:rsidRPr="007D770B">
        <w:rPr>
          <w:rFonts w:ascii="Times New Roman" w:hAnsi="Times New Roman"/>
          <w:iCs/>
          <w:lang w:val="en-US"/>
        </w:rPr>
        <w:t xml:space="preserve">Policy. </w:t>
      </w:r>
      <w:r w:rsidR="003F47AB" w:rsidRPr="007D770B">
        <w:rPr>
          <w:rFonts w:ascii="Times New Roman" w:hAnsi="Times New Roman"/>
          <w:i/>
          <w:snapToGrid w:val="0"/>
          <w:color w:val="3366FF"/>
          <w:szCs w:val="22"/>
          <w:lang w:val="en-US"/>
        </w:rPr>
        <w:t>(</w:t>
      </w:r>
      <w:r w:rsidR="00EF6A1C" w:rsidRPr="007D770B">
        <w:rPr>
          <w:rFonts w:ascii="Times New Roman" w:hAnsi="Times New Roman"/>
          <w:i/>
          <w:snapToGrid w:val="0"/>
          <w:color w:val="3366FF"/>
          <w:szCs w:val="22"/>
          <w:lang w:val="en-US"/>
        </w:rPr>
        <w:t xml:space="preserve">Item </w:t>
      </w:r>
      <w:r w:rsidR="003F47AB" w:rsidRPr="007D770B">
        <w:rPr>
          <w:rFonts w:ascii="Times New Roman" w:hAnsi="Times New Roman"/>
          <w:i/>
          <w:snapToGrid w:val="0"/>
          <w:color w:val="3366FF"/>
          <w:szCs w:val="22"/>
          <w:lang w:val="en-US"/>
        </w:rPr>
        <w:t xml:space="preserve">3.14.2 </w:t>
      </w:r>
      <w:r w:rsidR="008B776B" w:rsidRPr="007D770B">
        <w:rPr>
          <w:rFonts w:ascii="Times New Roman" w:hAnsi="Times New Roman"/>
          <w:i/>
          <w:snapToGrid w:val="0"/>
          <w:color w:val="3366FF"/>
          <w:szCs w:val="22"/>
          <w:lang w:val="en-US"/>
        </w:rPr>
        <w:t xml:space="preserve">was introduced by </w:t>
      </w:r>
      <w:r w:rsidR="003F47AB" w:rsidRPr="007D770B">
        <w:rPr>
          <w:rFonts w:ascii="Times New Roman" w:hAnsi="Times New Roman"/>
          <w:i/>
          <w:snapToGrid w:val="0"/>
          <w:color w:val="3366FF"/>
          <w:szCs w:val="22"/>
          <w:lang w:val="en-US"/>
        </w:rPr>
        <w:t xml:space="preserve">the decision of the Board of Directors dated </w:t>
      </w:r>
      <w:r w:rsidR="00C77348" w:rsidRPr="007D770B">
        <w:rPr>
          <w:rFonts w:ascii="Times New Roman" w:hAnsi="Times New Roman"/>
          <w:i/>
          <w:snapToGrid w:val="0"/>
          <w:color w:val="3366FF"/>
          <w:szCs w:val="22"/>
          <w:lang w:val="en-US"/>
        </w:rPr>
        <w:t>26</w:t>
      </w:r>
      <w:r w:rsidR="003F47AB" w:rsidRPr="007D770B">
        <w:rPr>
          <w:rFonts w:ascii="Times New Roman" w:hAnsi="Times New Roman"/>
          <w:i/>
          <w:snapToGrid w:val="0"/>
          <w:color w:val="3366FF"/>
          <w:szCs w:val="22"/>
          <w:lang w:val="en-US"/>
        </w:rPr>
        <w:t>.</w:t>
      </w:r>
      <w:r w:rsidR="00C77348" w:rsidRPr="007D770B">
        <w:rPr>
          <w:rFonts w:ascii="Times New Roman" w:hAnsi="Times New Roman"/>
          <w:i/>
          <w:snapToGrid w:val="0"/>
          <w:color w:val="3366FF"/>
          <w:szCs w:val="22"/>
          <w:lang w:val="en-US"/>
        </w:rPr>
        <w:t>11</w:t>
      </w:r>
      <w:r w:rsidR="003F47AB" w:rsidRPr="007D770B">
        <w:rPr>
          <w:rFonts w:ascii="Times New Roman" w:hAnsi="Times New Roman"/>
          <w:i/>
          <w:snapToGrid w:val="0"/>
          <w:color w:val="3366FF"/>
          <w:szCs w:val="22"/>
          <w:lang w:val="en-US"/>
        </w:rPr>
        <w:t xml:space="preserve">.2018 </w:t>
      </w:r>
      <w:r w:rsidR="006E0A32" w:rsidRPr="007D770B">
        <w:rPr>
          <w:rFonts w:ascii="Times New Roman" w:hAnsi="Times New Roman"/>
          <w:i/>
          <w:snapToGrid w:val="0"/>
          <w:color w:val="3366FF"/>
          <w:szCs w:val="22"/>
          <w:lang w:val="en-US"/>
        </w:rPr>
        <w:t>(Minutes No. 14)</w:t>
      </w:r>
      <w:r w:rsidR="003F47AB" w:rsidRPr="007D770B">
        <w:rPr>
          <w:rFonts w:ascii="Times New Roman" w:hAnsi="Times New Roman"/>
          <w:i/>
          <w:snapToGrid w:val="0"/>
          <w:color w:val="3366FF"/>
          <w:szCs w:val="22"/>
          <w:lang w:val="en-US"/>
        </w:rPr>
        <w:t>)</w:t>
      </w:r>
    </w:p>
    <w:p w14:paraId="19628409" w14:textId="77777777" w:rsidR="0085128A" w:rsidRPr="007D770B" w:rsidRDefault="0085128A" w:rsidP="00E61D21">
      <w:pPr>
        <w:pStyle w:val="3"/>
        <w:rPr>
          <w:lang w:val="en-US"/>
        </w:rPr>
      </w:pPr>
      <w:bookmarkStart w:id="137" w:name="_Toc332982930"/>
      <w:bookmarkStart w:id="138" w:name="_Toc333830887"/>
      <w:bookmarkStart w:id="139" w:name="_Toc335757715"/>
      <w:bookmarkStart w:id="140" w:name="_Toc374457886"/>
    </w:p>
    <w:p w14:paraId="0256EDF0" w14:textId="77777777" w:rsidR="00331FED" w:rsidRPr="007D770B" w:rsidRDefault="00331FED" w:rsidP="00D804C0">
      <w:pPr>
        <w:pStyle w:val="3"/>
        <w:rPr>
          <w:lang w:val="en-US"/>
        </w:rPr>
      </w:pPr>
      <w:bookmarkStart w:id="141" w:name="_Toc168502043"/>
      <w:r w:rsidRPr="007D770B">
        <w:rPr>
          <w:lang w:val="en-US"/>
        </w:rPr>
        <w:t>3.15. Disclosure of information</w:t>
      </w:r>
      <w:bookmarkEnd w:id="137"/>
      <w:bookmarkEnd w:id="138"/>
      <w:bookmarkEnd w:id="139"/>
      <w:bookmarkEnd w:id="140"/>
      <w:bookmarkEnd w:id="141"/>
    </w:p>
    <w:p w14:paraId="2F31B93E" w14:textId="77777777" w:rsidR="00D804C0" w:rsidRPr="007D770B" w:rsidRDefault="00D804C0" w:rsidP="00D804C0">
      <w:pPr>
        <w:rPr>
          <w:lang w:val="en-US"/>
        </w:rPr>
      </w:pPr>
    </w:p>
    <w:p w14:paraId="5BF2B08E" w14:textId="77777777" w:rsidR="00331FED" w:rsidRPr="007D770B" w:rsidRDefault="00331FED" w:rsidP="00331FED">
      <w:pPr>
        <w:pStyle w:val="1"/>
        <w:numPr>
          <w:ilvl w:val="0"/>
          <w:numId w:val="0"/>
        </w:numPr>
        <w:spacing w:after="240"/>
        <w:rPr>
          <w:sz w:val="20"/>
          <w:szCs w:val="20"/>
          <w:lang w:val="en-US"/>
        </w:rPr>
      </w:pPr>
      <w:r w:rsidRPr="007D770B">
        <w:rPr>
          <w:sz w:val="20"/>
          <w:szCs w:val="20"/>
          <w:lang w:val="en-US"/>
        </w:rPr>
        <w:t>The financial statements of the Bank shall contain information separately about all significant categories of financial instruments, as well as types of income and expenses related to financial instruments and transactions with them.</w:t>
      </w:r>
    </w:p>
    <w:p w14:paraId="086C236A" w14:textId="77777777" w:rsidR="00331FED" w:rsidRPr="007D770B" w:rsidRDefault="00331FED" w:rsidP="00331FED">
      <w:pPr>
        <w:pStyle w:val="1"/>
        <w:numPr>
          <w:ilvl w:val="0"/>
          <w:numId w:val="0"/>
        </w:numPr>
        <w:tabs>
          <w:tab w:val="left" w:pos="360"/>
        </w:tabs>
        <w:spacing w:after="240"/>
        <w:rPr>
          <w:sz w:val="20"/>
          <w:szCs w:val="20"/>
          <w:lang w:val="en-US"/>
        </w:rPr>
      </w:pPr>
      <w:r w:rsidRPr="007D770B">
        <w:rPr>
          <w:sz w:val="20"/>
          <w:szCs w:val="20"/>
          <w:lang w:val="en-US"/>
        </w:rPr>
        <w:t>For each category of financial instruments, the Bank discloses:</w:t>
      </w:r>
    </w:p>
    <w:p w14:paraId="37974C3C" w14:textId="77777777" w:rsidR="00331FED" w:rsidRPr="007D770B" w:rsidRDefault="00331FED" w:rsidP="00AE698A">
      <w:pPr>
        <w:pStyle w:val="21"/>
        <w:numPr>
          <w:ilvl w:val="0"/>
          <w:numId w:val="287"/>
        </w:numPr>
        <w:spacing w:after="240"/>
        <w:rPr>
          <w:sz w:val="20"/>
          <w:szCs w:val="20"/>
          <w:lang w:val="en-US"/>
        </w:rPr>
      </w:pPr>
      <w:r w:rsidRPr="007D770B">
        <w:rPr>
          <w:sz w:val="20"/>
          <w:szCs w:val="20"/>
          <w:lang w:val="en-US"/>
        </w:rPr>
        <w:t>accounting policies, including the recognition criteria applied and the basis of measurement;</w:t>
      </w:r>
    </w:p>
    <w:p w14:paraId="42547283" w14:textId="77777777" w:rsidR="00331FED" w:rsidRPr="007D770B" w:rsidRDefault="00331FED" w:rsidP="00AE698A">
      <w:pPr>
        <w:pStyle w:val="21"/>
        <w:numPr>
          <w:ilvl w:val="0"/>
          <w:numId w:val="287"/>
        </w:numPr>
        <w:spacing w:after="240"/>
        <w:rPr>
          <w:sz w:val="20"/>
          <w:szCs w:val="20"/>
          <w:lang w:val="en-US"/>
        </w:rPr>
      </w:pPr>
      <w:r w:rsidRPr="007D770B">
        <w:rPr>
          <w:sz w:val="20"/>
          <w:szCs w:val="20"/>
          <w:lang w:val="en-US"/>
        </w:rPr>
        <w:t>the following gains and losses related to financial instruments:</w:t>
      </w:r>
    </w:p>
    <w:p w14:paraId="3CB9E7D4" w14:textId="425399FF" w:rsidR="00331FED" w:rsidRPr="007D770B" w:rsidRDefault="00331FED" w:rsidP="00AE698A">
      <w:pPr>
        <w:pStyle w:val="21"/>
        <w:numPr>
          <w:ilvl w:val="0"/>
          <w:numId w:val="350"/>
        </w:numPr>
        <w:rPr>
          <w:sz w:val="20"/>
          <w:szCs w:val="20"/>
          <w:lang w:val="en-US"/>
        </w:rPr>
      </w:pPr>
      <w:r w:rsidRPr="007D770B">
        <w:rPr>
          <w:sz w:val="20"/>
          <w:szCs w:val="20"/>
          <w:lang w:val="en-US"/>
        </w:rPr>
        <w:t>net gains or net losses from:</w:t>
      </w:r>
    </w:p>
    <w:p w14:paraId="42FF7A7F" w14:textId="1D890AB7" w:rsidR="00331FED" w:rsidRPr="007D770B" w:rsidRDefault="00331FED" w:rsidP="00AE698A">
      <w:pPr>
        <w:pStyle w:val="21"/>
        <w:numPr>
          <w:ilvl w:val="0"/>
          <w:numId w:val="346"/>
        </w:numPr>
        <w:rPr>
          <w:sz w:val="20"/>
          <w:szCs w:val="20"/>
          <w:lang w:val="en-US"/>
        </w:rPr>
      </w:pPr>
      <w:r w:rsidRPr="007D770B">
        <w:rPr>
          <w:sz w:val="20"/>
          <w:szCs w:val="20"/>
          <w:lang w:val="en-US"/>
        </w:rPr>
        <w:t>financial assets or financial liabilities at fair value through profit or loss, with a separate disclosure of net gains or net losses for financial assets or financial liabilities designated as such upon initial recognition, and for financial assets or financial liabilities that are designated as at fair value through profit or loss. For financial liabilities classified as at fair value through profit or loss, the Bank discloses separately the amount of gain or loss recognized in other comprehensive income and the amount recognized in profit or loss;</w:t>
      </w:r>
    </w:p>
    <w:p w14:paraId="5E0B22BE" w14:textId="77777777" w:rsidR="00331FED" w:rsidRPr="007D770B" w:rsidRDefault="00331FED" w:rsidP="00AE698A">
      <w:pPr>
        <w:pStyle w:val="21"/>
        <w:numPr>
          <w:ilvl w:val="0"/>
          <w:numId w:val="346"/>
        </w:numPr>
        <w:rPr>
          <w:sz w:val="20"/>
          <w:szCs w:val="20"/>
          <w:lang w:val="en-US"/>
        </w:rPr>
      </w:pPr>
      <w:r w:rsidRPr="007D770B">
        <w:rPr>
          <w:sz w:val="20"/>
          <w:szCs w:val="20"/>
          <w:lang w:val="en-US"/>
        </w:rPr>
        <w:t>financial liabilities measured at amortized cost;</w:t>
      </w:r>
    </w:p>
    <w:p w14:paraId="6C40AD3C" w14:textId="77777777" w:rsidR="00331FED" w:rsidRPr="007D770B" w:rsidRDefault="00331FED" w:rsidP="00AE698A">
      <w:pPr>
        <w:pStyle w:val="21"/>
        <w:numPr>
          <w:ilvl w:val="0"/>
          <w:numId w:val="346"/>
        </w:numPr>
        <w:rPr>
          <w:sz w:val="20"/>
          <w:szCs w:val="20"/>
          <w:lang w:val="en-US"/>
        </w:rPr>
      </w:pPr>
      <w:r w:rsidRPr="007D770B">
        <w:rPr>
          <w:sz w:val="20"/>
          <w:szCs w:val="20"/>
          <w:lang w:val="en-US"/>
        </w:rPr>
        <w:t>financial assets measured at amortized cost;</w:t>
      </w:r>
    </w:p>
    <w:p w14:paraId="0842CB50" w14:textId="77777777" w:rsidR="00331FED" w:rsidRPr="007D770B" w:rsidRDefault="00331FED" w:rsidP="00AE698A">
      <w:pPr>
        <w:pStyle w:val="1"/>
        <w:numPr>
          <w:ilvl w:val="0"/>
          <w:numId w:val="346"/>
        </w:numPr>
        <w:tabs>
          <w:tab w:val="left" w:pos="360"/>
        </w:tabs>
        <w:rPr>
          <w:sz w:val="20"/>
          <w:szCs w:val="20"/>
          <w:lang w:val="en-US"/>
        </w:rPr>
      </w:pPr>
      <w:r w:rsidRPr="007D770B">
        <w:rPr>
          <w:sz w:val="20"/>
          <w:szCs w:val="20"/>
          <w:lang w:val="en-US"/>
        </w:rPr>
        <w:t>investments in equity instruments that are designated as at fair value through other comprehensive income at the Bank's discretion;</w:t>
      </w:r>
    </w:p>
    <w:p w14:paraId="057E80ED" w14:textId="77777777" w:rsidR="00331FED" w:rsidRPr="007D770B" w:rsidRDefault="00331FED" w:rsidP="00AE698A">
      <w:pPr>
        <w:pStyle w:val="1"/>
        <w:numPr>
          <w:ilvl w:val="0"/>
          <w:numId w:val="346"/>
        </w:numPr>
        <w:tabs>
          <w:tab w:val="left" w:pos="360"/>
        </w:tabs>
        <w:rPr>
          <w:sz w:val="20"/>
          <w:szCs w:val="20"/>
          <w:lang w:val="en-US"/>
        </w:rPr>
      </w:pPr>
      <w:r w:rsidRPr="007D770B">
        <w:rPr>
          <w:sz w:val="20"/>
          <w:szCs w:val="20"/>
          <w:lang w:val="en-US"/>
        </w:rPr>
        <w:t>financial assets at fair value through other income 9 with a separate disclosure of the amount of gain or loss recognized in other comprehensive income during the period and the amount reclassified on derecognition from accumulated other comprehensive income to profit or loss.</w:t>
      </w:r>
    </w:p>
    <w:p w14:paraId="6124B4CD" w14:textId="77777777" w:rsidR="00331FED" w:rsidRPr="007D770B" w:rsidRDefault="00331FED" w:rsidP="00331FED">
      <w:pPr>
        <w:pStyle w:val="21"/>
        <w:tabs>
          <w:tab w:val="clear" w:pos="1134"/>
        </w:tabs>
        <w:spacing w:after="240"/>
        <w:ind w:firstLine="0"/>
        <w:rPr>
          <w:sz w:val="20"/>
          <w:szCs w:val="20"/>
          <w:lang w:val="en-US"/>
        </w:rPr>
      </w:pPr>
    </w:p>
    <w:p w14:paraId="5838F8DC" w14:textId="5EA0C205" w:rsidR="00331FED" w:rsidRPr="007D770B" w:rsidRDefault="00331FED" w:rsidP="00AE698A">
      <w:pPr>
        <w:pStyle w:val="1"/>
        <w:numPr>
          <w:ilvl w:val="0"/>
          <w:numId w:val="350"/>
        </w:numPr>
        <w:tabs>
          <w:tab w:val="left" w:pos="360"/>
        </w:tabs>
        <w:rPr>
          <w:sz w:val="20"/>
          <w:szCs w:val="20"/>
          <w:lang w:val="en-US"/>
        </w:rPr>
      </w:pPr>
      <w:r w:rsidRPr="007D770B">
        <w:rPr>
          <w:sz w:val="20"/>
          <w:szCs w:val="20"/>
          <w:lang w:val="en-US"/>
        </w:rPr>
        <w:t>total interest income and total interest expense (calculated using the effective interest method) for financial assets measured at amortized cost or fair value through other comprehensive income or financial liabilities not at fair value through profit or loss;</w:t>
      </w:r>
    </w:p>
    <w:p w14:paraId="1CAFE857" w14:textId="77777777" w:rsidR="00331FED" w:rsidRPr="007D770B" w:rsidRDefault="00331FED" w:rsidP="00AE698A">
      <w:pPr>
        <w:pStyle w:val="1"/>
        <w:numPr>
          <w:ilvl w:val="0"/>
          <w:numId w:val="350"/>
        </w:numPr>
        <w:tabs>
          <w:tab w:val="left" w:pos="360"/>
        </w:tabs>
        <w:rPr>
          <w:sz w:val="20"/>
          <w:szCs w:val="20"/>
          <w:lang w:val="en-US"/>
        </w:rPr>
      </w:pPr>
      <w:r w:rsidRPr="007D770B">
        <w:rPr>
          <w:sz w:val="20"/>
          <w:szCs w:val="20"/>
          <w:lang w:val="en-US"/>
        </w:rPr>
        <w:t>fee and commission income and expense (other than amounts included in determining the effective interest rate) on:</w:t>
      </w:r>
    </w:p>
    <w:p w14:paraId="237111F9" w14:textId="77777777" w:rsidR="00331FED" w:rsidRPr="007D770B" w:rsidRDefault="00331FED" w:rsidP="00AE698A">
      <w:pPr>
        <w:pStyle w:val="1"/>
        <w:numPr>
          <w:ilvl w:val="0"/>
          <w:numId w:val="351"/>
        </w:numPr>
        <w:tabs>
          <w:tab w:val="left" w:pos="360"/>
        </w:tabs>
        <w:ind w:left="1800"/>
        <w:rPr>
          <w:sz w:val="20"/>
          <w:szCs w:val="20"/>
          <w:lang w:val="en-US"/>
        </w:rPr>
      </w:pPr>
      <w:r w:rsidRPr="007D770B">
        <w:rPr>
          <w:sz w:val="20"/>
          <w:szCs w:val="20"/>
          <w:lang w:val="en-US"/>
        </w:rPr>
        <w:t>financial assets or financial liabilities not at fair value through profit or loss;</w:t>
      </w:r>
    </w:p>
    <w:p w14:paraId="43CB320F" w14:textId="77777777" w:rsidR="00331FED" w:rsidRPr="007D770B" w:rsidRDefault="00331FED" w:rsidP="00AE698A">
      <w:pPr>
        <w:pStyle w:val="1"/>
        <w:numPr>
          <w:ilvl w:val="0"/>
          <w:numId w:val="351"/>
        </w:numPr>
        <w:tabs>
          <w:tab w:val="left" w:pos="360"/>
        </w:tabs>
        <w:spacing w:after="240"/>
        <w:ind w:left="1800"/>
        <w:rPr>
          <w:sz w:val="20"/>
          <w:szCs w:val="20"/>
          <w:lang w:val="en-US"/>
        </w:rPr>
      </w:pPr>
      <w:r w:rsidRPr="007D770B">
        <w:rPr>
          <w:sz w:val="20"/>
          <w:szCs w:val="20"/>
          <w:lang w:val="en-US"/>
        </w:rPr>
        <w:t>trust and other fiduciary transactions whereby assets are held or invested on behalf of individuals, trusts, pension funds and other institutions;</w:t>
      </w:r>
    </w:p>
    <w:p w14:paraId="654C308E" w14:textId="74CC8842" w:rsidR="00331FED" w:rsidRPr="007D770B" w:rsidRDefault="00331FED" w:rsidP="00331FED">
      <w:pPr>
        <w:pStyle w:val="1"/>
        <w:numPr>
          <w:ilvl w:val="0"/>
          <w:numId w:val="0"/>
        </w:numPr>
        <w:tabs>
          <w:tab w:val="left" w:pos="360"/>
        </w:tabs>
        <w:spacing w:after="240"/>
        <w:rPr>
          <w:sz w:val="20"/>
          <w:szCs w:val="20"/>
          <w:lang w:val="en-US"/>
        </w:rPr>
      </w:pPr>
      <w:r w:rsidRPr="007D770B">
        <w:rPr>
          <w:sz w:val="20"/>
          <w:szCs w:val="20"/>
          <w:lang w:val="en-US"/>
        </w:rPr>
        <w:t>For each class of financial assets and financial liabilities, the Bank provides fair value information for the purpose of comparing these amounts with the corresponding carrying amounts.</w:t>
      </w:r>
    </w:p>
    <w:p w14:paraId="36EF9FE3" w14:textId="77777777" w:rsidR="00331FED" w:rsidRPr="007D770B" w:rsidRDefault="00331FED" w:rsidP="00331FED">
      <w:pPr>
        <w:pStyle w:val="1"/>
        <w:numPr>
          <w:ilvl w:val="0"/>
          <w:numId w:val="0"/>
        </w:numPr>
        <w:tabs>
          <w:tab w:val="left" w:pos="360"/>
        </w:tabs>
        <w:spacing w:after="240"/>
        <w:rPr>
          <w:sz w:val="20"/>
          <w:szCs w:val="20"/>
          <w:lang w:val="en-US"/>
        </w:rPr>
      </w:pPr>
      <w:r w:rsidRPr="007D770B">
        <w:rPr>
          <w:b/>
          <w:i/>
          <w:sz w:val="20"/>
          <w:szCs w:val="20"/>
          <w:lang w:val="en-US"/>
        </w:rPr>
        <w:t>Fair value.</w:t>
      </w:r>
      <w:r w:rsidRPr="007D770B">
        <w:rPr>
          <w:sz w:val="20"/>
          <w:szCs w:val="20"/>
          <w:lang w:val="en-US"/>
        </w:rPr>
        <w:t xml:space="preserve"> The fair value presentation includes a description of the method used to determine fair value and, if a valuation technique is used, the significant assumptions underlying that calculation. If there has been a change in the valuation method, the Bank discloses the change and the reasons for the change in the financial statements. </w:t>
      </w:r>
    </w:p>
    <w:p w14:paraId="0E001031" w14:textId="7DFA77AB" w:rsidR="005F1C94" w:rsidRPr="007D770B" w:rsidRDefault="00331FED" w:rsidP="005F1C94">
      <w:pPr>
        <w:widowControl w:val="0"/>
        <w:tabs>
          <w:tab w:val="left" w:pos="0"/>
        </w:tabs>
        <w:spacing w:line="240" w:lineRule="auto"/>
        <w:ind w:left="0"/>
        <w:rPr>
          <w:rFonts w:ascii="Times New Roman" w:hAnsi="Times New Roman"/>
          <w:i/>
          <w:snapToGrid w:val="0"/>
          <w:color w:val="00B0F0"/>
          <w:szCs w:val="22"/>
          <w:lang w:val="en-US"/>
        </w:rPr>
      </w:pPr>
      <w:r w:rsidRPr="007D770B">
        <w:rPr>
          <w:rFonts w:ascii="Times New Roman" w:hAnsi="Times New Roman"/>
          <w:lang w:val="en-US"/>
        </w:rPr>
        <w:t xml:space="preserve">Levels and methods of fair value measurement are </w:t>
      </w:r>
      <w:r w:rsidR="005F1C94" w:rsidRPr="007D770B">
        <w:rPr>
          <w:rFonts w:ascii="Times New Roman" w:hAnsi="Times New Roman"/>
          <w:lang w:val="en-US"/>
        </w:rPr>
        <w:t xml:space="preserve">determined in </w:t>
      </w:r>
      <w:r w:rsidRPr="007D770B">
        <w:rPr>
          <w:rFonts w:ascii="Times New Roman" w:hAnsi="Times New Roman"/>
          <w:lang w:val="en-US"/>
        </w:rPr>
        <w:t xml:space="preserve">accordance with the requirements of Section </w:t>
      </w:r>
      <w:r w:rsidR="007F67F6" w:rsidRPr="007D770B">
        <w:rPr>
          <w:rFonts w:ascii="Times New Roman" w:hAnsi="Times New Roman"/>
          <w:lang w:val="en-US"/>
        </w:rPr>
        <w:t xml:space="preserve">5 </w:t>
      </w:r>
      <w:r w:rsidR="00802136" w:rsidRPr="007D770B">
        <w:rPr>
          <w:rFonts w:ascii="Times New Roman" w:hAnsi="Times New Roman"/>
          <w:lang w:val="en-US"/>
        </w:rPr>
        <w:t>"</w:t>
      </w:r>
      <w:r w:rsidRPr="007D770B">
        <w:rPr>
          <w:rFonts w:ascii="Times New Roman" w:hAnsi="Times New Roman"/>
          <w:lang w:val="en-US"/>
        </w:rPr>
        <w:t>Fair Value Measurement</w:t>
      </w:r>
      <w:r w:rsidR="00802136" w:rsidRPr="007D770B">
        <w:rPr>
          <w:rFonts w:ascii="Times New Roman" w:hAnsi="Times New Roman"/>
          <w:lang w:val="en-US"/>
        </w:rPr>
        <w:t>"</w:t>
      </w:r>
      <w:r w:rsidRPr="007D770B">
        <w:rPr>
          <w:rFonts w:ascii="Times New Roman" w:hAnsi="Times New Roman"/>
          <w:lang w:val="en-US"/>
        </w:rPr>
        <w:t xml:space="preserve">, Chapter 3. </w:t>
      </w:r>
      <w:r w:rsidR="005F1C94" w:rsidRPr="007D770B">
        <w:rPr>
          <w:rFonts w:ascii="Times New Roman" w:eastAsia="Times New Roman" w:hAnsi="Times New Roman"/>
          <w:i/>
          <w:snapToGrid w:val="0"/>
          <w:color w:val="3366FF"/>
          <w:szCs w:val="22"/>
          <w:lang w:val="en-US" w:eastAsia="ru-RU"/>
        </w:rPr>
        <w:t xml:space="preserve">(Subparagraph " Fair Value." item 3.15. was amended by the decision of the Board of Directors dated </w:t>
      </w:r>
      <w:r w:rsidR="009F246D" w:rsidRPr="007D770B">
        <w:rPr>
          <w:rFonts w:ascii="Times New Roman" w:eastAsia="Times New Roman" w:hAnsi="Times New Roman"/>
          <w:i/>
          <w:snapToGrid w:val="0"/>
          <w:color w:val="3366FF"/>
          <w:szCs w:val="22"/>
          <w:lang w:val="en-US" w:eastAsia="ru-RU"/>
        </w:rPr>
        <w:t>31</w:t>
      </w:r>
      <w:r w:rsidR="005F1C94" w:rsidRPr="007D770B">
        <w:rPr>
          <w:rFonts w:ascii="Times New Roman" w:eastAsia="Times New Roman" w:hAnsi="Times New Roman"/>
          <w:i/>
          <w:snapToGrid w:val="0"/>
          <w:color w:val="3366FF"/>
          <w:szCs w:val="22"/>
          <w:lang w:val="en-US" w:eastAsia="ru-RU"/>
        </w:rPr>
        <w:t>.</w:t>
      </w:r>
      <w:r w:rsidR="009F246D" w:rsidRPr="007D770B">
        <w:rPr>
          <w:rFonts w:ascii="Times New Roman" w:eastAsia="Times New Roman" w:hAnsi="Times New Roman"/>
          <w:i/>
          <w:snapToGrid w:val="0"/>
          <w:color w:val="3366FF"/>
          <w:szCs w:val="22"/>
          <w:lang w:val="en-US" w:eastAsia="ru-RU"/>
        </w:rPr>
        <w:t>10</w:t>
      </w:r>
      <w:r w:rsidR="005F1C94" w:rsidRPr="007D770B">
        <w:rPr>
          <w:rFonts w:ascii="Times New Roman" w:eastAsia="Times New Roman" w:hAnsi="Times New Roman"/>
          <w:i/>
          <w:snapToGrid w:val="0"/>
          <w:color w:val="3366FF"/>
          <w:szCs w:val="22"/>
          <w:lang w:val="en-US" w:eastAsia="ru-RU"/>
        </w:rPr>
        <w:t xml:space="preserve">.2019 (Minutes No. </w:t>
      </w:r>
      <w:r w:rsidR="009F246D" w:rsidRPr="007D770B">
        <w:rPr>
          <w:rFonts w:ascii="Times New Roman" w:eastAsia="Times New Roman" w:hAnsi="Times New Roman"/>
          <w:i/>
          <w:snapToGrid w:val="0"/>
          <w:color w:val="3366FF"/>
          <w:szCs w:val="22"/>
          <w:lang w:val="en-US" w:eastAsia="ru-RU"/>
        </w:rPr>
        <w:t>13</w:t>
      </w:r>
      <w:r w:rsidR="005F1C94" w:rsidRPr="007D770B">
        <w:rPr>
          <w:rFonts w:ascii="Times New Roman" w:eastAsia="Times New Roman" w:hAnsi="Times New Roman"/>
          <w:i/>
          <w:snapToGrid w:val="0"/>
          <w:color w:val="3366FF"/>
          <w:szCs w:val="22"/>
          <w:lang w:val="en-US" w:eastAsia="ru-RU"/>
        </w:rPr>
        <w:t>)</w:t>
      </w:r>
    </w:p>
    <w:p w14:paraId="1AB4095B" w14:textId="77777777" w:rsidR="00331FED" w:rsidRPr="007D770B" w:rsidRDefault="00331FED" w:rsidP="00331FED">
      <w:pPr>
        <w:pStyle w:val="1"/>
        <w:numPr>
          <w:ilvl w:val="0"/>
          <w:numId w:val="0"/>
        </w:numPr>
        <w:tabs>
          <w:tab w:val="left" w:pos="360"/>
        </w:tabs>
        <w:spacing w:after="240"/>
        <w:rPr>
          <w:sz w:val="20"/>
          <w:szCs w:val="20"/>
          <w:lang w:val="en-US"/>
        </w:rPr>
      </w:pPr>
      <w:r w:rsidRPr="007D770B">
        <w:rPr>
          <w:b/>
          <w:i/>
          <w:sz w:val="20"/>
          <w:szCs w:val="20"/>
          <w:lang w:val="en-US"/>
        </w:rPr>
        <w:lastRenderedPageBreak/>
        <w:t xml:space="preserve">Risk Exposure. </w:t>
      </w:r>
      <w:r w:rsidRPr="007D770B">
        <w:rPr>
          <w:sz w:val="20"/>
          <w:szCs w:val="20"/>
          <w:lang w:val="en-US"/>
        </w:rPr>
        <w:t>For each category of financial instruments the Bank discloses its exposure:</w:t>
      </w:r>
    </w:p>
    <w:p w14:paraId="07D7B1DE" w14:textId="77777777" w:rsidR="00331FED" w:rsidRPr="00F41327" w:rsidRDefault="00331FED" w:rsidP="00AE698A">
      <w:pPr>
        <w:pStyle w:val="21"/>
        <w:numPr>
          <w:ilvl w:val="0"/>
          <w:numId w:val="288"/>
        </w:numPr>
        <w:spacing w:after="240"/>
        <w:rPr>
          <w:sz w:val="20"/>
          <w:szCs w:val="20"/>
        </w:rPr>
      </w:pPr>
      <w:r w:rsidRPr="00F41327">
        <w:rPr>
          <w:sz w:val="20"/>
          <w:szCs w:val="20"/>
        </w:rPr>
        <w:t>credit risk;</w:t>
      </w:r>
    </w:p>
    <w:p w14:paraId="78CF41E6" w14:textId="77777777" w:rsidR="00331FED" w:rsidRPr="00F41327" w:rsidRDefault="00331FED" w:rsidP="00AE698A">
      <w:pPr>
        <w:pStyle w:val="21"/>
        <w:numPr>
          <w:ilvl w:val="0"/>
          <w:numId w:val="288"/>
        </w:numPr>
        <w:spacing w:after="240"/>
        <w:rPr>
          <w:sz w:val="20"/>
          <w:szCs w:val="20"/>
        </w:rPr>
      </w:pPr>
      <w:r w:rsidRPr="00F41327">
        <w:rPr>
          <w:sz w:val="20"/>
          <w:szCs w:val="20"/>
        </w:rPr>
        <w:t>liquidity risk;</w:t>
      </w:r>
    </w:p>
    <w:p w14:paraId="422013DC" w14:textId="77777777" w:rsidR="00331FED" w:rsidRPr="00F41327" w:rsidRDefault="00331FED" w:rsidP="00AE698A">
      <w:pPr>
        <w:pStyle w:val="21"/>
        <w:numPr>
          <w:ilvl w:val="0"/>
          <w:numId w:val="288"/>
        </w:numPr>
        <w:spacing w:after="240"/>
        <w:rPr>
          <w:sz w:val="20"/>
          <w:szCs w:val="20"/>
        </w:rPr>
      </w:pPr>
      <w:r w:rsidRPr="00F41327">
        <w:rPr>
          <w:sz w:val="20"/>
          <w:szCs w:val="20"/>
        </w:rPr>
        <w:t>market risk;</w:t>
      </w:r>
    </w:p>
    <w:p w14:paraId="63A6A9C6" w14:textId="77777777" w:rsidR="00331FED" w:rsidRPr="007D770B" w:rsidRDefault="00331FED" w:rsidP="00331FED">
      <w:pPr>
        <w:pStyle w:val="af4"/>
        <w:spacing w:after="240"/>
        <w:ind w:firstLine="0"/>
        <w:rPr>
          <w:sz w:val="20"/>
          <w:szCs w:val="20"/>
          <w:lang w:val="en-US"/>
        </w:rPr>
      </w:pPr>
      <w:r w:rsidRPr="007D770B">
        <w:rPr>
          <w:sz w:val="20"/>
          <w:szCs w:val="20"/>
          <w:lang w:val="en-US"/>
        </w:rPr>
        <w:t>to the following extent for each type of risk:</w:t>
      </w:r>
    </w:p>
    <w:p w14:paraId="0BCBFC61" w14:textId="77777777" w:rsidR="00331FED" w:rsidRPr="007D770B" w:rsidRDefault="00331FED" w:rsidP="00AE698A">
      <w:pPr>
        <w:pStyle w:val="21"/>
        <w:numPr>
          <w:ilvl w:val="0"/>
          <w:numId w:val="289"/>
        </w:numPr>
        <w:spacing w:after="240"/>
        <w:rPr>
          <w:sz w:val="20"/>
          <w:szCs w:val="20"/>
          <w:lang w:val="en-US"/>
        </w:rPr>
      </w:pPr>
      <w:r w:rsidRPr="007D770B">
        <w:rPr>
          <w:sz w:val="20"/>
          <w:szCs w:val="20"/>
          <w:lang w:val="en-US"/>
        </w:rPr>
        <w:t>exposure to risks and the reasons for their occurrence;</w:t>
      </w:r>
    </w:p>
    <w:p w14:paraId="2B9DDAD9" w14:textId="77777777" w:rsidR="00331FED" w:rsidRPr="007D770B" w:rsidRDefault="00331FED" w:rsidP="00AE698A">
      <w:pPr>
        <w:pStyle w:val="21"/>
        <w:numPr>
          <w:ilvl w:val="0"/>
          <w:numId w:val="289"/>
        </w:numPr>
        <w:spacing w:after="240"/>
        <w:rPr>
          <w:sz w:val="20"/>
          <w:szCs w:val="20"/>
          <w:lang w:val="en-US"/>
        </w:rPr>
      </w:pPr>
      <w:r w:rsidRPr="007D770B">
        <w:rPr>
          <w:sz w:val="20"/>
          <w:szCs w:val="20"/>
          <w:lang w:val="en-US"/>
        </w:rPr>
        <w:t>methods used for risk assessment and risk management policies;</w:t>
      </w:r>
    </w:p>
    <w:p w14:paraId="61E186DB" w14:textId="77777777" w:rsidR="00331FED" w:rsidRPr="007D770B" w:rsidRDefault="00331FED" w:rsidP="00AE698A">
      <w:pPr>
        <w:pStyle w:val="21"/>
        <w:numPr>
          <w:ilvl w:val="0"/>
          <w:numId w:val="289"/>
        </w:numPr>
        <w:spacing w:after="240"/>
        <w:rPr>
          <w:sz w:val="20"/>
          <w:szCs w:val="20"/>
          <w:lang w:val="en-US"/>
        </w:rPr>
      </w:pPr>
      <w:r w:rsidRPr="007D770B">
        <w:rPr>
          <w:sz w:val="20"/>
          <w:szCs w:val="20"/>
          <w:lang w:val="en-US"/>
        </w:rPr>
        <w:t>the data that best represent the exposure at the balance sheet date;</w:t>
      </w:r>
    </w:p>
    <w:p w14:paraId="23FF591A" w14:textId="77777777" w:rsidR="00331FED" w:rsidRPr="007D770B" w:rsidRDefault="00331FED" w:rsidP="00AE698A">
      <w:pPr>
        <w:pStyle w:val="21"/>
        <w:numPr>
          <w:ilvl w:val="0"/>
          <w:numId w:val="289"/>
        </w:numPr>
        <w:spacing w:after="240"/>
        <w:rPr>
          <w:sz w:val="20"/>
          <w:szCs w:val="20"/>
          <w:lang w:val="en-US"/>
        </w:rPr>
      </w:pPr>
      <w:r w:rsidRPr="007D770B">
        <w:rPr>
          <w:sz w:val="20"/>
          <w:szCs w:val="20"/>
          <w:lang w:val="en-US"/>
        </w:rPr>
        <w:t>a significant concentration of risks;</w:t>
      </w:r>
    </w:p>
    <w:p w14:paraId="1609F03F" w14:textId="77777777" w:rsidR="00331FED" w:rsidRPr="007D770B" w:rsidRDefault="00331FED" w:rsidP="00AE698A">
      <w:pPr>
        <w:pStyle w:val="21"/>
        <w:numPr>
          <w:ilvl w:val="0"/>
          <w:numId w:val="289"/>
        </w:numPr>
        <w:spacing w:after="240"/>
        <w:rPr>
          <w:sz w:val="20"/>
          <w:szCs w:val="20"/>
          <w:lang w:val="en-US"/>
        </w:rPr>
      </w:pPr>
      <w:r w:rsidRPr="007D770B">
        <w:rPr>
          <w:sz w:val="20"/>
          <w:szCs w:val="20"/>
          <w:lang w:val="en-US"/>
        </w:rPr>
        <w:t>and any changes from the previous reporting period.</w:t>
      </w:r>
    </w:p>
    <w:p w14:paraId="16526466" w14:textId="77777777" w:rsidR="00331FED" w:rsidRPr="007D770B" w:rsidRDefault="00331FED" w:rsidP="00331FED">
      <w:pPr>
        <w:pStyle w:val="21"/>
        <w:tabs>
          <w:tab w:val="clear" w:pos="1134"/>
        </w:tabs>
        <w:spacing w:after="240"/>
        <w:ind w:firstLine="0"/>
        <w:rPr>
          <w:sz w:val="20"/>
          <w:szCs w:val="20"/>
          <w:lang w:val="en-US"/>
        </w:rPr>
      </w:pPr>
      <w:r w:rsidRPr="007D770B">
        <w:rPr>
          <w:sz w:val="20"/>
          <w:szCs w:val="20"/>
          <w:lang w:val="en-US"/>
        </w:rPr>
        <w:t>Exposure to risks associated with financial instruments may be stated as follows:</w:t>
      </w:r>
    </w:p>
    <w:p w14:paraId="71E269C7" w14:textId="77777777" w:rsidR="00331FED" w:rsidRPr="00F41327" w:rsidRDefault="00331FED" w:rsidP="00331FED">
      <w:pPr>
        <w:pStyle w:val="1"/>
        <w:numPr>
          <w:ilvl w:val="0"/>
          <w:numId w:val="0"/>
        </w:numPr>
        <w:spacing w:after="240"/>
        <w:rPr>
          <w:sz w:val="20"/>
          <w:szCs w:val="20"/>
        </w:rPr>
      </w:pPr>
      <w:r>
        <w:rPr>
          <w:noProof/>
          <w:lang w:eastAsia="ru-RU"/>
        </w:rPr>
        <mc:AlternateContent>
          <mc:Choice Requires="wpc">
            <w:drawing>
              <wp:inline distT="0" distB="0" distL="0" distR="0" wp14:anchorId="19D8F1A2" wp14:editId="71D7A961">
                <wp:extent cx="6040755" cy="3460750"/>
                <wp:effectExtent l="0" t="19050" r="0" b="0"/>
                <wp:docPr id="1037" name="Canvas 2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016" name="AutoShape 4"/>
                        <wps:cNvSpPr>
                          <a:spLocks noChangeAspect="1" noChangeArrowheads="1"/>
                        </wps:cNvSpPr>
                        <wps:spPr bwMode="auto">
                          <a:xfrm>
                            <a:off x="114300" y="0"/>
                            <a:ext cx="5926455" cy="3406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7" name="Rectangle 5"/>
                        <wps:cNvSpPr>
                          <a:spLocks noChangeArrowheads="1"/>
                        </wps:cNvSpPr>
                        <wps:spPr bwMode="blackWhite">
                          <a:xfrm>
                            <a:off x="1772920" y="0"/>
                            <a:ext cx="2205248" cy="260985"/>
                          </a:xfrm>
                          <a:prstGeom prst="rect">
                            <a:avLst/>
                          </a:prstGeom>
                          <a:solidFill>
                            <a:srgbClr val="ADC1E2"/>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2666A6"/>
                                  </a:outerShdw>
                                </a:effectLst>
                              </a14:hiddenEffects>
                            </a:ext>
                          </a:extLst>
                        </wps:spPr>
                        <wps:txbx>
                          <w:txbxContent>
                            <w:p w14:paraId="71015B3F" w14:textId="77777777" w:rsidR="003A587C" w:rsidRPr="004B53CD" w:rsidRDefault="003A587C" w:rsidP="00331FED">
                              <w:pPr>
                                <w:autoSpaceDE w:val="0"/>
                                <w:autoSpaceDN w:val="0"/>
                                <w:adjustRightInd w:val="0"/>
                                <w:spacing w:after="0" w:line="240" w:lineRule="auto"/>
                                <w:ind w:left="0"/>
                                <w:jc w:val="center"/>
                                <w:rPr>
                                  <w:rFonts w:ascii="Times New Roman" w:hAnsi="Times New Roman"/>
                                  <w:sz w:val="18"/>
                                  <w:szCs w:val="18"/>
                                </w:rPr>
                              </w:pPr>
                              <w:r w:rsidRPr="004B53CD">
                                <w:rPr>
                                  <w:rFonts w:ascii="Times New Roman" w:hAnsi="Times New Roman"/>
                                  <w:b/>
                                  <w:bCs/>
                                  <w:sz w:val="18"/>
                                  <w:szCs w:val="18"/>
                                </w:rPr>
                                <w:t>Risks associated with financial instruments</w:t>
                              </w:r>
                            </w:p>
                          </w:txbxContent>
                        </wps:txbx>
                        <wps:bodyPr rot="0" vert="horz" wrap="none" lIns="32004" tIns="0" rIns="32659" bIns="0" anchor="ctr" anchorCtr="0" upright="1">
                          <a:noAutofit/>
                        </wps:bodyPr>
                      </wps:wsp>
                      <wps:wsp>
                        <wps:cNvPr id="1018" name="Rectangle 6"/>
                        <wps:cNvSpPr>
                          <a:spLocks noChangeArrowheads="1"/>
                        </wps:cNvSpPr>
                        <wps:spPr bwMode="blackWhite">
                          <a:xfrm>
                            <a:off x="0" y="600075"/>
                            <a:ext cx="1800225" cy="935990"/>
                          </a:xfrm>
                          <a:prstGeom prst="rect">
                            <a:avLst/>
                          </a:prstGeom>
                          <a:solidFill>
                            <a:srgbClr val="ADC1E2"/>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2666A6"/>
                                  </a:outerShdw>
                                </a:effectLst>
                              </a14:hiddenEffects>
                            </a:ext>
                          </a:extLst>
                        </wps:spPr>
                        <wps:txbx>
                          <w:txbxContent>
                            <w:p w14:paraId="65766D19" w14:textId="77777777" w:rsidR="003A587C" w:rsidRPr="007D770B" w:rsidRDefault="003A587C" w:rsidP="00331FED">
                              <w:pPr>
                                <w:autoSpaceDE w:val="0"/>
                                <w:autoSpaceDN w:val="0"/>
                                <w:adjustRightInd w:val="0"/>
                                <w:spacing w:after="0"/>
                                <w:ind w:left="0"/>
                                <w:rPr>
                                  <w:rFonts w:ascii="Times New Roman" w:hAnsi="Times New Roman"/>
                                  <w:b/>
                                  <w:bCs/>
                                  <w:sz w:val="18"/>
                                  <w:szCs w:val="18"/>
                                  <w:lang w:val="en-US"/>
                                </w:rPr>
                              </w:pPr>
                              <w:r w:rsidRPr="007D770B">
                                <w:rPr>
                                  <w:rFonts w:ascii="Times New Roman" w:hAnsi="Times New Roman"/>
                                  <w:b/>
                                  <w:bCs/>
                                  <w:sz w:val="18"/>
                                  <w:szCs w:val="18"/>
                                  <w:lang w:val="en-US"/>
                                </w:rPr>
                                <w:t>Credit risk</w:t>
                              </w:r>
                            </w:p>
                            <w:p w14:paraId="0B444F39" w14:textId="77777777" w:rsidR="003A587C" w:rsidRPr="007D770B" w:rsidRDefault="003A587C" w:rsidP="00331FED">
                              <w:pPr>
                                <w:autoSpaceDE w:val="0"/>
                                <w:autoSpaceDN w:val="0"/>
                                <w:adjustRightInd w:val="0"/>
                                <w:spacing w:after="0"/>
                                <w:ind w:left="0"/>
                                <w:rPr>
                                  <w:rFonts w:ascii="Times New Roman" w:hAnsi="Times New Roman"/>
                                  <w:b/>
                                  <w:bCs/>
                                  <w:sz w:val="18"/>
                                  <w:szCs w:val="18"/>
                                  <w:lang w:val="en-US"/>
                                </w:rPr>
                              </w:pPr>
                              <w:r w:rsidRPr="007D770B">
                                <w:rPr>
                                  <w:rFonts w:ascii="Times New Roman" w:hAnsi="Times New Roman"/>
                                  <w:b/>
                                  <w:bCs/>
                                  <w:sz w:val="18"/>
                                  <w:szCs w:val="18"/>
                                  <w:lang w:val="en-US"/>
                                </w:rPr>
                                <w:t xml:space="preserve">Qualitative assessment </w:t>
                              </w:r>
                            </w:p>
                            <w:p w14:paraId="569FE9D7" w14:textId="77777777" w:rsidR="003A587C" w:rsidRPr="007D770B" w:rsidRDefault="003A587C" w:rsidP="00331FED">
                              <w:pPr>
                                <w:autoSpaceDE w:val="0"/>
                                <w:autoSpaceDN w:val="0"/>
                                <w:adjustRightInd w:val="0"/>
                                <w:spacing w:after="0"/>
                                <w:ind w:left="0"/>
                                <w:rPr>
                                  <w:rFonts w:ascii="Times New Roman" w:hAnsi="Times New Roman"/>
                                  <w:b/>
                                  <w:bCs/>
                                  <w:sz w:val="18"/>
                                  <w:szCs w:val="18"/>
                                  <w:lang w:val="en-US"/>
                                </w:rPr>
                              </w:pPr>
                              <w:r w:rsidRPr="007D770B">
                                <w:rPr>
                                  <w:rFonts w:ascii="Times New Roman" w:hAnsi="Times New Roman"/>
                                  <w:b/>
                                  <w:bCs/>
                                  <w:sz w:val="18"/>
                                  <w:szCs w:val="18"/>
                                  <w:lang w:val="en-US"/>
                                </w:rPr>
                                <w:t>Quantification:</w:t>
                              </w:r>
                            </w:p>
                            <w:p w14:paraId="4FDAB66B" w14:textId="77777777" w:rsidR="003A587C" w:rsidRPr="004B53CD" w:rsidRDefault="003A587C" w:rsidP="00AE698A">
                              <w:pPr>
                                <w:numPr>
                                  <w:ilvl w:val="0"/>
                                  <w:numId w:val="35"/>
                                </w:numPr>
                                <w:autoSpaceDE w:val="0"/>
                                <w:autoSpaceDN w:val="0"/>
                                <w:adjustRightInd w:val="0"/>
                                <w:spacing w:after="0" w:line="240" w:lineRule="auto"/>
                                <w:ind w:left="270" w:hanging="270"/>
                                <w:jc w:val="left"/>
                                <w:rPr>
                                  <w:rFonts w:ascii="Times New Roman" w:hAnsi="Times New Roman"/>
                                  <w:sz w:val="18"/>
                                  <w:szCs w:val="18"/>
                                </w:rPr>
                              </w:pPr>
                              <w:r w:rsidRPr="004B53CD">
                                <w:rPr>
                                  <w:rFonts w:ascii="Times New Roman" w:hAnsi="Times New Roman"/>
                                  <w:sz w:val="18"/>
                                  <w:szCs w:val="18"/>
                                </w:rPr>
                                <w:t>Credit quality</w:t>
                              </w:r>
                            </w:p>
                            <w:p w14:paraId="1495147F" w14:textId="77777777" w:rsidR="003A587C" w:rsidRPr="004B53CD" w:rsidRDefault="003A587C" w:rsidP="00AE698A">
                              <w:pPr>
                                <w:numPr>
                                  <w:ilvl w:val="0"/>
                                  <w:numId w:val="35"/>
                                </w:numPr>
                                <w:autoSpaceDE w:val="0"/>
                                <w:autoSpaceDN w:val="0"/>
                                <w:adjustRightInd w:val="0"/>
                                <w:spacing w:after="0" w:line="240" w:lineRule="auto"/>
                                <w:ind w:left="270" w:hanging="270"/>
                                <w:jc w:val="left"/>
                                <w:rPr>
                                  <w:rFonts w:ascii="Times New Roman" w:hAnsi="Times New Roman"/>
                                  <w:sz w:val="18"/>
                                  <w:szCs w:val="18"/>
                                </w:rPr>
                              </w:pPr>
                              <w:r w:rsidRPr="004B53CD">
                                <w:rPr>
                                  <w:rFonts w:ascii="Times New Roman" w:hAnsi="Times New Roman"/>
                                  <w:sz w:val="18"/>
                                  <w:szCs w:val="18"/>
                                </w:rPr>
                                <w:t>provisioning</w:t>
                              </w:r>
                            </w:p>
                            <w:p w14:paraId="363FF5A6" w14:textId="77777777" w:rsidR="003A587C" w:rsidRPr="004B53CD" w:rsidRDefault="003A587C" w:rsidP="00AE698A">
                              <w:pPr>
                                <w:numPr>
                                  <w:ilvl w:val="0"/>
                                  <w:numId w:val="35"/>
                                </w:numPr>
                                <w:autoSpaceDE w:val="0"/>
                                <w:autoSpaceDN w:val="0"/>
                                <w:adjustRightInd w:val="0"/>
                                <w:spacing w:after="0" w:line="240" w:lineRule="auto"/>
                                <w:ind w:left="270" w:hanging="270"/>
                                <w:jc w:val="left"/>
                                <w:rPr>
                                  <w:rFonts w:ascii="Times New Roman" w:hAnsi="Times New Roman"/>
                                  <w:sz w:val="18"/>
                                  <w:szCs w:val="18"/>
                                </w:rPr>
                              </w:pPr>
                              <w:r w:rsidRPr="004B53CD">
                                <w:rPr>
                                  <w:rFonts w:ascii="Times New Roman" w:hAnsi="Times New Roman"/>
                                  <w:sz w:val="18"/>
                                  <w:szCs w:val="18"/>
                                </w:rPr>
                                <w:t>Estimated Returns</w:t>
                              </w:r>
                            </w:p>
                          </w:txbxContent>
                        </wps:txbx>
                        <wps:bodyPr rot="0" vert="horz" wrap="square" lIns="32004" tIns="0" rIns="32659" bIns="0" anchor="ctr" anchorCtr="0" upright="1">
                          <a:noAutofit/>
                        </wps:bodyPr>
                      </wps:wsp>
                      <wps:wsp>
                        <wps:cNvPr id="1019" name="Rectangle 7"/>
                        <wps:cNvSpPr>
                          <a:spLocks noChangeArrowheads="1"/>
                        </wps:cNvSpPr>
                        <wps:spPr bwMode="blackWhite">
                          <a:xfrm>
                            <a:off x="2271395" y="613410"/>
                            <a:ext cx="1843405" cy="934085"/>
                          </a:xfrm>
                          <a:prstGeom prst="rect">
                            <a:avLst/>
                          </a:prstGeom>
                          <a:solidFill>
                            <a:srgbClr val="ADC1E2"/>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2666A6"/>
                                  </a:outerShdw>
                                </a:effectLst>
                              </a14:hiddenEffects>
                            </a:ext>
                          </a:extLst>
                        </wps:spPr>
                        <wps:txbx>
                          <w:txbxContent>
                            <w:p w14:paraId="2A5924B0" w14:textId="77777777" w:rsidR="003A587C" w:rsidRPr="007D770B" w:rsidRDefault="003A587C" w:rsidP="00331FED">
                              <w:pPr>
                                <w:autoSpaceDE w:val="0"/>
                                <w:autoSpaceDN w:val="0"/>
                                <w:adjustRightInd w:val="0"/>
                                <w:spacing w:after="0" w:line="240" w:lineRule="auto"/>
                                <w:ind w:left="90"/>
                                <w:rPr>
                                  <w:rFonts w:ascii="Times New Roman" w:hAnsi="Times New Roman"/>
                                  <w:b/>
                                  <w:bCs/>
                                  <w:sz w:val="18"/>
                                  <w:szCs w:val="18"/>
                                  <w:lang w:val="en-US"/>
                                </w:rPr>
                              </w:pPr>
                              <w:r w:rsidRPr="007D770B">
                                <w:rPr>
                                  <w:rFonts w:ascii="Times New Roman" w:hAnsi="Times New Roman"/>
                                  <w:b/>
                                  <w:bCs/>
                                  <w:sz w:val="18"/>
                                  <w:szCs w:val="18"/>
                                  <w:lang w:val="en-US"/>
                                </w:rPr>
                                <w:t>Liquidity risk</w:t>
                              </w:r>
                            </w:p>
                            <w:p w14:paraId="38E136B3" w14:textId="77777777" w:rsidR="003A587C" w:rsidRPr="007D770B" w:rsidRDefault="003A587C" w:rsidP="00331FED">
                              <w:pPr>
                                <w:autoSpaceDE w:val="0"/>
                                <w:autoSpaceDN w:val="0"/>
                                <w:adjustRightInd w:val="0"/>
                                <w:spacing w:after="0" w:line="240" w:lineRule="auto"/>
                                <w:ind w:left="90"/>
                                <w:rPr>
                                  <w:rFonts w:ascii="Times New Roman" w:hAnsi="Times New Roman"/>
                                  <w:b/>
                                  <w:bCs/>
                                  <w:sz w:val="18"/>
                                  <w:szCs w:val="18"/>
                                  <w:lang w:val="en-US"/>
                                </w:rPr>
                              </w:pPr>
                              <w:r w:rsidRPr="007D770B">
                                <w:rPr>
                                  <w:rFonts w:ascii="Times New Roman" w:hAnsi="Times New Roman"/>
                                  <w:b/>
                                  <w:bCs/>
                                  <w:sz w:val="18"/>
                                  <w:szCs w:val="18"/>
                                  <w:lang w:val="en-US"/>
                                </w:rPr>
                                <w:t xml:space="preserve">Qualitative assessment </w:t>
                              </w:r>
                            </w:p>
                            <w:p w14:paraId="32FC44CC" w14:textId="77777777" w:rsidR="003A587C" w:rsidRPr="007D770B" w:rsidRDefault="003A587C" w:rsidP="00331FED">
                              <w:pPr>
                                <w:autoSpaceDE w:val="0"/>
                                <w:autoSpaceDN w:val="0"/>
                                <w:adjustRightInd w:val="0"/>
                                <w:spacing w:after="0" w:line="240" w:lineRule="auto"/>
                                <w:ind w:left="90"/>
                                <w:rPr>
                                  <w:rFonts w:ascii="Times New Roman" w:hAnsi="Times New Roman"/>
                                  <w:b/>
                                  <w:bCs/>
                                  <w:sz w:val="18"/>
                                  <w:szCs w:val="18"/>
                                  <w:lang w:val="en-US"/>
                                </w:rPr>
                              </w:pPr>
                              <w:r w:rsidRPr="007D770B">
                                <w:rPr>
                                  <w:rFonts w:ascii="Times New Roman" w:hAnsi="Times New Roman"/>
                                  <w:b/>
                                  <w:bCs/>
                                  <w:sz w:val="18"/>
                                  <w:szCs w:val="18"/>
                                  <w:lang w:val="en-US"/>
                                </w:rPr>
                                <w:t>Quantification:</w:t>
                              </w:r>
                            </w:p>
                            <w:p w14:paraId="12E822CC" w14:textId="77777777" w:rsidR="003A587C" w:rsidRPr="004B53CD" w:rsidRDefault="003A587C" w:rsidP="00AE698A">
                              <w:pPr>
                                <w:numPr>
                                  <w:ilvl w:val="0"/>
                                  <w:numId w:val="35"/>
                                </w:numPr>
                                <w:autoSpaceDE w:val="0"/>
                                <w:autoSpaceDN w:val="0"/>
                                <w:adjustRightInd w:val="0"/>
                                <w:spacing w:after="0" w:line="240" w:lineRule="auto"/>
                                <w:ind w:left="270" w:hanging="270"/>
                                <w:jc w:val="left"/>
                                <w:rPr>
                                  <w:rFonts w:ascii="Times New Roman" w:hAnsi="Times New Roman"/>
                                  <w:sz w:val="18"/>
                                  <w:szCs w:val="18"/>
                                </w:rPr>
                              </w:pPr>
                              <w:r w:rsidRPr="004B53CD">
                                <w:rPr>
                                  <w:rFonts w:ascii="Times New Roman" w:hAnsi="Times New Roman"/>
                                  <w:sz w:val="18"/>
                                  <w:szCs w:val="18"/>
                                </w:rPr>
                                <w:t>Maturity analysis of financial liabilities</w:t>
                              </w:r>
                            </w:p>
                          </w:txbxContent>
                        </wps:txbx>
                        <wps:bodyPr rot="0" vert="horz" wrap="square" lIns="32004" tIns="0" rIns="32659" bIns="0" anchor="ctr" anchorCtr="0" upright="1">
                          <a:noAutofit/>
                        </wps:bodyPr>
                      </wps:wsp>
                      <wps:wsp>
                        <wps:cNvPr id="1020" name="Rectangle 8"/>
                        <wps:cNvSpPr>
                          <a:spLocks noChangeArrowheads="1"/>
                        </wps:cNvSpPr>
                        <wps:spPr bwMode="blackWhite">
                          <a:xfrm>
                            <a:off x="4282440" y="600075"/>
                            <a:ext cx="1717040" cy="924560"/>
                          </a:xfrm>
                          <a:prstGeom prst="rect">
                            <a:avLst/>
                          </a:prstGeom>
                          <a:solidFill>
                            <a:srgbClr val="ADC1E2"/>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2666A6"/>
                                  </a:outerShdw>
                                </a:effectLst>
                              </a14:hiddenEffects>
                            </a:ext>
                          </a:extLst>
                        </wps:spPr>
                        <wps:txbx>
                          <w:txbxContent>
                            <w:p w14:paraId="016CC184" w14:textId="77777777" w:rsidR="003A587C" w:rsidRPr="007D770B" w:rsidRDefault="003A587C" w:rsidP="00331FED">
                              <w:pPr>
                                <w:autoSpaceDE w:val="0"/>
                                <w:autoSpaceDN w:val="0"/>
                                <w:adjustRightInd w:val="0"/>
                                <w:spacing w:after="0"/>
                                <w:ind w:left="90"/>
                                <w:rPr>
                                  <w:rFonts w:ascii="Times New Roman" w:hAnsi="Times New Roman"/>
                                  <w:b/>
                                  <w:bCs/>
                                  <w:sz w:val="18"/>
                                  <w:szCs w:val="18"/>
                                  <w:lang w:val="en-US"/>
                                </w:rPr>
                              </w:pPr>
                              <w:r w:rsidRPr="007D770B">
                                <w:rPr>
                                  <w:rFonts w:ascii="Times New Roman" w:hAnsi="Times New Roman"/>
                                  <w:b/>
                                  <w:bCs/>
                                  <w:sz w:val="18"/>
                                  <w:szCs w:val="18"/>
                                  <w:lang w:val="en-US"/>
                                </w:rPr>
                                <w:t>Market risk</w:t>
                              </w:r>
                            </w:p>
                            <w:p w14:paraId="44489B20" w14:textId="77777777" w:rsidR="003A587C" w:rsidRPr="007D770B" w:rsidRDefault="003A587C" w:rsidP="00331FED">
                              <w:pPr>
                                <w:autoSpaceDE w:val="0"/>
                                <w:autoSpaceDN w:val="0"/>
                                <w:adjustRightInd w:val="0"/>
                                <w:spacing w:after="0"/>
                                <w:ind w:left="90"/>
                                <w:rPr>
                                  <w:rFonts w:ascii="Times New Roman" w:hAnsi="Times New Roman"/>
                                  <w:b/>
                                  <w:bCs/>
                                  <w:sz w:val="18"/>
                                  <w:szCs w:val="18"/>
                                  <w:lang w:val="en-US"/>
                                </w:rPr>
                              </w:pPr>
                              <w:r w:rsidRPr="007D770B">
                                <w:rPr>
                                  <w:rFonts w:ascii="Times New Roman" w:hAnsi="Times New Roman"/>
                                  <w:b/>
                                  <w:bCs/>
                                  <w:sz w:val="18"/>
                                  <w:szCs w:val="18"/>
                                  <w:lang w:val="en-US"/>
                                </w:rPr>
                                <w:t xml:space="preserve">Qualitative assessment </w:t>
                              </w:r>
                            </w:p>
                            <w:p w14:paraId="307400FB" w14:textId="77777777" w:rsidR="003A587C" w:rsidRPr="007D770B" w:rsidRDefault="003A587C" w:rsidP="00331FED">
                              <w:pPr>
                                <w:autoSpaceDE w:val="0"/>
                                <w:autoSpaceDN w:val="0"/>
                                <w:adjustRightInd w:val="0"/>
                                <w:spacing w:after="0"/>
                                <w:ind w:left="90"/>
                                <w:rPr>
                                  <w:rFonts w:ascii="Times New Roman" w:hAnsi="Times New Roman"/>
                                  <w:b/>
                                  <w:bCs/>
                                  <w:sz w:val="18"/>
                                  <w:szCs w:val="18"/>
                                  <w:lang w:val="en-US"/>
                                </w:rPr>
                              </w:pPr>
                              <w:r w:rsidRPr="007D770B">
                                <w:rPr>
                                  <w:rFonts w:ascii="Times New Roman" w:hAnsi="Times New Roman"/>
                                  <w:b/>
                                  <w:bCs/>
                                  <w:sz w:val="18"/>
                                  <w:szCs w:val="18"/>
                                  <w:lang w:val="en-US"/>
                                </w:rPr>
                                <w:t>Quantification:</w:t>
                              </w:r>
                            </w:p>
                            <w:p w14:paraId="6D5660C4" w14:textId="77777777" w:rsidR="003A587C" w:rsidRPr="007D770B" w:rsidRDefault="003A587C" w:rsidP="00AE698A">
                              <w:pPr>
                                <w:numPr>
                                  <w:ilvl w:val="0"/>
                                  <w:numId w:val="35"/>
                                </w:numPr>
                                <w:autoSpaceDE w:val="0"/>
                                <w:autoSpaceDN w:val="0"/>
                                <w:adjustRightInd w:val="0"/>
                                <w:spacing w:after="0" w:line="240" w:lineRule="auto"/>
                                <w:ind w:left="270" w:hanging="270"/>
                                <w:jc w:val="left"/>
                                <w:rPr>
                                  <w:rFonts w:ascii="Times New Roman" w:hAnsi="Times New Roman"/>
                                  <w:sz w:val="18"/>
                                  <w:szCs w:val="18"/>
                                  <w:lang w:val="en-US"/>
                                </w:rPr>
                              </w:pPr>
                              <w:r w:rsidRPr="007D770B">
                                <w:rPr>
                                  <w:rFonts w:ascii="Times New Roman" w:hAnsi="Times New Roman"/>
                                  <w:sz w:val="18"/>
                                  <w:szCs w:val="18"/>
                                  <w:lang w:val="en-US"/>
                                </w:rPr>
                                <w:t>Sensitivity analysis for each type of market risk</w:t>
                              </w:r>
                            </w:p>
                          </w:txbxContent>
                        </wps:txbx>
                        <wps:bodyPr rot="0" vert="horz" wrap="square" lIns="32004" tIns="0" rIns="32659" bIns="0" anchor="ctr" anchorCtr="0" upright="1">
                          <a:noAutofit/>
                        </wps:bodyPr>
                      </wps:wsp>
                      <wps:wsp>
                        <wps:cNvPr id="1021" name="Rectangle 9"/>
                        <wps:cNvSpPr>
                          <a:spLocks noChangeArrowheads="1"/>
                        </wps:cNvSpPr>
                        <wps:spPr bwMode="blackWhite">
                          <a:xfrm>
                            <a:off x="722630" y="2293620"/>
                            <a:ext cx="1124585" cy="220345"/>
                          </a:xfrm>
                          <a:prstGeom prst="rect">
                            <a:avLst/>
                          </a:prstGeom>
                          <a:solidFill>
                            <a:srgbClr val="ADC1E2"/>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2666A6"/>
                                  </a:outerShdw>
                                </a:effectLst>
                              </a14:hiddenEffects>
                            </a:ext>
                          </a:extLst>
                        </wps:spPr>
                        <wps:txbx>
                          <w:txbxContent>
                            <w:p w14:paraId="00609523" w14:textId="77777777" w:rsidR="003A587C" w:rsidRPr="004B53CD" w:rsidRDefault="003A587C" w:rsidP="00331FED">
                              <w:pPr>
                                <w:autoSpaceDE w:val="0"/>
                                <w:autoSpaceDN w:val="0"/>
                                <w:adjustRightInd w:val="0"/>
                                <w:spacing w:after="0" w:line="240" w:lineRule="auto"/>
                                <w:ind w:left="86"/>
                                <w:jc w:val="left"/>
                                <w:rPr>
                                  <w:rFonts w:ascii="Times New Roman" w:hAnsi="Times New Roman"/>
                                  <w:sz w:val="18"/>
                                  <w:szCs w:val="18"/>
                                </w:rPr>
                              </w:pPr>
                              <w:r w:rsidRPr="004B53CD">
                                <w:rPr>
                                  <w:rFonts w:ascii="Times New Roman" w:hAnsi="Times New Roman"/>
                                  <w:sz w:val="18"/>
                                  <w:szCs w:val="18"/>
                                </w:rPr>
                                <w:t>Interest rate risk</w:t>
                              </w:r>
                            </w:p>
                          </w:txbxContent>
                        </wps:txbx>
                        <wps:bodyPr rot="0" vert="horz" wrap="square" lIns="32004" tIns="0" rIns="32659" bIns="0" anchor="ctr" anchorCtr="0" upright="1">
                          <a:noAutofit/>
                        </wps:bodyPr>
                      </wps:wsp>
                      <wps:wsp>
                        <wps:cNvPr id="1022" name="Rectangle 10"/>
                        <wps:cNvSpPr>
                          <a:spLocks noChangeArrowheads="1"/>
                        </wps:cNvSpPr>
                        <wps:spPr bwMode="blackWhite">
                          <a:xfrm>
                            <a:off x="2162810" y="2300605"/>
                            <a:ext cx="993775" cy="230505"/>
                          </a:xfrm>
                          <a:prstGeom prst="rect">
                            <a:avLst/>
                          </a:prstGeom>
                          <a:solidFill>
                            <a:srgbClr val="ADC1E2"/>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2666A6"/>
                                  </a:outerShdw>
                                </a:effectLst>
                              </a14:hiddenEffects>
                            </a:ext>
                          </a:extLst>
                        </wps:spPr>
                        <wps:txbx>
                          <w:txbxContent>
                            <w:p w14:paraId="5F3B71E5" w14:textId="77777777" w:rsidR="003A587C" w:rsidRPr="004B53CD" w:rsidRDefault="003A587C" w:rsidP="00331FED">
                              <w:pPr>
                                <w:autoSpaceDE w:val="0"/>
                                <w:autoSpaceDN w:val="0"/>
                                <w:adjustRightInd w:val="0"/>
                                <w:ind w:left="90"/>
                                <w:jc w:val="left"/>
                                <w:rPr>
                                  <w:rFonts w:ascii="Times New Roman" w:hAnsi="Times New Roman"/>
                                  <w:sz w:val="18"/>
                                  <w:szCs w:val="18"/>
                                </w:rPr>
                              </w:pPr>
                              <w:r w:rsidRPr="004B53CD">
                                <w:rPr>
                                  <w:rFonts w:ascii="Times New Roman" w:hAnsi="Times New Roman"/>
                                  <w:sz w:val="18"/>
                                  <w:szCs w:val="18"/>
                                </w:rPr>
                                <w:t>Currency risk</w:t>
                              </w:r>
                            </w:p>
                          </w:txbxContent>
                        </wps:txbx>
                        <wps:bodyPr rot="0" vert="horz" wrap="square" lIns="32004" tIns="0" rIns="32659" bIns="0" anchor="ctr" anchorCtr="0" upright="1">
                          <a:noAutofit/>
                        </wps:bodyPr>
                      </wps:wsp>
                      <wps:wsp>
                        <wps:cNvPr id="1023" name="Rectangle 11"/>
                        <wps:cNvSpPr>
                          <a:spLocks noChangeArrowheads="1"/>
                        </wps:cNvSpPr>
                        <wps:spPr bwMode="blackWhite">
                          <a:xfrm>
                            <a:off x="2968388" y="2988707"/>
                            <a:ext cx="759987" cy="313689"/>
                          </a:xfrm>
                          <a:prstGeom prst="rect">
                            <a:avLst/>
                          </a:prstGeom>
                          <a:solidFill>
                            <a:srgbClr val="ADC1E2"/>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2666A6"/>
                                  </a:outerShdw>
                                </a:effectLst>
                              </a14:hiddenEffects>
                            </a:ext>
                          </a:extLst>
                        </wps:spPr>
                        <wps:txbx>
                          <w:txbxContent>
                            <w:p w14:paraId="75CCA08B" w14:textId="77777777" w:rsidR="003A587C" w:rsidRPr="004B53CD" w:rsidRDefault="003A587C" w:rsidP="00331FED">
                              <w:pPr>
                                <w:autoSpaceDE w:val="0"/>
                                <w:autoSpaceDN w:val="0"/>
                                <w:adjustRightInd w:val="0"/>
                                <w:spacing w:after="0" w:line="240" w:lineRule="auto"/>
                                <w:ind w:left="0"/>
                                <w:jc w:val="center"/>
                                <w:rPr>
                                  <w:rFonts w:ascii="Times New Roman" w:hAnsi="Times New Roman"/>
                                  <w:sz w:val="18"/>
                                  <w:szCs w:val="18"/>
                                </w:rPr>
                              </w:pPr>
                              <w:r w:rsidRPr="004B53CD">
                                <w:rPr>
                                  <w:rFonts w:ascii="Times New Roman" w:hAnsi="Times New Roman"/>
                                  <w:sz w:val="18"/>
                                  <w:szCs w:val="18"/>
                                </w:rPr>
                                <w:t xml:space="preserve">Risk of change </w:t>
                              </w:r>
                            </w:p>
                            <w:p w14:paraId="4637F825" w14:textId="77777777" w:rsidR="003A587C" w:rsidRPr="004B53CD" w:rsidRDefault="003A587C" w:rsidP="00331FED">
                              <w:pPr>
                                <w:autoSpaceDE w:val="0"/>
                                <w:autoSpaceDN w:val="0"/>
                                <w:adjustRightInd w:val="0"/>
                                <w:spacing w:after="0" w:line="240" w:lineRule="auto"/>
                                <w:ind w:left="0"/>
                                <w:jc w:val="center"/>
                                <w:rPr>
                                  <w:rFonts w:ascii="Times New Roman" w:hAnsi="Times New Roman"/>
                                  <w:sz w:val="18"/>
                                  <w:szCs w:val="18"/>
                                </w:rPr>
                              </w:pPr>
                              <w:r w:rsidRPr="004B53CD">
                                <w:rPr>
                                  <w:rFonts w:ascii="Times New Roman" w:hAnsi="Times New Roman"/>
                                  <w:sz w:val="18"/>
                                  <w:szCs w:val="18"/>
                                </w:rPr>
                                <w:t>stock prices</w:t>
                              </w:r>
                            </w:p>
                          </w:txbxContent>
                        </wps:txbx>
                        <wps:bodyPr rot="0" vert="horz" wrap="none" lIns="32004" tIns="0" rIns="32659" bIns="0" anchor="ctr" anchorCtr="0" upright="1">
                          <a:noAutofit/>
                        </wps:bodyPr>
                      </wps:wsp>
                      <wps:wsp>
                        <wps:cNvPr id="1024" name="Rectangle 13"/>
                        <wps:cNvSpPr>
                          <a:spLocks noChangeArrowheads="1"/>
                        </wps:cNvSpPr>
                        <wps:spPr bwMode="blackWhite">
                          <a:xfrm>
                            <a:off x="4573270" y="2983230"/>
                            <a:ext cx="990600" cy="311150"/>
                          </a:xfrm>
                          <a:prstGeom prst="rect">
                            <a:avLst/>
                          </a:prstGeom>
                          <a:solidFill>
                            <a:srgbClr val="ADC1E2"/>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2666A6"/>
                                  </a:outerShdw>
                                </a:effectLst>
                              </a14:hiddenEffects>
                            </a:ext>
                          </a:extLst>
                        </wps:spPr>
                        <wps:txbx>
                          <w:txbxContent>
                            <w:p w14:paraId="28A2BB42" w14:textId="77777777" w:rsidR="003A587C" w:rsidRPr="004B53CD" w:rsidRDefault="003A587C" w:rsidP="00331FED">
                              <w:pPr>
                                <w:autoSpaceDE w:val="0"/>
                                <w:autoSpaceDN w:val="0"/>
                                <w:adjustRightInd w:val="0"/>
                                <w:spacing w:after="0" w:line="240" w:lineRule="auto"/>
                                <w:ind w:left="0"/>
                                <w:jc w:val="center"/>
                                <w:rPr>
                                  <w:rFonts w:ascii="Times New Roman" w:hAnsi="Times New Roman"/>
                                  <w:sz w:val="18"/>
                                  <w:szCs w:val="18"/>
                                </w:rPr>
                              </w:pPr>
                              <w:r w:rsidRPr="004B53CD">
                                <w:rPr>
                                  <w:rFonts w:ascii="Times New Roman" w:hAnsi="Times New Roman"/>
                                  <w:sz w:val="18"/>
                                  <w:szCs w:val="18"/>
                                </w:rPr>
                                <w:t>Risk of early</w:t>
                              </w:r>
                            </w:p>
                            <w:p w14:paraId="05F6AE51" w14:textId="77777777" w:rsidR="003A587C" w:rsidRPr="004B53CD" w:rsidRDefault="003A587C" w:rsidP="00331FED">
                              <w:pPr>
                                <w:autoSpaceDE w:val="0"/>
                                <w:autoSpaceDN w:val="0"/>
                                <w:adjustRightInd w:val="0"/>
                                <w:spacing w:after="0" w:line="240" w:lineRule="auto"/>
                                <w:ind w:left="0"/>
                                <w:jc w:val="center"/>
                                <w:rPr>
                                  <w:rFonts w:ascii="Times New Roman" w:hAnsi="Times New Roman"/>
                                  <w:sz w:val="18"/>
                                  <w:szCs w:val="18"/>
                                </w:rPr>
                              </w:pPr>
                              <w:r w:rsidRPr="004B53CD">
                                <w:rPr>
                                  <w:rFonts w:ascii="Times New Roman" w:hAnsi="Times New Roman"/>
                                  <w:sz w:val="18"/>
                                  <w:szCs w:val="18"/>
                                </w:rPr>
                                <w:t>repayments</w:t>
                              </w:r>
                            </w:p>
                          </w:txbxContent>
                        </wps:txbx>
                        <wps:bodyPr rot="0" vert="horz" wrap="square" lIns="32004" tIns="0" rIns="32659" bIns="0" anchor="ctr" anchorCtr="0" upright="1">
                          <a:noAutofit/>
                        </wps:bodyPr>
                      </wps:wsp>
                      <wps:wsp>
                        <wps:cNvPr id="1025" name="Line 14"/>
                        <wps:cNvCnPr>
                          <a:cxnSpLocks noChangeShapeType="1"/>
                          <a:endCxn id="1019" idx="0"/>
                        </wps:cNvCnPr>
                        <wps:spPr bwMode="blackWhite">
                          <a:xfrm flipH="1">
                            <a:off x="3193098" y="260985"/>
                            <a:ext cx="5748" cy="35242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2666A6"/>
                                  </a:outerShdw>
                                </a:effectLst>
                              </a14:hiddenEffects>
                            </a:ext>
                          </a:extLst>
                        </wps:spPr>
                        <wps:bodyPr/>
                      </wps:wsp>
                      <wps:wsp>
                        <wps:cNvPr id="1026" name="Line 15"/>
                        <wps:cNvCnPr>
                          <a:cxnSpLocks noChangeShapeType="1"/>
                        </wps:cNvCnPr>
                        <wps:spPr bwMode="blackWhite">
                          <a:xfrm flipV="1">
                            <a:off x="1323975" y="476250"/>
                            <a:ext cx="37084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2666A6"/>
                                  </a:outerShdw>
                                </a:effectLst>
                              </a14:hiddenEffects>
                            </a:ext>
                          </a:extLst>
                        </wps:spPr>
                        <wps:bodyPr/>
                      </wps:wsp>
                      <wps:wsp>
                        <wps:cNvPr id="1027" name="Line 16"/>
                        <wps:cNvCnPr>
                          <a:cxnSpLocks noChangeShapeType="1"/>
                        </wps:cNvCnPr>
                        <wps:spPr bwMode="blackWhite">
                          <a:xfrm>
                            <a:off x="5032375" y="476250"/>
                            <a:ext cx="0" cy="11747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2666A6"/>
                                  </a:outerShdw>
                                </a:effectLst>
                              </a14:hiddenEffects>
                            </a:ext>
                          </a:extLst>
                        </wps:spPr>
                        <wps:bodyPr/>
                      </wps:wsp>
                      <wps:wsp>
                        <wps:cNvPr id="1028" name="Line 17"/>
                        <wps:cNvCnPr>
                          <a:cxnSpLocks noChangeShapeType="1"/>
                        </wps:cNvCnPr>
                        <wps:spPr bwMode="blackWhite">
                          <a:xfrm>
                            <a:off x="1327785" y="476250"/>
                            <a:ext cx="0" cy="12382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2666A6"/>
                                  </a:outerShdw>
                                </a:effectLst>
                              </a14:hiddenEffects>
                            </a:ext>
                          </a:extLst>
                        </wps:spPr>
                        <wps:bodyPr/>
                      </wps:wsp>
                      <wps:wsp>
                        <wps:cNvPr id="1029" name="Line 18"/>
                        <wps:cNvCnPr>
                          <a:cxnSpLocks noChangeShapeType="1"/>
                        </wps:cNvCnPr>
                        <wps:spPr bwMode="blackWhite">
                          <a:xfrm>
                            <a:off x="1278890" y="1849120"/>
                            <a:ext cx="377533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2666A6"/>
                                  </a:outerShdw>
                                </a:effectLst>
                              </a14:hiddenEffects>
                            </a:ext>
                          </a:extLst>
                        </wps:spPr>
                        <wps:bodyPr/>
                      </wps:wsp>
                      <wps:wsp>
                        <wps:cNvPr id="1030" name="Line 19"/>
                        <wps:cNvCnPr>
                          <a:cxnSpLocks noChangeShapeType="1"/>
                        </wps:cNvCnPr>
                        <wps:spPr bwMode="blackWhite">
                          <a:xfrm>
                            <a:off x="1277620" y="1849120"/>
                            <a:ext cx="0" cy="44069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2666A6"/>
                                  </a:outerShdw>
                                </a:effectLst>
                              </a14:hiddenEffects>
                            </a:ext>
                          </a:extLst>
                        </wps:spPr>
                        <wps:bodyPr/>
                      </wps:wsp>
                      <wps:wsp>
                        <wps:cNvPr id="1031" name="Line 20"/>
                        <wps:cNvCnPr>
                          <a:cxnSpLocks noChangeShapeType="1"/>
                        </wps:cNvCnPr>
                        <wps:spPr bwMode="blackWhite">
                          <a:xfrm>
                            <a:off x="5054225" y="1524635"/>
                            <a:ext cx="0" cy="79311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2666A6"/>
                                  </a:outerShdw>
                                </a:effectLst>
                              </a14:hiddenEffects>
                            </a:ext>
                          </a:extLst>
                        </wps:spPr>
                        <wps:bodyPr/>
                      </wps:wsp>
                      <wps:wsp>
                        <wps:cNvPr id="1032" name="Line 21"/>
                        <wps:cNvCnPr>
                          <a:cxnSpLocks noChangeShapeType="1"/>
                        </wps:cNvCnPr>
                        <wps:spPr bwMode="blackWhite">
                          <a:xfrm flipV="1">
                            <a:off x="3379792" y="2785746"/>
                            <a:ext cx="1674433" cy="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2666A6"/>
                                  </a:outerShdw>
                                </a:effectLst>
                              </a14:hiddenEffects>
                            </a:ext>
                          </a:extLst>
                        </wps:spPr>
                        <wps:bodyPr/>
                      </wps:wsp>
                      <wps:wsp>
                        <wps:cNvPr id="1033" name="Line 22"/>
                        <wps:cNvCnPr>
                          <a:cxnSpLocks noChangeShapeType="1"/>
                        </wps:cNvCnPr>
                        <wps:spPr bwMode="blackWhite">
                          <a:xfrm>
                            <a:off x="3379792" y="2785745"/>
                            <a:ext cx="0" cy="1955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2666A6"/>
                                  </a:outerShdw>
                                </a:effectLst>
                              </a14:hiddenEffects>
                            </a:ext>
                          </a:extLst>
                        </wps:spPr>
                        <wps:bodyPr/>
                      </wps:wsp>
                      <wps:wsp>
                        <wps:cNvPr id="1034" name="Line 23"/>
                        <wps:cNvCnPr>
                          <a:cxnSpLocks noChangeShapeType="1"/>
                        </wps:cNvCnPr>
                        <wps:spPr bwMode="blackWhite">
                          <a:xfrm>
                            <a:off x="5054225" y="2279650"/>
                            <a:ext cx="0" cy="70104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2666A6"/>
                                  </a:outerShdw>
                                </a:effectLst>
                              </a14:hiddenEffects>
                            </a:ext>
                          </a:extLst>
                        </wps:spPr>
                        <wps:bodyPr/>
                      </wps:wsp>
                      <wps:wsp>
                        <wps:cNvPr id="1035" name="Line 24"/>
                        <wps:cNvCnPr>
                          <a:cxnSpLocks noChangeShapeType="1"/>
                        </wps:cNvCnPr>
                        <wps:spPr bwMode="blackWhite">
                          <a:xfrm>
                            <a:off x="2872045" y="1849755"/>
                            <a:ext cx="1905" cy="44132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2666A6"/>
                                  </a:outerShdw>
                                </a:effectLst>
                              </a14:hiddenEffects>
                            </a:ext>
                          </a:extLst>
                        </wps:spPr>
                        <wps:bodyPr/>
                      </wps:wsp>
                    </wpc:wpc>
                  </a:graphicData>
                </a:graphic>
              </wp:inline>
            </w:drawing>
          </mc:Choice>
          <mc:Fallback>
            <w:pict>
              <v:group w14:anchorId="19D8F1A2" id="Canvas 23" o:spid="_x0000_s1137" editas="canvas" style="width:475.65pt;height:272.5pt;mso-position-horizontal-relative:char;mso-position-vertical-relative:line" coordsize="60407,34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BwybgYAAEUxAAAOAAAAZHJzL2Uyb0RvYy54bWzsW11v2zYUfR+w/yDofbVI6otGnaJI221A&#10;txVrtz3TkmwLlSWNUmJnv36HpERbTpzUbeoWrfLg6MsUyXt47r3n0k+fbdeFc53JJq/KmUueeK6T&#10;lUmV5uVy5v717tVPses0rShTUVRlNnNvssZ9dvHjD0839TSj1aoq0kw6aKRsppt65q7atp5OJk2y&#10;ytaieVLVWYmbi0quRYtTuZykUmzQ+rqYUM8LJ5tKprWskqxpcPWFuele6PYXiyxp/1gsmqx1ipmL&#10;vrX6U+rPufqcXDwV06UU9SpPum6Ij+jFWuQlXmqbeiFa4VzJ/FZT6zyRVVMt2idJtZ5Ui0WeZHoM&#10;GA3xDkZzKcpr0ejBJJidvoM4esR250vV77J6lRcFZmOC1qfqmvq/gX0yXNzUsE5TWzs1n/b+tytR&#10;Z3pYzTT5/fqNdPIU4PFI6DqlWAMmz6/aSj/l+MpE6v148G39RqrONvXrKnnfOGV1uRLlMnve1DA0&#10;WsDX+0tSVptVJlJ0lagmMK69NtRJg9ac+ea3KsULBV6oDbhdyLV6B0zjbPFd4jMPwLmxYMm2rZPg&#10;TsBp6AeB6yS4x3wvjKJAv0hM+zZq2bQ/Z9XaUQczV6KT+h3i+nXTqj6Jaf/IwAZiWpSDC3hQXdFj&#10;UN02MzKv0hsMQVYG1ViFOFhV8j/X2QDRM7f590rIzHWKX0tMAye+r5aAPvGDiOJE7t+Z798RZYKm&#10;Zm7rOubwsjXL5qqW+XKlZ9v0UdlqkevxqGk1veo6C9CcDz1Rj54/MdHARZE52iIDy9+BnhOhMi9E&#10;8v6fVd4qCO+M3QMmiihXU3sbMZR6AfVBiAoxNPR4/ImAaaoiT9W6Vf1o5HJ+WUjnWoDqnr+4JC9p&#10;B8fBY0XpbIDXmChUJ+s6nbnpvNAjGTw3aM7Tf3c1t8Y0SKfI1zM3tg+JqVp5L8sUGBfTVuSFOe5g&#10;LKaZZuZuEfRr0QCl3c63mg5C3f0dou7BeQnX0qOcwSv4PcotwhkNA+46BuG42qM7aWV/8vXjG8gx&#10;7LjDd6hsclZ8G2SHsLWhOxizI0QCAFDaESJnAefavcLoH8mHx/H4ELx5gH7oRXF0hXwRSLPeXCdS&#10;9zcMaqzKQ1BH/Szd5/IflbQpjQjjgC6IOSTMJ11guIO2Dw9voe17X465v1Zo2zhthHYXzaog4BDa&#10;8dmh7dOY6rhPQfsu1o5I5Km4UAUlnPpBOLK29qi7QMQGkSO0e2irTEsnartQhJ8d2hGlITPxCKWc&#10;hVhwOuC0rE0AZzC1ibepx/wvFm9/raxt48cR2j206W1om3DgrGE2JSFFjqYjEgoFIkT0MQA350wJ&#10;DgbbzAvM/THY3tG2DSNHbPfYZndgW6tj58U2D2MWI5tVMgiP48jTptplkhFyxxhqjlbWCAtj7VtG&#10;bO+wbePIB7H9fWgjFJLPYUBCbLZ9tjwSqiqjUcfaPGZg7kPWBpN3wTYjhARjsH0QbNsw8kFkD9Xt&#10;b1ciUZKawfbrvMwcYjNtwPqyNBWRZFu+PSiK6PLJu5saxQ1N8aDXMr3clp0vIBBe8hR1DIPAzgGY&#10;9tTJoDpyh+TtLIq8/kW1rXS2TvxmhDPI2obZrcC9I/Yg6uVvBiUcA0NIc5zWCwxXt/4h9RKlan9S&#10;lC2rq06w/njx2mBWDUpN4TmLH9SWzgxIbM56Gkj6KtmJOPj7AAcEzMdVdAoP70chNTS3wwGLvNjv&#10;efABChxRcLswfKyASm0JzKDApnefGwV7HBB4MP49tu+8HyGRbyoIIwGcsifgqOltdciY3mY/ZzQ9&#10;ln0UKcHlyLLvTU9ZPHK/3t9y0naQo6a3NRRjepscnNP0NIpjFPyU6Unsc3Ioxim1grFOsBgpX21u&#10;ehTjKwF0Pzq08fN5jQ8nf4/xu4WPOkT4UFF4dPcf7u6ZleH1wjdLbhDJi+kHZAanB30Ddx/4uuqv&#10;Fj6C+hBrfCBUdraPOPLdMeB/vHVvdWpj+30Z74Ss8HTb68TvMOBnLOIRR5eAAngC5Hk69NxF/CSM&#10;fJ9Bf1SantmQd3RfyEgBJ1CAlXQNDOymqTPS/23j300BhAdBPLr+x6MAK3oa2+/rnZ+VAo7QP3bR&#10;8PAw1e/pH5DGLoNR73mssG8oCkL/xtSe2fXTGHuIUVPvY/4Iu6EHrp/wfs+U7yM3/B68P/yp3qqv&#10;dc3udwXqxwD751oe3P364eJ/AAAA//8DAFBLAwQUAAYACAAAACEAfTVS3dwAAAAFAQAADwAAAGRy&#10;cy9kb3ducmV2LnhtbEyPQUsDMRCF74L/IYzQi9hsqyt13WyRgl7FVgq9TTdjEruZLJu0Xf+90Yte&#10;Bh7v8d439XL0nTjREF1gBbNpAYK4DdqxUfC+eb5ZgIgJWWMXmBR8UYRlc3lRY6XDmd/otE5G5BKO&#10;FSqwKfWVlLG15DFOQ0+cvY8weExZDkbqAc+53HdyXhT30qPjvGCxp5Wl9rA+egXGOHRbvbDxevsS&#10;Plevu93mUCo1uRqfHkEkGtNfGH7wMzo0mWkfjqyj6BTkR9Lvzd5DObsFsVdQ3pUFyKaW/+mbbwAA&#10;AP//AwBQSwECLQAUAAYACAAAACEAtoM4kv4AAADhAQAAEwAAAAAAAAAAAAAAAAAAAAAAW0NvbnRl&#10;bnRfVHlwZXNdLnhtbFBLAQItABQABgAIAAAAIQA4/SH/1gAAAJQBAAALAAAAAAAAAAAAAAAAAC8B&#10;AABfcmVscy8ucmVsc1BLAQItABQABgAIAAAAIQAX1BwybgYAAEUxAAAOAAAAAAAAAAAAAAAAAC4C&#10;AABkcnMvZTJvRG9jLnhtbFBLAQItABQABgAIAAAAIQB9NVLd3AAAAAUBAAAPAAAAAAAAAAAAAAAA&#10;AMgIAABkcnMvZG93bnJldi54bWxQSwUGAAAAAAQABADzAAAA0QkAAAAA&#10;">
                <v:shape id="_x0000_s1138" type="#_x0000_t75" style="position:absolute;width:60407;height:34607;visibility:visible;mso-wrap-style:square">
                  <v:fill o:detectmouseclick="t"/>
                  <v:path o:connecttype="none"/>
                </v:shape>
                <v:rect id="AutoShape 4" o:spid="_x0000_s1139" style="position:absolute;left:1143;width:59264;height:34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lRsxAAAAN0AAAAPAAAAZHJzL2Rvd25yZXYueG1sRE9Na4NA&#10;EL0X8h+WCeRSmjU5hGKyCUUIkVII1cTz4E5V6s6qu1X777uFQm/zeJ9zOM2mFSMNrrGsYLOOQBCX&#10;VjdcKbjl56dnEM4ja2wtk4JvcnA6Lh4OGGs78TuNma9ECGEXo4La+y6W0pU1GXRr2xEH7sMOBn2A&#10;QyX1gFMIN63cRtFOGmw4NNTYUVJT+Zl9GQVTeR2L/O0ir49FarlP+yS7vyq1Ws4vexCeZv8v/nOn&#10;OsyPNjv4/SacII8/AAAA//8DAFBLAQItABQABgAIAAAAIQDb4fbL7gAAAIUBAAATAAAAAAAAAAAA&#10;AAAAAAAAAABbQ29udGVudF9UeXBlc10ueG1sUEsBAi0AFAAGAAgAAAAhAFr0LFu/AAAAFQEAAAsA&#10;AAAAAAAAAAAAAAAAHwEAAF9yZWxzLy5yZWxzUEsBAi0AFAAGAAgAAAAhAGtyVGzEAAAA3QAAAA8A&#10;AAAAAAAAAAAAAAAABwIAAGRycy9kb3ducmV2LnhtbFBLBQYAAAAAAwADALcAAAD4AgAAAAA=&#10;" filled="f" stroked="f">
                  <o:lock v:ext="edit" aspectratio="t"/>
                </v:rect>
                <v:rect id="Rectangle 5" o:spid="_x0000_s1140" style="position:absolute;left:17729;width:22052;height:2609;visibility:visible;mso-wrap-style:none;v-text-anchor:middle" o:bwmode="highContras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3IXxQAAAN0AAAAPAAAAZHJzL2Rvd25yZXYueG1sRE9La8JA&#10;EL4X/A/LCL2UuhsPVqKr+EARpNga63nITpNgdjZktxr/vVso9DYf33Om887W4kqtrxxrSAYKBHHu&#10;TMWFhlO2eR2D8AHZYO2YNNzJw3zWe5piatyNP+l6DIWIIexT1FCG0KRS+rwki37gGuLIfbvWYoiw&#10;LaRp8RbDbS2HSo2kxYpjQ4kNrUrKL8cfq+H9ZV+sDh/b83mtsiQbLv1XWIy1fu53iwmIQF34F/+5&#10;dybOV8kb/H4TT5CzBwAAAP//AwBQSwECLQAUAAYACAAAACEA2+H2y+4AAACFAQAAEwAAAAAAAAAA&#10;AAAAAAAAAAAAW0NvbnRlbnRfVHlwZXNdLnhtbFBLAQItABQABgAIAAAAIQBa9CxbvwAAABUBAAAL&#10;AAAAAAAAAAAAAAAAAB8BAABfcmVscy8ucmVsc1BLAQItABQABgAIAAAAIQD3t3IXxQAAAN0AAAAP&#10;AAAAAAAAAAAAAAAAAAcCAABkcnMvZG93bnJldi54bWxQSwUGAAAAAAMAAwC3AAAA+QIAAAAA&#10;" fillcolor="#adc1e2" strokeweight="3pt">
                  <v:stroke linestyle="thinThin"/>
                  <v:shadow color="#2666a6"/>
                  <v:textbox inset="2.52pt,0,.90719mm,0">
                    <w:txbxContent>
                      <w:p w14:paraId="71015B3F" w14:textId="77777777" w:rsidR="003A587C" w:rsidRPr="004B53CD" w:rsidRDefault="003A587C" w:rsidP="00331FED">
                        <w:pPr>
                          <w:autoSpaceDE w:val="0"/>
                          <w:autoSpaceDN w:val="0"/>
                          <w:adjustRightInd w:val="0"/>
                          <w:spacing w:after="0" w:line="240" w:lineRule="auto"/>
                          <w:ind w:left="0"/>
                          <w:jc w:val="center"/>
                          <w:rPr>
                            <w:rFonts w:ascii="Times New Roman" w:hAnsi="Times New Roman"/>
                            <w:sz w:val="18"/>
                            <w:szCs w:val="18"/>
                          </w:rPr>
                        </w:pPr>
                        <w:r w:rsidRPr="004B53CD">
                          <w:rPr>
                            <w:rFonts w:ascii="Times New Roman" w:hAnsi="Times New Roman"/>
                            <w:b/>
                            <w:bCs/>
                            <w:sz w:val="18"/>
                            <w:szCs w:val="18"/>
                          </w:rPr>
                          <w:t>Risks associated with financial instruments</w:t>
                        </w:r>
                      </w:p>
                    </w:txbxContent>
                  </v:textbox>
                </v:rect>
                <v:rect id="Rectangle 6" o:spid="_x0000_s1141" style="position:absolute;top:6000;width:18002;height:9360;visibility:visible;mso-wrap-style:square;v-text-anchor:middle" o:bwmode="highContras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Uz7xgAAAN0AAAAPAAAAZHJzL2Rvd25yZXYueG1sRI9Ba8JA&#10;EIXvgv9hGaE33USwltRVRCnYCoJp6HnITpPU7GzIbk367zuHQm8zvDfvfbPZja5Vd+pD49lAukhA&#10;EZfeNlwZKN5f5k+gQkS22HomAz8UYLedTjaYWT/wle55rJSEcMjQQB1jl2kdypochoXviEX79L3D&#10;KGtfadvjIOGu1cskedQOG5aGGjs61FTe8m9noG2+xssZ9alIV8fz/m29+siHV2MeZuP+GVSkMf6b&#10;/65PVvCTVHDlGxlBb38BAAD//wMAUEsBAi0AFAAGAAgAAAAhANvh9svuAAAAhQEAABMAAAAAAAAA&#10;AAAAAAAAAAAAAFtDb250ZW50X1R5cGVzXS54bWxQSwECLQAUAAYACAAAACEAWvQsW78AAAAVAQAA&#10;CwAAAAAAAAAAAAAAAAAfAQAAX3JlbHMvLnJlbHNQSwECLQAUAAYACAAAACEAUsVM+8YAAADdAAAA&#10;DwAAAAAAAAAAAAAAAAAHAgAAZHJzL2Rvd25yZXYueG1sUEsFBgAAAAADAAMAtwAAAPoCAAAAAA==&#10;" fillcolor="#adc1e2">
                  <v:shadow color="#2666a6"/>
                  <v:textbox inset="2.52pt,0,.90719mm,0">
                    <w:txbxContent>
                      <w:p w14:paraId="65766D19" w14:textId="77777777" w:rsidR="003A587C" w:rsidRPr="007D770B" w:rsidRDefault="003A587C" w:rsidP="00331FED">
                        <w:pPr>
                          <w:autoSpaceDE w:val="0"/>
                          <w:autoSpaceDN w:val="0"/>
                          <w:adjustRightInd w:val="0"/>
                          <w:spacing w:after="0"/>
                          <w:ind w:left="0"/>
                          <w:rPr>
                            <w:rFonts w:ascii="Times New Roman" w:hAnsi="Times New Roman"/>
                            <w:b/>
                            <w:bCs/>
                            <w:sz w:val="18"/>
                            <w:szCs w:val="18"/>
                            <w:lang w:val="en-US"/>
                          </w:rPr>
                        </w:pPr>
                        <w:r w:rsidRPr="007D770B">
                          <w:rPr>
                            <w:rFonts w:ascii="Times New Roman" w:hAnsi="Times New Roman"/>
                            <w:b/>
                            <w:bCs/>
                            <w:sz w:val="18"/>
                            <w:szCs w:val="18"/>
                            <w:lang w:val="en-US"/>
                          </w:rPr>
                          <w:t>Credit risk</w:t>
                        </w:r>
                      </w:p>
                      <w:p w14:paraId="0B444F39" w14:textId="77777777" w:rsidR="003A587C" w:rsidRPr="007D770B" w:rsidRDefault="003A587C" w:rsidP="00331FED">
                        <w:pPr>
                          <w:autoSpaceDE w:val="0"/>
                          <w:autoSpaceDN w:val="0"/>
                          <w:adjustRightInd w:val="0"/>
                          <w:spacing w:after="0"/>
                          <w:ind w:left="0"/>
                          <w:rPr>
                            <w:rFonts w:ascii="Times New Roman" w:hAnsi="Times New Roman"/>
                            <w:b/>
                            <w:bCs/>
                            <w:sz w:val="18"/>
                            <w:szCs w:val="18"/>
                            <w:lang w:val="en-US"/>
                          </w:rPr>
                        </w:pPr>
                        <w:r w:rsidRPr="007D770B">
                          <w:rPr>
                            <w:rFonts w:ascii="Times New Roman" w:hAnsi="Times New Roman"/>
                            <w:b/>
                            <w:bCs/>
                            <w:sz w:val="18"/>
                            <w:szCs w:val="18"/>
                            <w:lang w:val="en-US"/>
                          </w:rPr>
                          <w:t xml:space="preserve">Qualitative assessment </w:t>
                        </w:r>
                      </w:p>
                      <w:p w14:paraId="569FE9D7" w14:textId="77777777" w:rsidR="003A587C" w:rsidRPr="007D770B" w:rsidRDefault="003A587C" w:rsidP="00331FED">
                        <w:pPr>
                          <w:autoSpaceDE w:val="0"/>
                          <w:autoSpaceDN w:val="0"/>
                          <w:adjustRightInd w:val="0"/>
                          <w:spacing w:after="0"/>
                          <w:ind w:left="0"/>
                          <w:rPr>
                            <w:rFonts w:ascii="Times New Roman" w:hAnsi="Times New Roman"/>
                            <w:b/>
                            <w:bCs/>
                            <w:sz w:val="18"/>
                            <w:szCs w:val="18"/>
                            <w:lang w:val="en-US"/>
                          </w:rPr>
                        </w:pPr>
                        <w:r w:rsidRPr="007D770B">
                          <w:rPr>
                            <w:rFonts w:ascii="Times New Roman" w:hAnsi="Times New Roman"/>
                            <w:b/>
                            <w:bCs/>
                            <w:sz w:val="18"/>
                            <w:szCs w:val="18"/>
                            <w:lang w:val="en-US"/>
                          </w:rPr>
                          <w:t>Quantification:</w:t>
                        </w:r>
                      </w:p>
                      <w:p w14:paraId="4FDAB66B" w14:textId="77777777" w:rsidR="003A587C" w:rsidRPr="004B53CD" w:rsidRDefault="003A587C" w:rsidP="00AE698A">
                        <w:pPr>
                          <w:numPr>
                            <w:ilvl w:val="0"/>
                            <w:numId w:val="35"/>
                          </w:numPr>
                          <w:autoSpaceDE w:val="0"/>
                          <w:autoSpaceDN w:val="0"/>
                          <w:adjustRightInd w:val="0"/>
                          <w:spacing w:after="0" w:line="240" w:lineRule="auto"/>
                          <w:ind w:left="270" w:hanging="270"/>
                          <w:jc w:val="left"/>
                          <w:rPr>
                            <w:rFonts w:ascii="Times New Roman" w:hAnsi="Times New Roman"/>
                            <w:sz w:val="18"/>
                            <w:szCs w:val="18"/>
                          </w:rPr>
                        </w:pPr>
                        <w:r w:rsidRPr="004B53CD">
                          <w:rPr>
                            <w:rFonts w:ascii="Times New Roman" w:hAnsi="Times New Roman"/>
                            <w:sz w:val="18"/>
                            <w:szCs w:val="18"/>
                          </w:rPr>
                          <w:t>Credit quality</w:t>
                        </w:r>
                      </w:p>
                      <w:p w14:paraId="1495147F" w14:textId="77777777" w:rsidR="003A587C" w:rsidRPr="004B53CD" w:rsidRDefault="003A587C" w:rsidP="00AE698A">
                        <w:pPr>
                          <w:numPr>
                            <w:ilvl w:val="0"/>
                            <w:numId w:val="35"/>
                          </w:numPr>
                          <w:autoSpaceDE w:val="0"/>
                          <w:autoSpaceDN w:val="0"/>
                          <w:adjustRightInd w:val="0"/>
                          <w:spacing w:after="0" w:line="240" w:lineRule="auto"/>
                          <w:ind w:left="270" w:hanging="270"/>
                          <w:jc w:val="left"/>
                          <w:rPr>
                            <w:rFonts w:ascii="Times New Roman" w:hAnsi="Times New Roman"/>
                            <w:sz w:val="18"/>
                            <w:szCs w:val="18"/>
                          </w:rPr>
                        </w:pPr>
                        <w:r w:rsidRPr="004B53CD">
                          <w:rPr>
                            <w:rFonts w:ascii="Times New Roman" w:hAnsi="Times New Roman"/>
                            <w:sz w:val="18"/>
                            <w:szCs w:val="18"/>
                          </w:rPr>
                          <w:t>provisioning</w:t>
                        </w:r>
                      </w:p>
                      <w:p w14:paraId="363FF5A6" w14:textId="77777777" w:rsidR="003A587C" w:rsidRPr="004B53CD" w:rsidRDefault="003A587C" w:rsidP="00AE698A">
                        <w:pPr>
                          <w:numPr>
                            <w:ilvl w:val="0"/>
                            <w:numId w:val="35"/>
                          </w:numPr>
                          <w:autoSpaceDE w:val="0"/>
                          <w:autoSpaceDN w:val="0"/>
                          <w:adjustRightInd w:val="0"/>
                          <w:spacing w:after="0" w:line="240" w:lineRule="auto"/>
                          <w:ind w:left="270" w:hanging="270"/>
                          <w:jc w:val="left"/>
                          <w:rPr>
                            <w:rFonts w:ascii="Times New Roman" w:hAnsi="Times New Roman"/>
                            <w:sz w:val="18"/>
                            <w:szCs w:val="18"/>
                          </w:rPr>
                        </w:pPr>
                        <w:r w:rsidRPr="004B53CD">
                          <w:rPr>
                            <w:rFonts w:ascii="Times New Roman" w:hAnsi="Times New Roman"/>
                            <w:sz w:val="18"/>
                            <w:szCs w:val="18"/>
                          </w:rPr>
                          <w:t>Estimated Returns</w:t>
                        </w:r>
                      </w:p>
                    </w:txbxContent>
                  </v:textbox>
                </v:rect>
                <v:rect id="Rectangle 7" o:spid="_x0000_s1142" style="position:absolute;left:22713;top:6134;width:18435;height:9340;visibility:visible;mso-wrap-style:square;v-text-anchor:middle" o:bwmode="highContras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elgwwAAAN0AAAAPAAAAZHJzL2Rvd25yZXYueG1sRE9Na8JA&#10;EL0X/A/LCN50k4KtRlcRi2AVBKN4HrJjEs3OhuzWpP/eLQi9zeN9znzZmUo8qHGlZQXxKAJBnFld&#10;cq7gfNoMJyCcR9ZYWSYFv+Rguei9zTHRtuUjPVKfixDCLkEFhfd1IqXLCjLoRrYmDtzVNgZ9gE0u&#10;dYNtCDeVfI+iD2mw5NBQYE3rgrJ7+mMUVOWtO+xRbs/x+Gu/2n2OL2n7rdSg361mIDx1/l/8cm91&#10;mB/FU/j7JpwgF08AAAD//wMAUEsBAi0AFAAGAAgAAAAhANvh9svuAAAAhQEAABMAAAAAAAAAAAAA&#10;AAAAAAAAAFtDb250ZW50X1R5cGVzXS54bWxQSwECLQAUAAYACAAAACEAWvQsW78AAAAVAQAACwAA&#10;AAAAAAAAAAAAAAAfAQAAX3JlbHMvLnJlbHNQSwECLQAUAAYACAAAACEAPYnpYMMAAADdAAAADwAA&#10;AAAAAAAAAAAAAAAHAgAAZHJzL2Rvd25yZXYueG1sUEsFBgAAAAADAAMAtwAAAPcCAAAAAA==&#10;" fillcolor="#adc1e2">
                  <v:shadow color="#2666a6"/>
                  <v:textbox inset="2.52pt,0,.90719mm,0">
                    <w:txbxContent>
                      <w:p w14:paraId="2A5924B0" w14:textId="77777777" w:rsidR="003A587C" w:rsidRPr="007D770B" w:rsidRDefault="003A587C" w:rsidP="00331FED">
                        <w:pPr>
                          <w:autoSpaceDE w:val="0"/>
                          <w:autoSpaceDN w:val="0"/>
                          <w:adjustRightInd w:val="0"/>
                          <w:spacing w:after="0" w:line="240" w:lineRule="auto"/>
                          <w:ind w:left="90"/>
                          <w:rPr>
                            <w:rFonts w:ascii="Times New Roman" w:hAnsi="Times New Roman"/>
                            <w:b/>
                            <w:bCs/>
                            <w:sz w:val="18"/>
                            <w:szCs w:val="18"/>
                            <w:lang w:val="en-US"/>
                          </w:rPr>
                        </w:pPr>
                        <w:r w:rsidRPr="007D770B">
                          <w:rPr>
                            <w:rFonts w:ascii="Times New Roman" w:hAnsi="Times New Roman"/>
                            <w:b/>
                            <w:bCs/>
                            <w:sz w:val="18"/>
                            <w:szCs w:val="18"/>
                            <w:lang w:val="en-US"/>
                          </w:rPr>
                          <w:t>Liquidity risk</w:t>
                        </w:r>
                      </w:p>
                      <w:p w14:paraId="38E136B3" w14:textId="77777777" w:rsidR="003A587C" w:rsidRPr="007D770B" w:rsidRDefault="003A587C" w:rsidP="00331FED">
                        <w:pPr>
                          <w:autoSpaceDE w:val="0"/>
                          <w:autoSpaceDN w:val="0"/>
                          <w:adjustRightInd w:val="0"/>
                          <w:spacing w:after="0" w:line="240" w:lineRule="auto"/>
                          <w:ind w:left="90"/>
                          <w:rPr>
                            <w:rFonts w:ascii="Times New Roman" w:hAnsi="Times New Roman"/>
                            <w:b/>
                            <w:bCs/>
                            <w:sz w:val="18"/>
                            <w:szCs w:val="18"/>
                            <w:lang w:val="en-US"/>
                          </w:rPr>
                        </w:pPr>
                        <w:r w:rsidRPr="007D770B">
                          <w:rPr>
                            <w:rFonts w:ascii="Times New Roman" w:hAnsi="Times New Roman"/>
                            <w:b/>
                            <w:bCs/>
                            <w:sz w:val="18"/>
                            <w:szCs w:val="18"/>
                            <w:lang w:val="en-US"/>
                          </w:rPr>
                          <w:t xml:space="preserve">Qualitative assessment </w:t>
                        </w:r>
                      </w:p>
                      <w:p w14:paraId="32FC44CC" w14:textId="77777777" w:rsidR="003A587C" w:rsidRPr="007D770B" w:rsidRDefault="003A587C" w:rsidP="00331FED">
                        <w:pPr>
                          <w:autoSpaceDE w:val="0"/>
                          <w:autoSpaceDN w:val="0"/>
                          <w:adjustRightInd w:val="0"/>
                          <w:spacing w:after="0" w:line="240" w:lineRule="auto"/>
                          <w:ind w:left="90"/>
                          <w:rPr>
                            <w:rFonts w:ascii="Times New Roman" w:hAnsi="Times New Roman"/>
                            <w:b/>
                            <w:bCs/>
                            <w:sz w:val="18"/>
                            <w:szCs w:val="18"/>
                            <w:lang w:val="en-US"/>
                          </w:rPr>
                        </w:pPr>
                        <w:r w:rsidRPr="007D770B">
                          <w:rPr>
                            <w:rFonts w:ascii="Times New Roman" w:hAnsi="Times New Roman"/>
                            <w:b/>
                            <w:bCs/>
                            <w:sz w:val="18"/>
                            <w:szCs w:val="18"/>
                            <w:lang w:val="en-US"/>
                          </w:rPr>
                          <w:t>Quantification:</w:t>
                        </w:r>
                      </w:p>
                      <w:p w14:paraId="12E822CC" w14:textId="77777777" w:rsidR="003A587C" w:rsidRPr="004B53CD" w:rsidRDefault="003A587C" w:rsidP="00AE698A">
                        <w:pPr>
                          <w:numPr>
                            <w:ilvl w:val="0"/>
                            <w:numId w:val="35"/>
                          </w:numPr>
                          <w:autoSpaceDE w:val="0"/>
                          <w:autoSpaceDN w:val="0"/>
                          <w:adjustRightInd w:val="0"/>
                          <w:spacing w:after="0" w:line="240" w:lineRule="auto"/>
                          <w:ind w:left="270" w:hanging="270"/>
                          <w:jc w:val="left"/>
                          <w:rPr>
                            <w:rFonts w:ascii="Times New Roman" w:hAnsi="Times New Roman"/>
                            <w:sz w:val="18"/>
                            <w:szCs w:val="18"/>
                          </w:rPr>
                        </w:pPr>
                        <w:r w:rsidRPr="004B53CD">
                          <w:rPr>
                            <w:rFonts w:ascii="Times New Roman" w:hAnsi="Times New Roman"/>
                            <w:sz w:val="18"/>
                            <w:szCs w:val="18"/>
                          </w:rPr>
                          <w:t>Maturity analysis of financial liabilities</w:t>
                        </w:r>
                      </w:p>
                    </w:txbxContent>
                  </v:textbox>
                </v:rect>
                <v:rect id="Rectangle 8" o:spid="_x0000_s1143" style="position:absolute;left:42824;top:6000;width:17170;height:9246;visibility:visible;mso-wrap-style:square;v-text-anchor:middle" o:bwmode="highContras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4pAxgAAAN0AAAAPAAAAZHJzL2Rvd25yZXYueG1sRI9Pa8JA&#10;EMXvBb/DMoK3ulGwLdFVRCn4BwqN4nnIjkk0OxuyWxO/fedQ6G2G9+a93yxWvavVg9pQeTYwGSeg&#10;iHNvKy4MnE+frx+gQkS2WHsmA08KsFoOXhaYWt/xNz2yWCgJ4ZCigTLGJtU65CU5DGPfEIt29a3D&#10;KGtbaNtiJ+Gu1tMkedMOK5aGEhvalJTfsx9noK5u/dcR9e48mW2P68P77JJ1e2NGw349BxWpj//m&#10;v+udFfxkKvzyjYygl78AAAD//wMAUEsBAi0AFAAGAAgAAAAhANvh9svuAAAAhQEAABMAAAAAAAAA&#10;AAAAAAAAAAAAAFtDb250ZW50X1R5cGVzXS54bWxQSwECLQAUAAYACAAAACEAWvQsW78AAAAVAQAA&#10;CwAAAAAAAAAAAAAAAAAfAQAAX3JlbHMvLnJlbHNQSwECLQAUAAYACAAAACEAYt+KQMYAAADdAAAA&#10;DwAAAAAAAAAAAAAAAAAHAgAAZHJzL2Rvd25yZXYueG1sUEsFBgAAAAADAAMAtwAAAPoCAAAAAA==&#10;" fillcolor="#adc1e2">
                  <v:shadow color="#2666a6"/>
                  <v:textbox inset="2.52pt,0,.90719mm,0">
                    <w:txbxContent>
                      <w:p w14:paraId="016CC184" w14:textId="77777777" w:rsidR="003A587C" w:rsidRPr="007D770B" w:rsidRDefault="003A587C" w:rsidP="00331FED">
                        <w:pPr>
                          <w:autoSpaceDE w:val="0"/>
                          <w:autoSpaceDN w:val="0"/>
                          <w:adjustRightInd w:val="0"/>
                          <w:spacing w:after="0"/>
                          <w:ind w:left="90"/>
                          <w:rPr>
                            <w:rFonts w:ascii="Times New Roman" w:hAnsi="Times New Roman"/>
                            <w:b/>
                            <w:bCs/>
                            <w:sz w:val="18"/>
                            <w:szCs w:val="18"/>
                            <w:lang w:val="en-US"/>
                          </w:rPr>
                        </w:pPr>
                        <w:r w:rsidRPr="007D770B">
                          <w:rPr>
                            <w:rFonts w:ascii="Times New Roman" w:hAnsi="Times New Roman"/>
                            <w:b/>
                            <w:bCs/>
                            <w:sz w:val="18"/>
                            <w:szCs w:val="18"/>
                            <w:lang w:val="en-US"/>
                          </w:rPr>
                          <w:t>Market risk</w:t>
                        </w:r>
                      </w:p>
                      <w:p w14:paraId="44489B20" w14:textId="77777777" w:rsidR="003A587C" w:rsidRPr="007D770B" w:rsidRDefault="003A587C" w:rsidP="00331FED">
                        <w:pPr>
                          <w:autoSpaceDE w:val="0"/>
                          <w:autoSpaceDN w:val="0"/>
                          <w:adjustRightInd w:val="0"/>
                          <w:spacing w:after="0"/>
                          <w:ind w:left="90"/>
                          <w:rPr>
                            <w:rFonts w:ascii="Times New Roman" w:hAnsi="Times New Roman"/>
                            <w:b/>
                            <w:bCs/>
                            <w:sz w:val="18"/>
                            <w:szCs w:val="18"/>
                            <w:lang w:val="en-US"/>
                          </w:rPr>
                        </w:pPr>
                        <w:r w:rsidRPr="007D770B">
                          <w:rPr>
                            <w:rFonts w:ascii="Times New Roman" w:hAnsi="Times New Roman"/>
                            <w:b/>
                            <w:bCs/>
                            <w:sz w:val="18"/>
                            <w:szCs w:val="18"/>
                            <w:lang w:val="en-US"/>
                          </w:rPr>
                          <w:t xml:space="preserve">Qualitative assessment </w:t>
                        </w:r>
                      </w:p>
                      <w:p w14:paraId="307400FB" w14:textId="77777777" w:rsidR="003A587C" w:rsidRPr="007D770B" w:rsidRDefault="003A587C" w:rsidP="00331FED">
                        <w:pPr>
                          <w:autoSpaceDE w:val="0"/>
                          <w:autoSpaceDN w:val="0"/>
                          <w:adjustRightInd w:val="0"/>
                          <w:spacing w:after="0"/>
                          <w:ind w:left="90"/>
                          <w:rPr>
                            <w:rFonts w:ascii="Times New Roman" w:hAnsi="Times New Roman"/>
                            <w:b/>
                            <w:bCs/>
                            <w:sz w:val="18"/>
                            <w:szCs w:val="18"/>
                            <w:lang w:val="en-US"/>
                          </w:rPr>
                        </w:pPr>
                        <w:r w:rsidRPr="007D770B">
                          <w:rPr>
                            <w:rFonts w:ascii="Times New Roman" w:hAnsi="Times New Roman"/>
                            <w:b/>
                            <w:bCs/>
                            <w:sz w:val="18"/>
                            <w:szCs w:val="18"/>
                            <w:lang w:val="en-US"/>
                          </w:rPr>
                          <w:t>Quantification:</w:t>
                        </w:r>
                      </w:p>
                      <w:p w14:paraId="6D5660C4" w14:textId="77777777" w:rsidR="003A587C" w:rsidRPr="007D770B" w:rsidRDefault="003A587C" w:rsidP="00AE698A">
                        <w:pPr>
                          <w:numPr>
                            <w:ilvl w:val="0"/>
                            <w:numId w:val="35"/>
                          </w:numPr>
                          <w:autoSpaceDE w:val="0"/>
                          <w:autoSpaceDN w:val="0"/>
                          <w:adjustRightInd w:val="0"/>
                          <w:spacing w:after="0" w:line="240" w:lineRule="auto"/>
                          <w:ind w:left="270" w:hanging="270"/>
                          <w:jc w:val="left"/>
                          <w:rPr>
                            <w:rFonts w:ascii="Times New Roman" w:hAnsi="Times New Roman"/>
                            <w:sz w:val="18"/>
                            <w:szCs w:val="18"/>
                            <w:lang w:val="en-US"/>
                          </w:rPr>
                        </w:pPr>
                        <w:r w:rsidRPr="007D770B">
                          <w:rPr>
                            <w:rFonts w:ascii="Times New Roman" w:hAnsi="Times New Roman"/>
                            <w:sz w:val="18"/>
                            <w:szCs w:val="18"/>
                            <w:lang w:val="en-US"/>
                          </w:rPr>
                          <w:t>Sensitivity analysis for each type of market risk</w:t>
                        </w:r>
                      </w:p>
                    </w:txbxContent>
                  </v:textbox>
                </v:rect>
                <v:rect id="Rectangle 9" o:spid="_x0000_s1144" style="position:absolute;left:7226;top:22936;width:11246;height:2203;visibility:visible;mso-wrap-style:square;v-text-anchor:middle" o:bwmode="highContras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y/bxAAAAN0AAAAPAAAAZHJzL2Rvd25yZXYueG1sRE9Na8JA&#10;EL0X/A/LCL01mwhpJbqKWAq2QsEYPA/ZMYlmZ0N2m6T/vlso9DaP9znr7WRaMVDvGssKkigGQVxa&#10;3XCloDi/PS1BOI+ssbVMCr7JwXYze1hjpu3IJxpyX4kQwi5DBbX3XSalK2sy6CLbEQfuanuDPsC+&#10;krrHMYSbVi7i+FkabDg01NjRvqbynn8ZBW1zmz6PKA9Fkr4edx8v6SUf35V6nE+7FQhPk/8X/7kP&#10;OsyPFwn8fhNOkJsfAAAA//8DAFBLAQItABQABgAIAAAAIQDb4fbL7gAAAIUBAAATAAAAAAAAAAAA&#10;AAAAAAAAAABbQ29udGVudF9UeXBlc10ueG1sUEsBAi0AFAAGAAgAAAAhAFr0LFu/AAAAFQEAAAsA&#10;AAAAAAAAAAAAAAAAHwEAAF9yZWxzLy5yZWxzUEsBAi0AFAAGAAgAAAAhAA2TL9vEAAAA3QAAAA8A&#10;AAAAAAAAAAAAAAAABwIAAGRycy9kb3ducmV2LnhtbFBLBQYAAAAAAwADALcAAAD4AgAAAAA=&#10;" fillcolor="#adc1e2">
                  <v:shadow color="#2666a6"/>
                  <v:textbox inset="2.52pt,0,.90719mm,0">
                    <w:txbxContent>
                      <w:p w14:paraId="00609523" w14:textId="77777777" w:rsidR="003A587C" w:rsidRPr="004B53CD" w:rsidRDefault="003A587C" w:rsidP="00331FED">
                        <w:pPr>
                          <w:autoSpaceDE w:val="0"/>
                          <w:autoSpaceDN w:val="0"/>
                          <w:adjustRightInd w:val="0"/>
                          <w:spacing w:after="0" w:line="240" w:lineRule="auto"/>
                          <w:ind w:left="86"/>
                          <w:jc w:val="left"/>
                          <w:rPr>
                            <w:rFonts w:ascii="Times New Roman" w:hAnsi="Times New Roman"/>
                            <w:sz w:val="18"/>
                            <w:szCs w:val="18"/>
                          </w:rPr>
                        </w:pPr>
                        <w:r w:rsidRPr="004B53CD">
                          <w:rPr>
                            <w:rFonts w:ascii="Times New Roman" w:hAnsi="Times New Roman"/>
                            <w:sz w:val="18"/>
                            <w:szCs w:val="18"/>
                          </w:rPr>
                          <w:t>Interest rate risk</w:t>
                        </w:r>
                      </w:p>
                    </w:txbxContent>
                  </v:textbox>
                </v:rect>
                <v:rect id="Rectangle 10" o:spid="_x0000_s1145" style="position:absolute;left:21628;top:23006;width:9937;height:2305;visibility:visible;mso-wrap-style:square;v-text-anchor:middle" o:bwmode="highContras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bGswgAAAN0AAAAPAAAAZHJzL2Rvd25yZXYueG1sRE9Ni8Iw&#10;EL0v+B/CCN7W1IK7Uo0iLgu6gmAVz0MzttVmUppo6783grC3ebzPmS06U4k7Na60rGA0jEAQZ1aX&#10;nCs4Hn4/JyCcR9ZYWSYFD3KwmPc+Zpho2/Ke7qnPRQhhl6CCwvs6kdJlBRl0Q1sTB+5sG4M+wCaX&#10;usE2hJtKxlH0JQ2WHBoKrGlVUHZNb0ZBVV663Rbl+jga/2yXf9/jU9pulBr0u+UUhKfO/4vf7rUO&#10;86M4htc34QQ5fwIAAP//AwBQSwECLQAUAAYACAAAACEA2+H2y+4AAACFAQAAEwAAAAAAAAAAAAAA&#10;AAAAAAAAW0NvbnRlbnRfVHlwZXNdLnhtbFBLAQItABQABgAIAAAAIQBa9CxbvwAAABUBAAALAAAA&#10;AAAAAAAAAAAAAB8BAABfcmVscy8ucmVsc1BLAQItABQABgAIAAAAIQD9QbGswgAAAN0AAAAPAAAA&#10;AAAAAAAAAAAAAAcCAABkcnMvZG93bnJldi54bWxQSwUGAAAAAAMAAwC3AAAA9gIAAAAA&#10;" fillcolor="#adc1e2">
                  <v:shadow color="#2666a6"/>
                  <v:textbox inset="2.52pt,0,.90719mm,0">
                    <w:txbxContent>
                      <w:p w14:paraId="5F3B71E5" w14:textId="77777777" w:rsidR="003A587C" w:rsidRPr="004B53CD" w:rsidRDefault="003A587C" w:rsidP="00331FED">
                        <w:pPr>
                          <w:autoSpaceDE w:val="0"/>
                          <w:autoSpaceDN w:val="0"/>
                          <w:adjustRightInd w:val="0"/>
                          <w:ind w:left="90"/>
                          <w:jc w:val="left"/>
                          <w:rPr>
                            <w:rFonts w:ascii="Times New Roman" w:hAnsi="Times New Roman"/>
                            <w:sz w:val="18"/>
                            <w:szCs w:val="18"/>
                          </w:rPr>
                        </w:pPr>
                        <w:r w:rsidRPr="004B53CD">
                          <w:rPr>
                            <w:rFonts w:ascii="Times New Roman" w:hAnsi="Times New Roman"/>
                            <w:sz w:val="18"/>
                            <w:szCs w:val="18"/>
                          </w:rPr>
                          <w:t>Currency risk</w:t>
                        </w:r>
                      </w:p>
                    </w:txbxContent>
                  </v:textbox>
                </v:rect>
                <v:rect id="Rectangle 11" o:spid="_x0000_s1146" style="position:absolute;left:29683;top:29887;width:7600;height:3136;visibility:visible;mso-wrap-style:none;v-text-anchor:middle" o:bwmode="highContras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T3BwAAAAN0AAAAPAAAAZHJzL2Rvd25yZXYueG1sRE/NaoNA&#10;EL4X+g7LFHqray2U1GYjIghJT23iAwzuRCXurOxu1bx9NxDobT6+39kWqxnFTM4PlhW8JikI4tbq&#10;gTsFzal+2YDwAVnjaJkUXMlDsXt82GKu7cI/NB9DJ2II+xwV9CFMuZS+7cmgT+xEHLmzdQZDhK6T&#10;2uESw80oszR9lwYHjg09TlT11F6Ov0bBR/Pl2H6XVI/VYV9tsCyJFqWen9byE0SgNfyL7+69jvPT&#10;7A1u38QT5O4PAAD//wMAUEsBAi0AFAAGAAgAAAAhANvh9svuAAAAhQEAABMAAAAAAAAAAAAAAAAA&#10;AAAAAFtDb250ZW50X1R5cGVzXS54bWxQSwECLQAUAAYACAAAACEAWvQsW78AAAAVAQAACwAAAAAA&#10;AAAAAAAAAAAfAQAAX3JlbHMvLnJlbHNQSwECLQAUAAYACAAAACEAUTU9wcAAAADdAAAADwAAAAAA&#10;AAAAAAAAAAAHAgAAZHJzL2Rvd25yZXYueG1sUEsFBgAAAAADAAMAtwAAAPQCAAAAAA==&#10;" fillcolor="#adc1e2">
                  <v:shadow color="#2666a6"/>
                  <v:textbox inset="2.52pt,0,.90719mm,0">
                    <w:txbxContent>
                      <w:p w14:paraId="75CCA08B" w14:textId="77777777" w:rsidR="003A587C" w:rsidRPr="004B53CD" w:rsidRDefault="003A587C" w:rsidP="00331FED">
                        <w:pPr>
                          <w:autoSpaceDE w:val="0"/>
                          <w:autoSpaceDN w:val="0"/>
                          <w:adjustRightInd w:val="0"/>
                          <w:spacing w:after="0" w:line="240" w:lineRule="auto"/>
                          <w:ind w:left="0"/>
                          <w:jc w:val="center"/>
                          <w:rPr>
                            <w:rFonts w:ascii="Times New Roman" w:hAnsi="Times New Roman"/>
                            <w:sz w:val="18"/>
                            <w:szCs w:val="18"/>
                          </w:rPr>
                        </w:pPr>
                        <w:r w:rsidRPr="004B53CD">
                          <w:rPr>
                            <w:rFonts w:ascii="Times New Roman" w:hAnsi="Times New Roman"/>
                            <w:sz w:val="18"/>
                            <w:szCs w:val="18"/>
                          </w:rPr>
                          <w:t xml:space="preserve">Risk of change </w:t>
                        </w:r>
                      </w:p>
                      <w:p w14:paraId="4637F825" w14:textId="77777777" w:rsidR="003A587C" w:rsidRPr="004B53CD" w:rsidRDefault="003A587C" w:rsidP="00331FED">
                        <w:pPr>
                          <w:autoSpaceDE w:val="0"/>
                          <w:autoSpaceDN w:val="0"/>
                          <w:adjustRightInd w:val="0"/>
                          <w:spacing w:after="0" w:line="240" w:lineRule="auto"/>
                          <w:ind w:left="0"/>
                          <w:jc w:val="center"/>
                          <w:rPr>
                            <w:rFonts w:ascii="Times New Roman" w:hAnsi="Times New Roman"/>
                            <w:sz w:val="18"/>
                            <w:szCs w:val="18"/>
                          </w:rPr>
                        </w:pPr>
                        <w:r w:rsidRPr="004B53CD">
                          <w:rPr>
                            <w:rFonts w:ascii="Times New Roman" w:hAnsi="Times New Roman"/>
                            <w:sz w:val="18"/>
                            <w:szCs w:val="18"/>
                          </w:rPr>
                          <w:t>stock prices</w:t>
                        </w:r>
                      </w:p>
                    </w:txbxContent>
                  </v:textbox>
                </v:rect>
                <v:rect id="Rectangle 13" o:spid="_x0000_s1147" style="position:absolute;left:45732;top:29832;width:9906;height:3111;visibility:visible;mso-wrap-style:square;v-text-anchor:middle" o:bwmode="highContras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IxDwgAAAN0AAAAPAAAAZHJzL2Rvd25yZXYueG1sRE9Ni8Iw&#10;EL0v+B/CCHvTVNFVqlFEEVwFwSqeh2Zsq82kNFnb/fdmQdjbPN7nzJetKcWTaldYVjDoRyCIU6sL&#10;zhRcztveFITzyBpLy6TglxwsF52POcbaNnyiZ+IzEULYxagg976KpXRpTgZd31bEgbvZ2qAPsM6k&#10;rrEJ4aaUwyj6kgYLDg05VrTOKX0kP0ZBWdzb4wHl7jIYbw6r/WR8TZpvpT677WoGwlPr/8Vv906H&#10;+dFwBH/fhBPk4gUAAP//AwBQSwECLQAUAAYACAAAACEA2+H2y+4AAACFAQAAEwAAAAAAAAAAAAAA&#10;AAAAAAAAW0NvbnRlbnRfVHlwZXNdLnhtbFBLAQItABQABgAIAAAAIQBa9CxbvwAAABUBAAALAAAA&#10;AAAAAAAAAAAAAB8BAABfcmVscy8ucmVsc1BLAQItABQABgAIAAAAIQAd5IxDwgAAAN0AAAAPAAAA&#10;AAAAAAAAAAAAAAcCAABkcnMvZG93bnJldi54bWxQSwUGAAAAAAMAAwC3AAAA9gIAAAAA&#10;" fillcolor="#adc1e2">
                  <v:shadow color="#2666a6"/>
                  <v:textbox inset="2.52pt,0,.90719mm,0">
                    <w:txbxContent>
                      <w:p w14:paraId="28A2BB42" w14:textId="77777777" w:rsidR="003A587C" w:rsidRPr="004B53CD" w:rsidRDefault="003A587C" w:rsidP="00331FED">
                        <w:pPr>
                          <w:autoSpaceDE w:val="0"/>
                          <w:autoSpaceDN w:val="0"/>
                          <w:adjustRightInd w:val="0"/>
                          <w:spacing w:after="0" w:line="240" w:lineRule="auto"/>
                          <w:ind w:left="0"/>
                          <w:jc w:val="center"/>
                          <w:rPr>
                            <w:rFonts w:ascii="Times New Roman" w:hAnsi="Times New Roman"/>
                            <w:sz w:val="18"/>
                            <w:szCs w:val="18"/>
                          </w:rPr>
                        </w:pPr>
                        <w:r w:rsidRPr="004B53CD">
                          <w:rPr>
                            <w:rFonts w:ascii="Times New Roman" w:hAnsi="Times New Roman"/>
                            <w:sz w:val="18"/>
                            <w:szCs w:val="18"/>
                          </w:rPr>
                          <w:t>Risk of early</w:t>
                        </w:r>
                      </w:p>
                      <w:p w14:paraId="05F6AE51" w14:textId="77777777" w:rsidR="003A587C" w:rsidRPr="004B53CD" w:rsidRDefault="003A587C" w:rsidP="00331FED">
                        <w:pPr>
                          <w:autoSpaceDE w:val="0"/>
                          <w:autoSpaceDN w:val="0"/>
                          <w:adjustRightInd w:val="0"/>
                          <w:spacing w:after="0" w:line="240" w:lineRule="auto"/>
                          <w:ind w:left="0"/>
                          <w:jc w:val="center"/>
                          <w:rPr>
                            <w:rFonts w:ascii="Times New Roman" w:hAnsi="Times New Roman"/>
                            <w:sz w:val="18"/>
                            <w:szCs w:val="18"/>
                          </w:rPr>
                        </w:pPr>
                        <w:r w:rsidRPr="004B53CD">
                          <w:rPr>
                            <w:rFonts w:ascii="Times New Roman" w:hAnsi="Times New Roman"/>
                            <w:sz w:val="18"/>
                            <w:szCs w:val="18"/>
                          </w:rPr>
                          <w:t>repayments</w:t>
                        </w:r>
                      </w:p>
                    </w:txbxContent>
                  </v:textbox>
                </v:rect>
                <v:line id="Line 14" o:spid="_x0000_s1148" style="position:absolute;flip:x;visibility:visible;mso-wrap-style:square" from="31930,2609" to="31988,6134" o:connectortype="straight" o:bwmode="highContras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kKPwQAAAN0AAAAPAAAAZHJzL2Rvd25yZXYueG1sRE9NawIx&#10;EL0X/A9hBG81cUEpq1Gqpeq1but5uplulm4mSxJ1/fdNodDbPN7nrDaD68SVQmw9a5hNFQji2puW&#10;Gw3v1evjE4iYkA12nknDnSJs1qOHFZbG3/iNrqfUiBzCsUQNNqW+lDLWlhzGqe+JM/flg8OUYWik&#10;CXjL4a6ThVIL6bDl3GCxp52l+vt0cRoq+aJ8WxXVZ9huF9Yf9h9Hc9Z6Mh6elyASDelf/Oc+mjxf&#10;FXP4/SafINc/AAAA//8DAFBLAQItABQABgAIAAAAIQDb4fbL7gAAAIUBAAATAAAAAAAAAAAAAAAA&#10;AAAAAABbQ29udGVudF9UeXBlc10ueG1sUEsBAi0AFAAGAAgAAAAhAFr0LFu/AAAAFQEAAAsAAAAA&#10;AAAAAAAAAAAAHwEAAF9yZWxzLy5yZWxzUEsBAi0AFAAGAAgAAAAhAFCCQo/BAAAA3QAAAA8AAAAA&#10;AAAAAAAAAAAABwIAAGRycy9kb3ducmV2LnhtbFBLBQYAAAAAAwADALcAAAD1AgAAAAA=&#10;">
                  <v:shadow color="#2666a6"/>
                </v:line>
                <v:line id="Line 15" o:spid="_x0000_s1149" style="position:absolute;flip:y;visibility:visible;mso-wrap-style:square" from="13239,4762" to="50323,4762" o:connectortype="straight" o:bwmode="highContras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Nz4wQAAAN0AAAAPAAAAZHJzL2Rvd25yZXYueG1sRE89b8Iw&#10;EN0r9T9Yh9St2GSIUIpB0KotawllPuIjjhqfI9uF9N/XSEhs9/Q+b7EaXS/OFGLnWcNsqkAQN950&#10;3GrY1+/PcxAxIRvsPZOGP4qwWj4+LLAy/sJfdN6lVuQQjhVqsCkNlZSxseQwTv1AnLmTDw5ThqGV&#10;JuAlh7teFkqV0mHHucHiQK+Wmp/dr9NQyzflu7qoj2GzKa3//PjemoPWT5Nx/QIi0Zju4pt7a/J8&#10;VZRw/SafIJf/AAAA//8DAFBLAQItABQABgAIAAAAIQDb4fbL7gAAAIUBAAATAAAAAAAAAAAAAAAA&#10;AAAAAABbQ29udGVudF9UeXBlc10ueG1sUEsBAi0AFAAGAAgAAAAhAFr0LFu/AAAAFQEAAAsAAAAA&#10;AAAAAAAAAAAAHwEAAF9yZWxzLy5yZWxzUEsBAi0AFAAGAAgAAAAhAKBQ3PjBAAAA3QAAAA8AAAAA&#10;AAAAAAAAAAAABwIAAGRycy9kb3ducmV2LnhtbFBLBQYAAAAAAwADALcAAAD1AgAAAAA=&#10;">
                  <v:shadow color="#2666a6"/>
                </v:line>
                <v:line id="Line 16" o:spid="_x0000_s1150" style="position:absolute;visibility:visible;mso-wrap-style:square" from="50323,4762" to="50323,5937" o:connectortype="straight" o:bwmode="highContras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awkxAAAAN0AAAAPAAAAZHJzL2Rvd25yZXYueG1sRE9Li8Iw&#10;EL4v+B/CLHhbk/WwutUo6q7gQRAfCN6GZmxLm0lpslr99UYQ9jYf33PG09ZW4kKNLxxr+OwpEMSp&#10;MwVnGg775ccQhA/IBivHpOFGHqaTztsYE+OuvKXLLmQihrBPUEMeQp1I6dOcLPqeq4kjd3aNxRBh&#10;k0nT4DWG20r2lfqSFguODTnWtMgpLXd/VsNdFd/H0m5+y83PEhdyPT+E01br7ns7G4EI1IZ/8cu9&#10;MnG+6g/g+U08QU4eAAAA//8DAFBLAQItABQABgAIAAAAIQDb4fbL7gAAAIUBAAATAAAAAAAAAAAA&#10;AAAAAAAAAABbQ29udGVudF9UeXBlc10ueG1sUEsBAi0AFAAGAAgAAAAhAFr0LFu/AAAAFQEAAAsA&#10;AAAAAAAAAAAAAAAAHwEAAF9yZWxzLy5yZWxzUEsBAi0AFAAGAAgAAAAhACwBrCTEAAAA3QAAAA8A&#10;AAAAAAAAAAAAAAAABwIAAGRycy9kb3ducmV2LnhtbFBLBQYAAAAAAwADALcAAAD4AgAAAAA=&#10;">
                  <v:shadow color="#2666a6"/>
                </v:line>
                <v:line id="Line 17" o:spid="_x0000_s1151" style="position:absolute;visibility:visible;mso-wrap-style:square" from="13277,4762" to="13277,6000" o:connectortype="straight" o:bwmode="highContras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jhWxwAAAN0AAAAPAAAAZHJzL2Rvd25yZXYueG1sRI9Pa8JA&#10;EMXvBb/DMoK3uqsHaVNXqf/AQ0G0UuhtyE6TkOxsyK4a/fSdQ6G3Gd6b934zX/a+UVfqYhXYwmRs&#10;QBHnwVVcWDh/7p5fQMWE7LAJTBbuFGG5GDzNMXPhxke6nlKhJIRjhhbKlNpM65iX5DGOQ0ss2k/o&#10;PCZZu0K7Dm8S7hs9NWamPVYsDSW2tC4pr08Xb+Fhqtev2h+29WGzw7X+WJ3T99Ha0bB/fwOVqE//&#10;5r/rvRN8MxVc+UZG0ItfAAAA//8DAFBLAQItABQABgAIAAAAIQDb4fbL7gAAAIUBAAATAAAAAAAA&#10;AAAAAAAAAAAAAABbQ29udGVudF9UeXBlc10ueG1sUEsBAi0AFAAGAAgAAAAhAFr0LFu/AAAAFQEA&#10;AAsAAAAAAAAAAAAAAAAAHwEAAF9yZWxzLy5yZWxzUEsBAi0AFAAGAAgAAAAhAF2eOFbHAAAA3QAA&#10;AA8AAAAAAAAAAAAAAAAABwIAAGRycy9kb3ducmV2LnhtbFBLBQYAAAAAAwADALcAAAD7AgAAAAA=&#10;">
                  <v:shadow color="#2666a6"/>
                </v:line>
                <v:line id="Line 18" o:spid="_x0000_s1152" style="position:absolute;visibility:visible;mso-wrap-style:square" from="12788,18491" to="50542,18491" o:connectortype="straight" o:bwmode="highContras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p3NwwAAAN0AAAAPAAAAZHJzL2Rvd25yZXYueG1sRE9Li8Iw&#10;EL4L/ocwgjdN9CBrNYpP2MOC6IrgbWjGtrSZlCZqd3/9RhD2Nh/fc+bL1lbiQY0vHGsYDRUI4tSZ&#10;gjMN5+/94AOED8gGK8ek4Yc8LBfdzhwT4558pMcpZCKGsE9QQx5CnUjp05ws+qGriSN3c43FEGGT&#10;SdPgM4bbSo6VmkiLBceGHGva5JSWp7vV8KuK6aW0h1152O5xI7/W53A9at3vtasZiEBt+Be/3Z8m&#10;zlfjKby+iSfIxR8AAAD//wMAUEsBAi0AFAAGAAgAAAAhANvh9svuAAAAhQEAABMAAAAAAAAAAAAA&#10;AAAAAAAAAFtDb250ZW50X1R5cGVzXS54bWxQSwECLQAUAAYACAAAACEAWvQsW78AAAAVAQAACwAA&#10;AAAAAAAAAAAAAAAfAQAAX3JlbHMvLnJlbHNQSwECLQAUAAYACAAAACEAMtKdzcMAAADdAAAADwAA&#10;AAAAAAAAAAAAAAAHAgAAZHJzL2Rvd25yZXYueG1sUEsFBgAAAAADAAMAtwAAAPcCAAAAAA==&#10;">
                  <v:shadow color="#2666a6"/>
                </v:line>
                <v:line id="Line 19" o:spid="_x0000_s1153" style="position:absolute;visibility:visible;mso-wrap-style:square" from="12776,18491" to="12776,22898" o:connectortype="straight" o:bwmode="highContras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aKNxwAAAN0AAAAPAAAAZHJzL2Rvd25yZXYueG1sRI9Ba8JA&#10;EIXvBf/DMoK3umsFqamrVFuhB0G0UuhtyE6TkOxsyG419dc7h4K3Gd6b975ZrHrfqDN1sQpsYTI2&#10;oIjz4CouLJw+t4/PoGJCdtgEJgt/FGG1HDwsMHPhwgc6H1OhJIRjhhbKlNpM65iX5DGOQ0ss2k/o&#10;PCZZu0K7Di8S7hv9ZMxMe6xYGkpsaVNSXh9/vYWrqeZftd+/1/u3LW70bn1K3wdrR8P+9QVUoj7d&#10;zf/XH07wzVT45RsZQS9vAAAA//8DAFBLAQItABQABgAIAAAAIQDb4fbL7gAAAIUBAAATAAAAAAAA&#10;AAAAAAAAAAAAAABbQ29udGVudF9UeXBlc10ueG1sUEsBAi0AFAAGAAgAAAAhAFr0LFu/AAAAFQEA&#10;AAsAAAAAAAAAAAAAAAAAHwEAAF9yZWxzLy5yZWxzUEsBAi0AFAAGAAgAAAAhACYxoo3HAAAA3QAA&#10;AA8AAAAAAAAAAAAAAAAABwIAAGRycy9kb3ducmV2LnhtbFBLBQYAAAAAAwADALcAAAD7AgAAAAA=&#10;">
                  <v:shadow color="#2666a6"/>
                </v:line>
                <v:line id="Line 20" o:spid="_x0000_s1154" style="position:absolute;visibility:visible;mso-wrap-style:square" from="50542,15246" to="50542,23177" o:connectortype="straight" o:bwmode="highContras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QcWxAAAAN0AAAAPAAAAZHJzL2Rvd25yZXYueG1sRE9Li8Iw&#10;EL4v+B/CCN7WRBfErUZRdwUPgvhA8DY0Y1vaTEqT1bq/fiMIe5uP7znTeWsrcaPGF441DPoKBHHq&#10;TMGZhtNx/T4G4QOywcoxaXiQh/ms8zbFxLg77+l2CJmIIewT1JCHUCdS+jQni77vauLIXV1jMUTY&#10;ZNI0eI/htpJDpUbSYsGxIceaVjml5eHHavhVxee5tLvvcve1xpXcLk/hste6120XExCB2vAvfrk3&#10;Js5XHwN4fhNPkLM/AAAA//8DAFBLAQItABQABgAIAAAAIQDb4fbL7gAAAIUBAAATAAAAAAAAAAAA&#10;AAAAAAAAAABbQ29udGVudF9UeXBlc10ueG1sUEsBAi0AFAAGAAgAAAAhAFr0LFu/AAAAFQEAAAsA&#10;AAAAAAAAAAAAAAAAHwEAAF9yZWxzLy5yZWxzUEsBAi0AFAAGAAgAAAAhAEl9BxbEAAAA3QAAAA8A&#10;AAAAAAAAAAAAAAAABwIAAGRycy9kb3ducmV2LnhtbFBLBQYAAAAAAwADALcAAAD4AgAAAAA=&#10;">
                  <v:shadow color="#2666a6"/>
                </v:line>
                <v:line id="Line 21" o:spid="_x0000_s1155" style="position:absolute;flip:y;visibility:visible;mso-wrap-style:square" from="33797,27857" to="50542,27857" o:connectortype="straight" o:bwmode="highContras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kwmwQAAAN0AAAAPAAAAZHJzL2Rvd25yZXYueG1sRE9NawIx&#10;EL0X/A9hBG81cQUpq1Gqpeq1but5uplulm4mSxJ1/fdNodDbPN7nrDaD68SVQmw9a5hNFQji2puW&#10;Gw3v1evjE4iYkA12nknDnSJs1qOHFZbG3/iNrqfUiBzCsUQNNqW+lDLWlhzGqe+JM/flg8OUYWik&#10;CXjL4a6ThVIL6bDl3GCxp52l+vt0cRoq+aJ8WxXVZ9huF9Yf9h9Hc9Z6Mh6elyASDelf/Oc+mjxf&#10;zQv4/SafINc/AAAA//8DAFBLAQItABQABgAIAAAAIQDb4fbL7gAAAIUBAAATAAAAAAAAAAAAAAAA&#10;AAAAAABbQ29udGVudF9UeXBlc10ueG1sUEsBAi0AFAAGAAgAAAAhAFr0LFu/AAAAFQEAAAsAAAAA&#10;AAAAAAAAAAAAHwEAAF9yZWxzLy5yZWxzUEsBAi0AFAAGAAgAAAAhAFqyTCbBAAAA3QAAAA8AAAAA&#10;AAAAAAAAAAAABwIAAGRycy9kb3ducmV2LnhtbFBLBQYAAAAAAwADALcAAAD1AgAAAAA=&#10;">
                  <v:shadow color="#2666a6"/>
                </v:line>
                <v:line id="Line 22" o:spid="_x0000_s1156" style="position:absolute;visibility:visible;mso-wrap-style:square" from="33797,27857" to="33797,29813" o:connectortype="straight" o:bwmode="highContras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zz6xQAAAN0AAAAPAAAAZHJzL2Rvd25yZXYueG1sRE9La8JA&#10;EL4X+h+WEbzVXRVKjdlI6wN6KIipFLwN2WkSkp0N2VVjf323UPA2H99z0tVgW3Gh3teONUwnCgRx&#10;4UzNpYbj5+7pBYQPyAZbx6ThRh5W2eNDiolxVz7QJQ+liCHsE9RQhdAlUvqiIot+4jriyH273mKI&#10;sC+l6fEaw20rZ0o9S4s1x4YKO1pXVDT52Wr4UfXiq7H7bbPf7HAtP96O4XTQejwaXpcgAg3hLv53&#10;v5s4X83n8PdNPEFmvwAAAP//AwBQSwECLQAUAAYACAAAACEA2+H2y+4AAACFAQAAEwAAAAAAAAAA&#10;AAAAAAAAAAAAW0NvbnRlbnRfVHlwZXNdLnhtbFBLAQItABQABgAIAAAAIQBa9CxbvwAAABUBAAAL&#10;AAAAAAAAAAAAAAAAAB8BAABfcmVscy8ucmVsc1BLAQItABQABgAIAAAAIQDW4zz6xQAAAN0AAAAP&#10;AAAAAAAAAAAAAAAAAAcCAABkcnMvZG93bnJldi54bWxQSwUGAAAAAAMAAwC3AAAA+QIAAAAA&#10;">
                  <v:shadow color="#2666a6"/>
                </v:line>
                <v:line id="Line 23" o:spid="_x0000_s1157" style="position:absolute;visibility:visible;mso-wrap-style:square" from="50542,22796" to="50542,29806" o:connectortype="straight" o:bwmode="highContras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qSOxAAAAN0AAAAPAAAAZHJzL2Rvd25yZXYueG1sRE9LawIx&#10;EL4L/Q9hCr1popVSV6O0PqCHgmhF8DZsxt1lN5NlE3XtrzeC4G0+vudMZq2txJkaXzjW0O8pEMSp&#10;MwVnGnZ/q+4nCB+QDVaOScOVPMymL50JJsZdeEPnbchEDGGfoIY8hDqR0qc5WfQ9VxNH7ugaiyHC&#10;JpOmwUsMt5UcKPUhLRYcG3KsaZ5TWm5PVsO/Kkb70q6X5Xqxwrn8/d6Fw0brt9f2awwiUBue4of7&#10;x8T56n0I92/iCXJ6AwAA//8DAFBLAQItABQABgAIAAAAIQDb4fbL7gAAAIUBAAATAAAAAAAAAAAA&#10;AAAAAAAAAABbQ29udGVudF9UeXBlc10ueG1sUEsBAi0AFAAGAAgAAAAhAFr0LFu/AAAAFQEAAAsA&#10;AAAAAAAAAAAAAAAAHwEAAF9yZWxzLy5yZWxzUEsBAi0AFAAGAAgAAAAhAFkKpI7EAAAA3QAAAA8A&#10;AAAAAAAAAAAAAAAABwIAAGRycy9kb3ducmV2LnhtbFBLBQYAAAAAAwADALcAAAD4AgAAAAA=&#10;">
                  <v:shadow color="#2666a6"/>
                </v:line>
                <v:line id="Line 24" o:spid="_x0000_s1158" style="position:absolute;visibility:visible;mso-wrap-style:square" from="28720,18497" to="28739,22910" o:connectortype="straight" o:bwmode="highContras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gEVxAAAAN0AAAAPAAAAZHJzL2Rvd25yZXYueG1sRE9LawIx&#10;EL4L/Q9hCr1posVSV6O0PqCHgmhF8DZsxt1lN5NlE3XtrzeC4G0+vudMZq2txJkaXzjW0O8pEMSp&#10;MwVnGnZ/q+4nCB+QDVaOScOVPMymL50JJsZdeEPnbchEDGGfoIY8hDqR0qc5WfQ9VxNH7ugaiyHC&#10;JpOmwUsMt5UcKPUhLRYcG3KsaZ5TWm5PVsO/Kkb70q6X5Xqxwrn8/d6Fw0brt9f2awwiUBue4of7&#10;x8T56n0I92/iCXJ6AwAA//8DAFBLAQItABQABgAIAAAAIQDb4fbL7gAAAIUBAAATAAAAAAAAAAAA&#10;AAAAAAAAAABbQ29udGVudF9UeXBlc10ueG1sUEsBAi0AFAAGAAgAAAAhAFr0LFu/AAAAFQEAAAsA&#10;AAAAAAAAAAAAAAAAHwEAAF9yZWxzLy5yZWxzUEsBAi0AFAAGAAgAAAAhADZGARXEAAAA3QAAAA8A&#10;AAAAAAAAAAAAAAAABwIAAGRycy9kb3ducmV2LnhtbFBLBQYAAAAAAwADALcAAAD4AgAAAAA=&#10;">
                  <v:shadow color="#2666a6"/>
                </v:line>
                <w10:anchorlock/>
              </v:group>
            </w:pict>
          </mc:Fallback>
        </mc:AlternateContent>
      </w:r>
    </w:p>
    <w:p w14:paraId="1600F780" w14:textId="77777777" w:rsidR="00331FED" w:rsidRPr="007D770B" w:rsidRDefault="00331FED" w:rsidP="00331FED">
      <w:pPr>
        <w:pStyle w:val="1"/>
        <w:numPr>
          <w:ilvl w:val="0"/>
          <w:numId w:val="0"/>
        </w:numPr>
        <w:tabs>
          <w:tab w:val="left" w:pos="360"/>
        </w:tabs>
        <w:spacing w:after="240"/>
        <w:rPr>
          <w:sz w:val="20"/>
          <w:szCs w:val="20"/>
          <w:lang w:val="en-US"/>
        </w:rPr>
      </w:pPr>
      <w:r w:rsidRPr="007D770B">
        <w:rPr>
          <w:sz w:val="20"/>
          <w:szCs w:val="20"/>
          <w:lang w:val="en-US"/>
        </w:rPr>
        <w:t xml:space="preserve">The presentation of </w:t>
      </w:r>
      <w:r w:rsidRPr="007D770B">
        <w:rPr>
          <w:b/>
          <w:i/>
          <w:sz w:val="20"/>
          <w:szCs w:val="20"/>
          <w:lang w:val="en-US"/>
        </w:rPr>
        <w:t xml:space="preserve">credit risk </w:t>
      </w:r>
      <w:r w:rsidRPr="007D770B">
        <w:rPr>
          <w:sz w:val="20"/>
          <w:szCs w:val="20"/>
          <w:lang w:val="en-US"/>
        </w:rPr>
        <w:t>information also includes (for each class of financial instruments):</w:t>
      </w:r>
    </w:p>
    <w:p w14:paraId="3E2394E2" w14:textId="6BDCFE48" w:rsidR="00331FED" w:rsidRPr="007D770B" w:rsidRDefault="00331FED" w:rsidP="00AE698A">
      <w:pPr>
        <w:pStyle w:val="1"/>
        <w:numPr>
          <w:ilvl w:val="0"/>
          <w:numId w:val="364"/>
        </w:numPr>
        <w:rPr>
          <w:sz w:val="20"/>
          <w:szCs w:val="20"/>
          <w:lang w:val="en-US"/>
        </w:rPr>
      </w:pPr>
      <w:r w:rsidRPr="007D770B">
        <w:rPr>
          <w:sz w:val="20"/>
          <w:szCs w:val="20"/>
          <w:lang w:val="en-US"/>
        </w:rPr>
        <w:t>The Bank's credit risk management practices and their relationship to the recognition and measurement of expected credit losses. To achieve this objective, the Bank discloses the following information:</w:t>
      </w:r>
    </w:p>
    <w:p w14:paraId="76138275" w14:textId="77777777" w:rsidR="00331FED" w:rsidRPr="007D770B" w:rsidRDefault="00331FED" w:rsidP="00AE698A">
      <w:pPr>
        <w:pStyle w:val="1"/>
        <w:numPr>
          <w:ilvl w:val="0"/>
          <w:numId w:val="352"/>
        </w:numPr>
        <w:ind w:left="720"/>
        <w:rPr>
          <w:sz w:val="20"/>
          <w:szCs w:val="20"/>
          <w:lang w:val="en-US"/>
        </w:rPr>
      </w:pPr>
      <w:r w:rsidRPr="007D770B">
        <w:rPr>
          <w:sz w:val="20"/>
          <w:szCs w:val="20"/>
          <w:lang w:val="en-US"/>
        </w:rPr>
        <w:t>how the Bank determines whether credit risk has increased significantly since initial recognition;</w:t>
      </w:r>
    </w:p>
    <w:p w14:paraId="6580B2F8" w14:textId="77777777" w:rsidR="00331FED" w:rsidRPr="007D770B" w:rsidRDefault="00331FED" w:rsidP="00AE698A">
      <w:pPr>
        <w:pStyle w:val="1"/>
        <w:numPr>
          <w:ilvl w:val="0"/>
          <w:numId w:val="352"/>
        </w:numPr>
        <w:ind w:left="720"/>
        <w:rPr>
          <w:sz w:val="20"/>
          <w:szCs w:val="20"/>
          <w:lang w:val="en-US"/>
        </w:rPr>
      </w:pPr>
      <w:r w:rsidRPr="007D770B">
        <w:rPr>
          <w:sz w:val="20"/>
          <w:szCs w:val="20"/>
          <w:lang w:val="en-US"/>
        </w:rPr>
        <w:t>the definitions of default used by the Bank, including the reasons for choosing such ;</w:t>
      </w:r>
    </w:p>
    <w:p w14:paraId="155EC6A9" w14:textId="77777777" w:rsidR="00331FED" w:rsidRPr="007D770B" w:rsidRDefault="00331FED" w:rsidP="00AE698A">
      <w:pPr>
        <w:pStyle w:val="1"/>
        <w:numPr>
          <w:ilvl w:val="0"/>
          <w:numId w:val="352"/>
        </w:numPr>
        <w:ind w:left="720"/>
        <w:rPr>
          <w:sz w:val="20"/>
          <w:szCs w:val="20"/>
          <w:lang w:val="en-US"/>
        </w:rPr>
      </w:pPr>
      <w:r w:rsidRPr="007D770B">
        <w:rPr>
          <w:sz w:val="20"/>
          <w:szCs w:val="20"/>
          <w:lang w:val="en-US"/>
        </w:rPr>
        <w:t>how instruments were grouped if expected credit losses were measured on a group basis;</w:t>
      </w:r>
    </w:p>
    <w:p w14:paraId="6FF810D1" w14:textId="77777777" w:rsidR="00331FED" w:rsidRPr="007D770B" w:rsidRDefault="00331FED" w:rsidP="00AE698A">
      <w:pPr>
        <w:pStyle w:val="1"/>
        <w:numPr>
          <w:ilvl w:val="0"/>
          <w:numId w:val="352"/>
        </w:numPr>
        <w:ind w:left="720"/>
        <w:rPr>
          <w:sz w:val="20"/>
          <w:szCs w:val="20"/>
          <w:lang w:val="en-US"/>
        </w:rPr>
      </w:pPr>
      <w:r w:rsidRPr="007D770B">
        <w:rPr>
          <w:sz w:val="20"/>
          <w:szCs w:val="20"/>
          <w:lang w:val="en-US"/>
        </w:rPr>
        <w:t>how the Bank determined that financial assets are credit-impaired financial assets;</w:t>
      </w:r>
    </w:p>
    <w:p w14:paraId="1AAA1073" w14:textId="77777777" w:rsidR="00331FED" w:rsidRPr="007D770B" w:rsidRDefault="00331FED" w:rsidP="00AE698A">
      <w:pPr>
        <w:pStyle w:val="1"/>
        <w:numPr>
          <w:ilvl w:val="0"/>
          <w:numId w:val="352"/>
        </w:numPr>
        <w:ind w:left="720"/>
        <w:rPr>
          <w:sz w:val="20"/>
          <w:szCs w:val="20"/>
          <w:lang w:val="en-US"/>
        </w:rPr>
      </w:pPr>
      <w:r w:rsidRPr="007D770B">
        <w:rPr>
          <w:sz w:val="20"/>
          <w:szCs w:val="20"/>
          <w:lang w:val="en-US"/>
        </w:rPr>
        <w:t>The Bank's write-off policies, including indications that there is no reasonable expectation of recovering the asset's value and information on policies for financial assets that are written off but continue to be subject to involuntary repossession procedures; and</w:t>
      </w:r>
    </w:p>
    <w:p w14:paraId="0945BC42" w14:textId="77777777" w:rsidR="00331FED" w:rsidRPr="007D770B" w:rsidRDefault="00331FED" w:rsidP="00AE698A">
      <w:pPr>
        <w:pStyle w:val="1"/>
        <w:numPr>
          <w:ilvl w:val="0"/>
          <w:numId w:val="352"/>
        </w:numPr>
        <w:spacing w:after="240"/>
        <w:ind w:left="720"/>
        <w:rPr>
          <w:sz w:val="20"/>
          <w:szCs w:val="20"/>
          <w:lang w:val="en-US"/>
        </w:rPr>
      </w:pPr>
      <w:r w:rsidRPr="007D770B">
        <w:rPr>
          <w:sz w:val="20"/>
          <w:szCs w:val="20"/>
          <w:lang w:val="en-US"/>
        </w:rPr>
        <w:t>how the requirements to modify the contractual cash flows of financial assets have been applied</w:t>
      </w:r>
    </w:p>
    <w:p w14:paraId="5353F775" w14:textId="77777777" w:rsidR="00331FED" w:rsidRPr="007D770B" w:rsidRDefault="00331FED" w:rsidP="00AE698A">
      <w:pPr>
        <w:pStyle w:val="1"/>
        <w:numPr>
          <w:ilvl w:val="0"/>
          <w:numId w:val="364"/>
        </w:numPr>
        <w:rPr>
          <w:sz w:val="20"/>
          <w:szCs w:val="20"/>
          <w:lang w:val="en-US"/>
        </w:rPr>
      </w:pPr>
      <w:r w:rsidRPr="007D770B">
        <w:rPr>
          <w:sz w:val="20"/>
          <w:szCs w:val="20"/>
          <w:lang w:val="en-US"/>
        </w:rPr>
        <w:t>The Bank explains the inputs, assumptions and valuation models it uses in its impairment disclosures for financial assets:</w:t>
      </w:r>
    </w:p>
    <w:p w14:paraId="57492848" w14:textId="77777777" w:rsidR="00331FED" w:rsidRPr="007D770B" w:rsidRDefault="00331FED" w:rsidP="00AE698A">
      <w:pPr>
        <w:pStyle w:val="1"/>
        <w:numPr>
          <w:ilvl w:val="0"/>
          <w:numId w:val="353"/>
        </w:numPr>
        <w:rPr>
          <w:sz w:val="20"/>
          <w:szCs w:val="20"/>
          <w:lang w:val="en-US"/>
        </w:rPr>
      </w:pPr>
      <w:r w:rsidRPr="007D770B">
        <w:rPr>
          <w:sz w:val="20"/>
          <w:szCs w:val="20"/>
          <w:lang w:val="en-US"/>
        </w:rPr>
        <w:lastRenderedPageBreak/>
        <w:t>the basis of the inputs, assumptions and valuation models used for:</w:t>
      </w:r>
    </w:p>
    <w:p w14:paraId="2C9B37C3" w14:textId="77777777" w:rsidR="00331FED" w:rsidRPr="007D770B" w:rsidRDefault="00331FED" w:rsidP="00AE698A">
      <w:pPr>
        <w:pStyle w:val="1"/>
        <w:numPr>
          <w:ilvl w:val="0"/>
          <w:numId w:val="354"/>
        </w:numPr>
        <w:rPr>
          <w:sz w:val="20"/>
          <w:szCs w:val="20"/>
          <w:lang w:val="en-US"/>
        </w:rPr>
      </w:pPr>
      <w:r w:rsidRPr="007D770B">
        <w:rPr>
          <w:sz w:val="20"/>
          <w:szCs w:val="20"/>
          <w:lang w:val="en-US"/>
        </w:rPr>
        <w:t>estimates of 12-month expected credit losses and for the full term;</w:t>
      </w:r>
    </w:p>
    <w:p w14:paraId="59B6F301" w14:textId="77777777" w:rsidR="00331FED" w:rsidRPr="007D770B" w:rsidRDefault="00331FED" w:rsidP="00AE698A">
      <w:pPr>
        <w:pStyle w:val="1"/>
        <w:numPr>
          <w:ilvl w:val="0"/>
          <w:numId w:val="354"/>
        </w:numPr>
        <w:rPr>
          <w:sz w:val="20"/>
          <w:szCs w:val="20"/>
          <w:lang w:val="en-US"/>
        </w:rPr>
      </w:pPr>
      <w:r w:rsidRPr="007D770B">
        <w:rPr>
          <w:sz w:val="20"/>
          <w:szCs w:val="20"/>
          <w:lang w:val="en-US"/>
        </w:rPr>
        <w:t>Determining whether the credit risk of financial instruments has increased significantly since initial recognition; and</w:t>
      </w:r>
    </w:p>
    <w:p w14:paraId="5A954BEC" w14:textId="77777777" w:rsidR="00331FED" w:rsidRPr="007D770B" w:rsidRDefault="00331FED" w:rsidP="00AE698A">
      <w:pPr>
        <w:pStyle w:val="1"/>
        <w:numPr>
          <w:ilvl w:val="0"/>
          <w:numId w:val="354"/>
        </w:numPr>
        <w:rPr>
          <w:sz w:val="20"/>
          <w:szCs w:val="20"/>
          <w:lang w:val="en-US"/>
        </w:rPr>
      </w:pPr>
      <w:r w:rsidRPr="007D770B">
        <w:rPr>
          <w:sz w:val="20"/>
          <w:szCs w:val="20"/>
          <w:lang w:val="en-US"/>
        </w:rPr>
        <w:t>determining whether a financial asset is a credit-impaired financial asset.</w:t>
      </w:r>
    </w:p>
    <w:p w14:paraId="2C8E7F6B" w14:textId="77777777" w:rsidR="00331FED" w:rsidRPr="007D770B" w:rsidRDefault="00331FED" w:rsidP="00AE698A">
      <w:pPr>
        <w:pStyle w:val="1"/>
        <w:numPr>
          <w:ilvl w:val="0"/>
          <w:numId w:val="353"/>
        </w:numPr>
        <w:rPr>
          <w:sz w:val="20"/>
          <w:szCs w:val="20"/>
          <w:lang w:val="en-US"/>
        </w:rPr>
      </w:pPr>
      <w:r w:rsidRPr="007D770B">
        <w:rPr>
          <w:sz w:val="20"/>
          <w:szCs w:val="20"/>
          <w:lang w:val="en-US"/>
        </w:rPr>
        <w:t>how forward-looking information, including the use of macroeconomic data, was used in determining expected credit losses; and</w:t>
      </w:r>
    </w:p>
    <w:p w14:paraId="71BAE7D0" w14:textId="1813FA1C" w:rsidR="00331FED" w:rsidRPr="007D770B" w:rsidRDefault="00331FED" w:rsidP="00AE698A">
      <w:pPr>
        <w:pStyle w:val="1"/>
        <w:numPr>
          <w:ilvl w:val="0"/>
          <w:numId w:val="353"/>
        </w:numPr>
        <w:spacing w:after="240"/>
        <w:rPr>
          <w:sz w:val="20"/>
          <w:szCs w:val="20"/>
          <w:lang w:val="en-US"/>
        </w:rPr>
      </w:pPr>
      <w:r w:rsidRPr="007D770B">
        <w:rPr>
          <w:sz w:val="20"/>
          <w:szCs w:val="20"/>
          <w:lang w:val="en-US"/>
        </w:rPr>
        <w:t>changes in the valuation models or significant assumptions used during the reporting period and the reasons for those changes.</w:t>
      </w:r>
    </w:p>
    <w:p w14:paraId="071F15F7" w14:textId="77777777" w:rsidR="004C63A9" w:rsidRPr="007D770B" w:rsidRDefault="004C63A9" w:rsidP="00AE698A">
      <w:pPr>
        <w:pStyle w:val="1"/>
        <w:numPr>
          <w:ilvl w:val="0"/>
          <w:numId w:val="364"/>
        </w:numPr>
        <w:ind w:hanging="450"/>
        <w:rPr>
          <w:sz w:val="20"/>
          <w:szCs w:val="20"/>
          <w:lang w:val="en-US"/>
        </w:rPr>
      </w:pPr>
      <w:r w:rsidRPr="007D770B">
        <w:rPr>
          <w:sz w:val="20"/>
          <w:szCs w:val="20"/>
          <w:lang w:val="en-US"/>
        </w:rPr>
        <w:t>In order to explain changes in the loss allowance and the reasons for such changes, the Bank discloses by class of financial instrument a reconciliation of the opening balance of the loss allowance to the closing balance in tabular format, showing separately the changes during the period for the following items:</w:t>
      </w:r>
    </w:p>
    <w:p w14:paraId="4E9A682A" w14:textId="77777777" w:rsidR="004C63A9" w:rsidRPr="007D770B" w:rsidRDefault="004C63A9" w:rsidP="00AE698A">
      <w:pPr>
        <w:pStyle w:val="1"/>
        <w:numPr>
          <w:ilvl w:val="0"/>
          <w:numId w:val="369"/>
        </w:numPr>
        <w:tabs>
          <w:tab w:val="left" w:pos="1143"/>
        </w:tabs>
        <w:ind w:left="720"/>
        <w:rPr>
          <w:sz w:val="20"/>
          <w:szCs w:val="20"/>
          <w:lang w:val="en-US"/>
        </w:rPr>
      </w:pPr>
      <w:r w:rsidRPr="007D770B">
        <w:rPr>
          <w:sz w:val="20"/>
          <w:szCs w:val="20"/>
          <w:lang w:val="en-US"/>
        </w:rPr>
        <w:t>a valuation allowance for losses estimated at an amount equal to 12 months expected credit losses;</w:t>
      </w:r>
    </w:p>
    <w:p w14:paraId="02C6D691" w14:textId="20112EAC" w:rsidR="004C63A9" w:rsidRPr="007D770B" w:rsidRDefault="004C63A9" w:rsidP="00AE698A">
      <w:pPr>
        <w:pStyle w:val="1"/>
        <w:numPr>
          <w:ilvl w:val="0"/>
          <w:numId w:val="369"/>
        </w:numPr>
        <w:tabs>
          <w:tab w:val="left" w:pos="1143"/>
        </w:tabs>
        <w:ind w:left="720"/>
        <w:rPr>
          <w:sz w:val="20"/>
          <w:szCs w:val="20"/>
          <w:lang w:val="en-US"/>
        </w:rPr>
      </w:pPr>
      <w:r w:rsidRPr="007D770B">
        <w:rPr>
          <w:sz w:val="20"/>
          <w:szCs w:val="20"/>
          <w:lang w:val="en-US"/>
        </w:rPr>
        <w:t>a loss allowance estimated at an amount equal to the expected credit losses for the entire term;</w:t>
      </w:r>
    </w:p>
    <w:p w14:paraId="21223525" w14:textId="77777777" w:rsidR="004C63A9" w:rsidRPr="007D770B" w:rsidRDefault="004C63A9" w:rsidP="00AE698A">
      <w:pPr>
        <w:pStyle w:val="1"/>
        <w:numPr>
          <w:ilvl w:val="0"/>
          <w:numId w:val="369"/>
        </w:numPr>
        <w:tabs>
          <w:tab w:val="left" w:pos="1143"/>
        </w:tabs>
        <w:spacing w:after="240"/>
        <w:ind w:left="720"/>
        <w:rPr>
          <w:sz w:val="20"/>
          <w:szCs w:val="20"/>
          <w:lang w:val="en-US"/>
        </w:rPr>
      </w:pPr>
      <w:r w:rsidRPr="007D770B">
        <w:rPr>
          <w:sz w:val="20"/>
          <w:szCs w:val="20"/>
          <w:lang w:val="en-US"/>
        </w:rPr>
        <w:t>financial assets that were acquired or originated with credit impairment. In addition to the reconciliation, the Bank discloses the total undiscounted expected credit losses on initial recognition for financial assets initially recognized during the reporting period.</w:t>
      </w:r>
    </w:p>
    <w:p w14:paraId="385D9653" w14:textId="0CF89C54" w:rsidR="004C63A9" w:rsidRPr="007D770B" w:rsidRDefault="004C63A9" w:rsidP="00AE698A">
      <w:pPr>
        <w:pStyle w:val="1"/>
        <w:numPr>
          <w:ilvl w:val="0"/>
          <w:numId w:val="364"/>
        </w:numPr>
        <w:rPr>
          <w:sz w:val="20"/>
          <w:szCs w:val="20"/>
          <w:lang w:val="en-US"/>
        </w:rPr>
      </w:pPr>
      <w:r w:rsidRPr="007D770B">
        <w:rPr>
          <w:sz w:val="20"/>
          <w:szCs w:val="20"/>
          <w:lang w:val="en-US"/>
        </w:rPr>
        <w:t>Examples of changes in the gross carrying amount of financial instruments that have contributed to changes in the valuation allowance for losses include:</w:t>
      </w:r>
    </w:p>
    <w:p w14:paraId="795CBC60" w14:textId="77777777" w:rsidR="004C63A9" w:rsidRPr="007D770B" w:rsidRDefault="004C63A9" w:rsidP="00AE698A">
      <w:pPr>
        <w:pStyle w:val="1"/>
        <w:numPr>
          <w:ilvl w:val="0"/>
          <w:numId w:val="370"/>
        </w:numPr>
        <w:ind w:left="720"/>
        <w:rPr>
          <w:sz w:val="20"/>
          <w:szCs w:val="20"/>
          <w:lang w:val="en-US"/>
        </w:rPr>
      </w:pPr>
      <w:r w:rsidRPr="007D770B">
        <w:rPr>
          <w:sz w:val="20"/>
          <w:szCs w:val="20"/>
          <w:lang w:val="en-US"/>
        </w:rPr>
        <w:t>changes due to the issue or acquisition of financial instruments during the reporting period;</w:t>
      </w:r>
    </w:p>
    <w:p w14:paraId="75B3A0FD" w14:textId="17C09AD2" w:rsidR="004C63A9" w:rsidRPr="007D770B" w:rsidRDefault="004C63A9" w:rsidP="00AE698A">
      <w:pPr>
        <w:pStyle w:val="1"/>
        <w:numPr>
          <w:ilvl w:val="0"/>
          <w:numId w:val="370"/>
        </w:numPr>
        <w:ind w:left="720"/>
        <w:rPr>
          <w:sz w:val="20"/>
          <w:szCs w:val="20"/>
          <w:lang w:val="en-US"/>
        </w:rPr>
      </w:pPr>
      <w:r w:rsidRPr="007D770B">
        <w:rPr>
          <w:sz w:val="20"/>
          <w:szCs w:val="20"/>
          <w:lang w:val="en-US"/>
        </w:rPr>
        <w:t xml:space="preserve">modifications to </w:t>
      </w:r>
      <w:r w:rsidR="00EE3CCF" w:rsidRPr="007D770B">
        <w:rPr>
          <w:sz w:val="20"/>
          <w:szCs w:val="20"/>
          <w:lang w:val="en-US"/>
        </w:rPr>
        <w:t xml:space="preserve">the contractual cash flows of financial assets </w:t>
      </w:r>
      <w:r w:rsidRPr="007D770B">
        <w:rPr>
          <w:sz w:val="20"/>
          <w:szCs w:val="20"/>
          <w:lang w:val="en-US"/>
        </w:rPr>
        <w:t>that do not result in the derecognition of those financial assets;</w:t>
      </w:r>
    </w:p>
    <w:p w14:paraId="0733FC54" w14:textId="09C8384A" w:rsidR="004C63A9" w:rsidRPr="007D770B" w:rsidRDefault="004C63A9" w:rsidP="00AE698A">
      <w:pPr>
        <w:pStyle w:val="1"/>
        <w:numPr>
          <w:ilvl w:val="0"/>
          <w:numId w:val="370"/>
        </w:numPr>
        <w:ind w:left="720"/>
        <w:rPr>
          <w:sz w:val="20"/>
          <w:szCs w:val="20"/>
          <w:lang w:val="en-US"/>
        </w:rPr>
      </w:pPr>
      <w:r w:rsidRPr="007D770B">
        <w:rPr>
          <w:sz w:val="20"/>
          <w:szCs w:val="20"/>
          <w:lang w:val="en-US"/>
        </w:rPr>
        <w:t>changes due to derecognition of financial instruments (including derecognition of financial instruments) during the reporting period;</w:t>
      </w:r>
    </w:p>
    <w:p w14:paraId="7063E413" w14:textId="77777777" w:rsidR="004C63A9" w:rsidRPr="007D770B" w:rsidRDefault="004C63A9" w:rsidP="00AE698A">
      <w:pPr>
        <w:pStyle w:val="1"/>
        <w:numPr>
          <w:ilvl w:val="0"/>
          <w:numId w:val="370"/>
        </w:numPr>
        <w:spacing w:after="240"/>
        <w:ind w:left="720"/>
        <w:rPr>
          <w:sz w:val="20"/>
          <w:szCs w:val="20"/>
          <w:lang w:val="en-US"/>
        </w:rPr>
      </w:pPr>
      <w:r w:rsidRPr="007D770B">
        <w:rPr>
          <w:sz w:val="20"/>
          <w:szCs w:val="20"/>
          <w:lang w:val="en-US"/>
        </w:rPr>
        <w:t>changes due to whether the valuation allowance for losses is determined at an amount equal to 12-month expected credit losses or at an amount equal to lifetime expected credit losses.</w:t>
      </w:r>
    </w:p>
    <w:p w14:paraId="4331AAA2" w14:textId="77777777" w:rsidR="004C63A9" w:rsidRPr="007D770B" w:rsidRDefault="004C63A9" w:rsidP="00AE698A">
      <w:pPr>
        <w:pStyle w:val="1"/>
        <w:numPr>
          <w:ilvl w:val="0"/>
          <w:numId w:val="364"/>
        </w:numPr>
        <w:rPr>
          <w:sz w:val="20"/>
          <w:szCs w:val="20"/>
          <w:lang w:val="en-US"/>
        </w:rPr>
      </w:pPr>
      <w:r w:rsidRPr="007D770B">
        <w:rPr>
          <w:sz w:val="20"/>
          <w:szCs w:val="20"/>
          <w:lang w:val="en-US"/>
        </w:rPr>
        <w:t>To explain the nature and effect of contractual modifications to the cash flows of financial assets that did not result in derecognition, and the effect of such modifications on the estimated expected credit losses, the Bank discloses the following information:</w:t>
      </w:r>
    </w:p>
    <w:p w14:paraId="636BDAE5" w14:textId="77777777" w:rsidR="004C63A9" w:rsidRPr="007D770B" w:rsidRDefault="004C63A9" w:rsidP="00AE698A">
      <w:pPr>
        <w:pStyle w:val="1"/>
        <w:numPr>
          <w:ilvl w:val="0"/>
          <w:numId w:val="371"/>
        </w:numPr>
        <w:ind w:left="720"/>
        <w:rPr>
          <w:sz w:val="20"/>
          <w:szCs w:val="20"/>
          <w:lang w:val="en-US"/>
        </w:rPr>
      </w:pPr>
      <w:r w:rsidRPr="007D770B">
        <w:rPr>
          <w:sz w:val="20"/>
          <w:szCs w:val="20"/>
          <w:lang w:val="en-US"/>
        </w:rPr>
        <w:t>the amortized cost before modification and the net gain or loss on modification recognized on financial assets for which contractual cash flows have been modified during the reporting period in which the loss allowance is measured at an amount equal to lifetime expected credit losses; and</w:t>
      </w:r>
    </w:p>
    <w:p w14:paraId="3BB97F6C" w14:textId="77777777" w:rsidR="004C63A9" w:rsidRPr="007D770B" w:rsidRDefault="004C63A9" w:rsidP="00AE698A">
      <w:pPr>
        <w:pStyle w:val="1"/>
        <w:numPr>
          <w:ilvl w:val="0"/>
          <w:numId w:val="371"/>
        </w:numPr>
        <w:spacing w:after="240"/>
        <w:ind w:left="720"/>
        <w:rPr>
          <w:sz w:val="20"/>
          <w:szCs w:val="20"/>
          <w:lang w:val="en-US"/>
        </w:rPr>
      </w:pPr>
      <w:r w:rsidRPr="007D770B">
        <w:rPr>
          <w:sz w:val="20"/>
          <w:szCs w:val="20"/>
          <w:lang w:val="en-US"/>
        </w:rPr>
        <w:t>the gross carrying amount at the end of the reporting period for financial assets that have been modified from their initial recognition in the period in which allowance for losses is measured at an amount equal to  expected credit losses and for which the allowance for losses is modified during the reporting period by an amount equal to 12 months expected credit losses.</w:t>
      </w:r>
    </w:p>
    <w:p w14:paraId="565A3237" w14:textId="77777777" w:rsidR="004C63A9" w:rsidRPr="007D770B" w:rsidRDefault="004C63A9" w:rsidP="00AE698A">
      <w:pPr>
        <w:pStyle w:val="1"/>
        <w:numPr>
          <w:ilvl w:val="0"/>
          <w:numId w:val="364"/>
        </w:numPr>
        <w:rPr>
          <w:sz w:val="20"/>
          <w:szCs w:val="20"/>
          <w:lang w:val="en-US"/>
        </w:rPr>
      </w:pPr>
      <w:r w:rsidRPr="007D770B">
        <w:rPr>
          <w:sz w:val="20"/>
          <w:szCs w:val="20"/>
          <w:lang w:val="en-US"/>
        </w:rPr>
        <w:t xml:space="preserve">To explain the effect of collateral and other credit enhancements on the amounts attributable to expected credit losses, the Bank discloses the following information by class of financial instrument: </w:t>
      </w:r>
    </w:p>
    <w:p w14:paraId="5D455BF8" w14:textId="43BA395B" w:rsidR="004C63A9" w:rsidRPr="007D770B" w:rsidRDefault="004C63A9" w:rsidP="00AE698A">
      <w:pPr>
        <w:pStyle w:val="1"/>
        <w:numPr>
          <w:ilvl w:val="0"/>
          <w:numId w:val="372"/>
        </w:numPr>
        <w:ind w:left="720"/>
        <w:rPr>
          <w:sz w:val="20"/>
          <w:szCs w:val="20"/>
          <w:lang w:val="en-US"/>
        </w:rPr>
      </w:pPr>
      <w:r w:rsidRPr="007D770B">
        <w:rPr>
          <w:sz w:val="20"/>
          <w:szCs w:val="20"/>
          <w:lang w:val="en-US"/>
        </w:rPr>
        <w:t>the amount that best represents the maximum exposure to credit risk at the end of the reporting period, excluding collateral held and other credit enhancements;</w:t>
      </w:r>
    </w:p>
    <w:p w14:paraId="48E619D3" w14:textId="77777777" w:rsidR="004C63A9" w:rsidRPr="007D770B" w:rsidRDefault="004C63A9" w:rsidP="00AE698A">
      <w:pPr>
        <w:pStyle w:val="1"/>
        <w:numPr>
          <w:ilvl w:val="0"/>
          <w:numId w:val="372"/>
        </w:numPr>
        <w:ind w:left="720"/>
        <w:rPr>
          <w:sz w:val="20"/>
          <w:szCs w:val="20"/>
          <w:lang w:val="en-US"/>
        </w:rPr>
      </w:pPr>
      <w:r w:rsidRPr="007D770B">
        <w:rPr>
          <w:sz w:val="20"/>
          <w:szCs w:val="20"/>
          <w:lang w:val="en-US"/>
        </w:rPr>
        <w:t>a description of collateral held as security and other credit enhancements, including the following:</w:t>
      </w:r>
    </w:p>
    <w:p w14:paraId="3E79A099" w14:textId="77777777" w:rsidR="004C63A9" w:rsidRPr="007D770B" w:rsidRDefault="004C63A9" w:rsidP="00AE698A">
      <w:pPr>
        <w:pStyle w:val="1"/>
        <w:numPr>
          <w:ilvl w:val="0"/>
          <w:numId w:val="368"/>
        </w:numPr>
        <w:rPr>
          <w:sz w:val="20"/>
          <w:szCs w:val="20"/>
          <w:lang w:val="en-US"/>
        </w:rPr>
      </w:pPr>
      <w:r w:rsidRPr="007D770B">
        <w:rPr>
          <w:sz w:val="20"/>
          <w:szCs w:val="20"/>
          <w:lang w:val="en-US"/>
        </w:rPr>
        <w:t>A description of the nature and quality of the collateral held;</w:t>
      </w:r>
    </w:p>
    <w:p w14:paraId="5B12EB77" w14:textId="77777777" w:rsidR="004C63A9" w:rsidRPr="007D770B" w:rsidRDefault="004C63A9" w:rsidP="00AE698A">
      <w:pPr>
        <w:pStyle w:val="1"/>
        <w:numPr>
          <w:ilvl w:val="0"/>
          <w:numId w:val="368"/>
        </w:numPr>
        <w:rPr>
          <w:sz w:val="20"/>
          <w:szCs w:val="20"/>
          <w:lang w:val="en-US"/>
        </w:rPr>
      </w:pPr>
      <w:r w:rsidRPr="007D770B">
        <w:rPr>
          <w:sz w:val="20"/>
          <w:szCs w:val="20"/>
          <w:lang w:val="en-US"/>
        </w:rPr>
        <w:t>An explanation of any significant changes in the quality of such collateral or credit enhancement arrangements as a result of deterioration in the characteristics or changes in the policies applied by the Bank to the collateral during the reporting period; and</w:t>
      </w:r>
    </w:p>
    <w:p w14:paraId="7FE024EB" w14:textId="77777777" w:rsidR="004C63A9" w:rsidRPr="007D770B" w:rsidRDefault="004C63A9" w:rsidP="00AE698A">
      <w:pPr>
        <w:pStyle w:val="1"/>
        <w:numPr>
          <w:ilvl w:val="0"/>
          <w:numId w:val="368"/>
        </w:numPr>
        <w:rPr>
          <w:sz w:val="20"/>
          <w:szCs w:val="20"/>
          <w:lang w:val="en-US"/>
        </w:rPr>
      </w:pPr>
      <w:r w:rsidRPr="007D770B">
        <w:rPr>
          <w:sz w:val="20"/>
          <w:szCs w:val="20"/>
          <w:lang w:val="en-US"/>
        </w:rPr>
        <w:t>information on financial instruments for which the Bank does not recognize a valuation allowance for losses due to availability of collateral.</w:t>
      </w:r>
    </w:p>
    <w:p w14:paraId="54F552C4" w14:textId="77777777" w:rsidR="004C63A9" w:rsidRPr="007D770B" w:rsidRDefault="004C63A9" w:rsidP="00AE698A">
      <w:pPr>
        <w:pStyle w:val="1"/>
        <w:numPr>
          <w:ilvl w:val="0"/>
          <w:numId w:val="373"/>
        </w:numPr>
        <w:ind w:left="720"/>
        <w:rPr>
          <w:sz w:val="20"/>
          <w:szCs w:val="20"/>
          <w:lang w:val="en-US"/>
        </w:rPr>
      </w:pPr>
      <w:r w:rsidRPr="007D770B">
        <w:rPr>
          <w:sz w:val="20"/>
          <w:szCs w:val="20"/>
          <w:lang w:val="en-US"/>
        </w:rPr>
        <w:t>quantitative information about collateral held as security and other credit enhancements (for example, quantitative data on the extent to which collateral and other credit enhancements mitigate credit risk) for credit-impaired financial assets at the reporting date.</w:t>
      </w:r>
    </w:p>
    <w:p w14:paraId="2B28D813" w14:textId="62D917FD" w:rsidR="004C63A9" w:rsidRPr="007D770B" w:rsidRDefault="004C63A9" w:rsidP="004C63A9">
      <w:pPr>
        <w:pStyle w:val="1"/>
        <w:numPr>
          <w:ilvl w:val="0"/>
          <w:numId w:val="0"/>
        </w:numPr>
        <w:spacing w:after="240"/>
        <w:ind w:left="720" w:hanging="360"/>
        <w:rPr>
          <w:sz w:val="20"/>
          <w:szCs w:val="20"/>
          <w:lang w:val="en-US"/>
        </w:rPr>
      </w:pPr>
      <w:r w:rsidRPr="007D770B">
        <w:rPr>
          <w:sz w:val="20"/>
          <w:szCs w:val="20"/>
          <w:lang w:val="en-US"/>
        </w:rPr>
        <w:tab/>
        <w:t>The Bank discloses outstanding contractual amounts on financial assets that have been written off during the reporting period but for which legal proceedings to collect the amounts due are still in progress.</w:t>
      </w:r>
    </w:p>
    <w:p w14:paraId="2A5BFC64" w14:textId="77777777" w:rsidR="00331FED" w:rsidRDefault="00331FED" w:rsidP="00AE698A">
      <w:pPr>
        <w:pStyle w:val="1"/>
        <w:numPr>
          <w:ilvl w:val="0"/>
          <w:numId w:val="364"/>
        </w:numPr>
        <w:rPr>
          <w:sz w:val="20"/>
          <w:szCs w:val="20"/>
        </w:rPr>
      </w:pPr>
      <w:r w:rsidRPr="007D770B">
        <w:rPr>
          <w:sz w:val="20"/>
          <w:szCs w:val="20"/>
          <w:lang w:val="en-US"/>
        </w:rPr>
        <w:t xml:space="preserve">In order to explain the Bank's exposure to credit risk, the Bank discloses by credit risk rating level the gross carrying amount of financial assets and the exposure to credit risk for contractual commitments to extend loans and financial guarantee . </w:t>
      </w:r>
      <w:r w:rsidRPr="00947B12">
        <w:rPr>
          <w:sz w:val="20"/>
          <w:szCs w:val="20"/>
        </w:rPr>
        <w:t xml:space="preserve">This information is </w:t>
      </w:r>
      <w:r>
        <w:rPr>
          <w:sz w:val="20"/>
          <w:szCs w:val="20"/>
        </w:rPr>
        <w:t xml:space="preserve">presented </w:t>
      </w:r>
      <w:r w:rsidRPr="00947B12">
        <w:rPr>
          <w:sz w:val="20"/>
          <w:szCs w:val="20"/>
        </w:rPr>
        <w:t xml:space="preserve">separately for </w:t>
      </w:r>
      <w:r>
        <w:rPr>
          <w:sz w:val="20"/>
          <w:szCs w:val="20"/>
        </w:rPr>
        <w:t>financial instruments:</w:t>
      </w:r>
    </w:p>
    <w:p w14:paraId="25EE5C79" w14:textId="76BB8D23" w:rsidR="00331FED" w:rsidRPr="007D770B" w:rsidRDefault="00331FED" w:rsidP="00AE698A">
      <w:pPr>
        <w:pStyle w:val="1"/>
        <w:numPr>
          <w:ilvl w:val="0"/>
          <w:numId w:val="355"/>
        </w:numPr>
        <w:rPr>
          <w:sz w:val="20"/>
          <w:szCs w:val="20"/>
          <w:lang w:val="en-US"/>
        </w:rPr>
      </w:pPr>
      <w:r w:rsidRPr="007D770B">
        <w:rPr>
          <w:sz w:val="20"/>
          <w:szCs w:val="20"/>
          <w:lang w:val="en-US"/>
        </w:rPr>
        <w:t xml:space="preserve">the valuation allowance for estimated </w:t>
      </w:r>
      <w:r w:rsidR="00EE3CCF" w:rsidRPr="007D770B">
        <w:rPr>
          <w:sz w:val="20"/>
          <w:szCs w:val="20"/>
          <w:lang w:val="en-US"/>
        </w:rPr>
        <w:t xml:space="preserve">losses </w:t>
      </w:r>
      <w:r w:rsidRPr="007D770B">
        <w:rPr>
          <w:sz w:val="20"/>
          <w:szCs w:val="20"/>
          <w:lang w:val="en-US"/>
        </w:rPr>
        <w:t>for which is estimated at an amount equal to 12-month expected credit losses;</w:t>
      </w:r>
    </w:p>
    <w:p w14:paraId="445E671F" w14:textId="1321B937" w:rsidR="00331FED" w:rsidRPr="007D770B" w:rsidRDefault="00331FED" w:rsidP="00AE698A">
      <w:pPr>
        <w:pStyle w:val="1"/>
        <w:numPr>
          <w:ilvl w:val="0"/>
          <w:numId w:val="355"/>
        </w:numPr>
        <w:rPr>
          <w:sz w:val="20"/>
          <w:szCs w:val="20"/>
          <w:lang w:val="en-US"/>
        </w:rPr>
      </w:pPr>
      <w:r w:rsidRPr="007D770B">
        <w:rPr>
          <w:sz w:val="20"/>
          <w:szCs w:val="20"/>
          <w:lang w:val="en-US"/>
        </w:rPr>
        <w:lastRenderedPageBreak/>
        <w:t xml:space="preserve">the valuation allowance for </w:t>
      </w:r>
      <w:r w:rsidR="00EE3CCF" w:rsidRPr="007D770B">
        <w:rPr>
          <w:sz w:val="20"/>
          <w:szCs w:val="20"/>
          <w:lang w:val="en-US"/>
        </w:rPr>
        <w:t xml:space="preserve">losses </w:t>
      </w:r>
      <w:r w:rsidRPr="007D770B">
        <w:rPr>
          <w:sz w:val="20"/>
          <w:szCs w:val="20"/>
          <w:lang w:val="en-US"/>
        </w:rPr>
        <w:t>estimated at an amount equal to lifetime expected credit losses, which are represented by the following items:</w:t>
      </w:r>
    </w:p>
    <w:p w14:paraId="74A6EFF1" w14:textId="77777777" w:rsidR="00331FED" w:rsidRPr="007D770B" w:rsidRDefault="00331FED" w:rsidP="00AE698A">
      <w:pPr>
        <w:pStyle w:val="1"/>
        <w:numPr>
          <w:ilvl w:val="0"/>
          <w:numId w:val="356"/>
        </w:numPr>
        <w:rPr>
          <w:sz w:val="20"/>
          <w:szCs w:val="20"/>
          <w:lang w:val="en-US"/>
        </w:rPr>
      </w:pPr>
      <w:r w:rsidRPr="007D770B">
        <w:rPr>
          <w:sz w:val="20"/>
          <w:szCs w:val="20"/>
          <w:lang w:val="en-US"/>
        </w:rPr>
        <w:t>financial instruments for which credit risk has increased significantly initial recognition but which are not credit-impaired financial assets;</w:t>
      </w:r>
    </w:p>
    <w:p w14:paraId="434FEF08" w14:textId="77777777" w:rsidR="00331FED" w:rsidRPr="007D770B" w:rsidRDefault="00331FED" w:rsidP="00AE698A">
      <w:pPr>
        <w:pStyle w:val="1"/>
        <w:numPr>
          <w:ilvl w:val="0"/>
          <w:numId w:val="356"/>
        </w:numPr>
        <w:rPr>
          <w:sz w:val="20"/>
          <w:szCs w:val="20"/>
          <w:lang w:val="en-US"/>
        </w:rPr>
      </w:pPr>
      <w:r w:rsidRPr="007D770B">
        <w:rPr>
          <w:sz w:val="20"/>
          <w:szCs w:val="20"/>
          <w:lang w:val="en-US"/>
        </w:rPr>
        <w:t>credit-impaired financial assets at the reporting date (but which have not been acquired or created with credit impairment); and</w:t>
      </w:r>
    </w:p>
    <w:p w14:paraId="6C91D0C2" w14:textId="77777777" w:rsidR="00331FED" w:rsidRPr="007D770B" w:rsidRDefault="00331FED" w:rsidP="00AE698A">
      <w:pPr>
        <w:pStyle w:val="1"/>
        <w:numPr>
          <w:ilvl w:val="0"/>
          <w:numId w:val="356"/>
        </w:numPr>
        <w:rPr>
          <w:sz w:val="20"/>
          <w:szCs w:val="20"/>
          <w:lang w:val="en-US"/>
        </w:rPr>
      </w:pPr>
      <w:r w:rsidRPr="007D770B">
        <w:rPr>
          <w:sz w:val="20"/>
          <w:szCs w:val="20"/>
          <w:lang w:val="en-US"/>
        </w:rPr>
        <w:t>trade receivables, contract assets or lease .</w:t>
      </w:r>
    </w:p>
    <w:p w14:paraId="31028DED" w14:textId="7F049F1E" w:rsidR="00331FED" w:rsidRPr="007D770B" w:rsidRDefault="00331FED" w:rsidP="00AE698A">
      <w:pPr>
        <w:pStyle w:val="1"/>
        <w:numPr>
          <w:ilvl w:val="0"/>
          <w:numId w:val="360"/>
        </w:numPr>
        <w:spacing w:after="240"/>
        <w:rPr>
          <w:sz w:val="20"/>
          <w:szCs w:val="20"/>
          <w:lang w:val="en-US"/>
        </w:rPr>
      </w:pPr>
      <w:r w:rsidRPr="007D770B">
        <w:rPr>
          <w:sz w:val="20"/>
          <w:szCs w:val="20"/>
          <w:lang w:val="en-US"/>
        </w:rPr>
        <w:t>financial assets that are acquired or originated credit-impaired financial assets. In addition to the reconciliation, the Bank discloses the total undiscounted expected credit losses on initial recognition for financial assets initially recognized during the reporting period</w:t>
      </w:r>
      <w:r w:rsidR="00D55D84" w:rsidRPr="007D770B">
        <w:rPr>
          <w:sz w:val="20"/>
          <w:szCs w:val="20"/>
          <w:lang w:val="en-US"/>
        </w:rPr>
        <w:t>.</w:t>
      </w:r>
    </w:p>
    <w:p w14:paraId="4A0B82DB" w14:textId="77777777" w:rsidR="00331FED" w:rsidRPr="00F41327" w:rsidRDefault="00331FED" w:rsidP="00331FED">
      <w:pPr>
        <w:pStyle w:val="1"/>
        <w:numPr>
          <w:ilvl w:val="0"/>
          <w:numId w:val="0"/>
        </w:numPr>
        <w:spacing w:after="240"/>
        <w:rPr>
          <w:sz w:val="20"/>
          <w:szCs w:val="20"/>
        </w:rPr>
      </w:pPr>
      <w:r w:rsidRPr="002B3B57">
        <w:rPr>
          <w:b/>
          <w:i/>
          <w:sz w:val="20"/>
          <w:szCs w:val="20"/>
        </w:rPr>
        <w:t xml:space="preserve">Liquidity risk disclosures </w:t>
      </w:r>
      <w:r w:rsidRPr="00F41327">
        <w:rPr>
          <w:sz w:val="20"/>
          <w:szCs w:val="20"/>
        </w:rPr>
        <w:t>include:</w:t>
      </w:r>
    </w:p>
    <w:p w14:paraId="36A7E985" w14:textId="77777777" w:rsidR="00331FED" w:rsidRPr="007D770B" w:rsidRDefault="00331FED" w:rsidP="00AE698A">
      <w:pPr>
        <w:pStyle w:val="1"/>
        <w:numPr>
          <w:ilvl w:val="0"/>
          <w:numId w:val="290"/>
        </w:numPr>
        <w:spacing w:after="240"/>
        <w:rPr>
          <w:sz w:val="20"/>
          <w:szCs w:val="20"/>
          <w:lang w:val="en-US"/>
        </w:rPr>
      </w:pPr>
      <w:r w:rsidRPr="007D770B">
        <w:rPr>
          <w:sz w:val="20"/>
          <w:szCs w:val="20"/>
          <w:lang w:val="en-US"/>
        </w:rPr>
        <w:t xml:space="preserve">maturity analysis of non-derivative financial liabilities (including issued financial guarantees) held by the Bank based on their contractual maturities on an undiscounted basis; </w:t>
      </w:r>
    </w:p>
    <w:p w14:paraId="62B6649D" w14:textId="77777777" w:rsidR="00331FED" w:rsidRPr="007D770B" w:rsidRDefault="00331FED" w:rsidP="00AE698A">
      <w:pPr>
        <w:pStyle w:val="1"/>
        <w:numPr>
          <w:ilvl w:val="0"/>
          <w:numId w:val="290"/>
        </w:numPr>
        <w:spacing w:after="240"/>
        <w:rPr>
          <w:sz w:val="20"/>
          <w:szCs w:val="20"/>
          <w:lang w:val="en-US"/>
        </w:rPr>
      </w:pPr>
      <w:r w:rsidRPr="007D770B">
        <w:rPr>
          <w:sz w:val="20"/>
          <w:szCs w:val="20"/>
          <w:lang w:val="en-US"/>
        </w:rPr>
        <w:t xml:space="preserve">maturity analysis of derivative financial liabilities. The analysis includes contractual maturity dates for those derivatives for which the maturity dates are necessary to understand the regularity of cash flows; and </w:t>
      </w:r>
    </w:p>
    <w:p w14:paraId="0A3EB7F3" w14:textId="77777777" w:rsidR="00331FED" w:rsidRPr="007D770B" w:rsidRDefault="00331FED" w:rsidP="00AE698A">
      <w:pPr>
        <w:pStyle w:val="1"/>
        <w:numPr>
          <w:ilvl w:val="0"/>
          <w:numId w:val="290"/>
        </w:numPr>
        <w:spacing w:after="240"/>
        <w:rPr>
          <w:sz w:val="20"/>
          <w:szCs w:val="20"/>
          <w:lang w:val="en-US"/>
        </w:rPr>
      </w:pPr>
      <w:r w:rsidRPr="007D770B">
        <w:rPr>
          <w:sz w:val="20"/>
          <w:szCs w:val="20"/>
          <w:lang w:val="en-US"/>
        </w:rPr>
        <w:t>a description of how the Bank manages liquidity risk.</w:t>
      </w:r>
    </w:p>
    <w:p w14:paraId="2323A1BF" w14:textId="77777777" w:rsidR="00331FED" w:rsidRPr="007D770B" w:rsidRDefault="00331FED" w:rsidP="00331FED">
      <w:pPr>
        <w:pStyle w:val="1"/>
        <w:numPr>
          <w:ilvl w:val="0"/>
          <w:numId w:val="0"/>
        </w:numPr>
        <w:spacing w:after="240"/>
        <w:rPr>
          <w:sz w:val="20"/>
          <w:szCs w:val="20"/>
          <w:lang w:val="en-US"/>
        </w:rPr>
      </w:pPr>
      <w:r w:rsidRPr="007D770B">
        <w:rPr>
          <w:sz w:val="20"/>
          <w:szCs w:val="20"/>
          <w:lang w:val="en-US"/>
        </w:rPr>
        <w:t>The Bank also discloses how the data for the quantitative analysis of liquidity risk exposure has been determined. If an outflow of cash (or other financial assets) included in the analysis may:</w:t>
      </w:r>
    </w:p>
    <w:p w14:paraId="2900E645" w14:textId="77777777" w:rsidR="00331FED" w:rsidRPr="007D770B" w:rsidRDefault="00331FED" w:rsidP="00AE698A">
      <w:pPr>
        <w:pStyle w:val="1"/>
        <w:numPr>
          <w:ilvl w:val="0"/>
          <w:numId w:val="291"/>
        </w:numPr>
        <w:tabs>
          <w:tab w:val="left" w:pos="360"/>
        </w:tabs>
        <w:spacing w:after="240"/>
        <w:rPr>
          <w:sz w:val="20"/>
          <w:szCs w:val="20"/>
          <w:lang w:val="en-US"/>
        </w:rPr>
      </w:pPr>
      <w:r w:rsidRPr="007D770B">
        <w:rPr>
          <w:sz w:val="20"/>
          <w:szCs w:val="20"/>
          <w:lang w:val="en-US"/>
        </w:rPr>
        <w:t>occur much earlier than the information provided; or</w:t>
      </w:r>
    </w:p>
    <w:p w14:paraId="228E9C4A" w14:textId="77777777" w:rsidR="00331FED" w:rsidRPr="007D770B" w:rsidRDefault="00331FED" w:rsidP="00AE698A">
      <w:pPr>
        <w:pStyle w:val="1"/>
        <w:numPr>
          <w:ilvl w:val="0"/>
          <w:numId w:val="291"/>
        </w:numPr>
        <w:tabs>
          <w:tab w:val="left" w:pos="360"/>
        </w:tabs>
        <w:spacing w:after="240"/>
        <w:rPr>
          <w:sz w:val="20"/>
          <w:szCs w:val="20"/>
          <w:lang w:val="en-US"/>
        </w:rPr>
      </w:pPr>
      <w:r w:rsidRPr="007D770B">
        <w:rPr>
          <w:sz w:val="20"/>
          <w:szCs w:val="20"/>
          <w:lang w:val="en-US"/>
        </w:rPr>
        <w:t>be substantially different in amount than the information provided,</w:t>
      </w:r>
    </w:p>
    <w:p w14:paraId="540E97B3" w14:textId="77777777" w:rsidR="00331FED" w:rsidRPr="007D770B" w:rsidRDefault="00331FED" w:rsidP="00331FED">
      <w:pPr>
        <w:pStyle w:val="1"/>
        <w:numPr>
          <w:ilvl w:val="0"/>
          <w:numId w:val="0"/>
        </w:numPr>
        <w:spacing w:after="240"/>
        <w:rPr>
          <w:sz w:val="20"/>
          <w:szCs w:val="20"/>
          <w:lang w:val="en-US"/>
        </w:rPr>
      </w:pPr>
      <w:r w:rsidRPr="007D770B">
        <w:rPr>
          <w:sz w:val="20"/>
          <w:szCs w:val="20"/>
          <w:lang w:val="en-US"/>
        </w:rPr>
        <w:t xml:space="preserve">The Bank discloses this fact and provides additional quantitative information for risk assessment if it is not already included in the maturity analysis. </w:t>
      </w:r>
    </w:p>
    <w:p w14:paraId="4EDE9F8B" w14:textId="77777777" w:rsidR="00331FED" w:rsidRPr="007D770B" w:rsidRDefault="00331FED" w:rsidP="00331FED">
      <w:pPr>
        <w:pStyle w:val="1"/>
        <w:numPr>
          <w:ilvl w:val="0"/>
          <w:numId w:val="0"/>
        </w:numPr>
        <w:spacing w:after="240"/>
        <w:rPr>
          <w:sz w:val="20"/>
          <w:szCs w:val="20"/>
          <w:lang w:val="en-US"/>
        </w:rPr>
      </w:pPr>
      <w:r w:rsidRPr="007D770B">
        <w:rPr>
          <w:sz w:val="20"/>
          <w:szCs w:val="20"/>
          <w:lang w:val="en-US"/>
        </w:rPr>
        <w:t>For example, the following time intervals may be appropriate:</w:t>
      </w:r>
    </w:p>
    <w:p w14:paraId="4D9B7874" w14:textId="77777777" w:rsidR="00331FED" w:rsidRPr="00F41327" w:rsidRDefault="00331FED" w:rsidP="00AE698A">
      <w:pPr>
        <w:pStyle w:val="1"/>
        <w:numPr>
          <w:ilvl w:val="0"/>
          <w:numId w:val="292"/>
        </w:numPr>
        <w:spacing w:after="240"/>
        <w:rPr>
          <w:sz w:val="20"/>
          <w:szCs w:val="20"/>
        </w:rPr>
      </w:pPr>
      <w:r w:rsidRPr="00F41327">
        <w:rPr>
          <w:sz w:val="20"/>
          <w:szCs w:val="20"/>
        </w:rPr>
        <w:t>for one month;</w:t>
      </w:r>
    </w:p>
    <w:p w14:paraId="6068D5A0" w14:textId="77777777" w:rsidR="00331FED" w:rsidRPr="007D770B" w:rsidRDefault="00331FED" w:rsidP="00AE698A">
      <w:pPr>
        <w:pStyle w:val="1"/>
        <w:numPr>
          <w:ilvl w:val="0"/>
          <w:numId w:val="292"/>
        </w:numPr>
        <w:spacing w:after="240"/>
        <w:rPr>
          <w:sz w:val="20"/>
          <w:szCs w:val="20"/>
          <w:lang w:val="en-US"/>
        </w:rPr>
      </w:pPr>
      <w:r w:rsidRPr="007D770B">
        <w:rPr>
          <w:sz w:val="20"/>
          <w:szCs w:val="20"/>
          <w:lang w:val="en-US"/>
        </w:rPr>
        <w:t>later than one month, but no later than three months;</w:t>
      </w:r>
    </w:p>
    <w:p w14:paraId="30D85303" w14:textId="77777777" w:rsidR="00331FED" w:rsidRPr="007D770B" w:rsidRDefault="00331FED" w:rsidP="00AE698A">
      <w:pPr>
        <w:pStyle w:val="1"/>
        <w:numPr>
          <w:ilvl w:val="0"/>
          <w:numId w:val="292"/>
        </w:numPr>
        <w:spacing w:after="240"/>
        <w:rPr>
          <w:sz w:val="20"/>
          <w:szCs w:val="20"/>
          <w:lang w:val="en-US"/>
        </w:rPr>
      </w:pPr>
      <w:r w:rsidRPr="007D770B">
        <w:rPr>
          <w:sz w:val="20"/>
          <w:szCs w:val="20"/>
          <w:lang w:val="en-US"/>
        </w:rPr>
        <w:t>later than three months, but no later than six months;</w:t>
      </w:r>
    </w:p>
    <w:p w14:paraId="75F5658A" w14:textId="77777777" w:rsidR="00331FED" w:rsidRPr="007D770B" w:rsidRDefault="00331FED" w:rsidP="00AE698A">
      <w:pPr>
        <w:pStyle w:val="1"/>
        <w:numPr>
          <w:ilvl w:val="0"/>
          <w:numId w:val="292"/>
        </w:numPr>
        <w:spacing w:after="240"/>
        <w:rPr>
          <w:sz w:val="20"/>
          <w:szCs w:val="20"/>
          <w:lang w:val="en-US"/>
        </w:rPr>
      </w:pPr>
      <w:r w:rsidRPr="007D770B">
        <w:rPr>
          <w:sz w:val="20"/>
          <w:szCs w:val="20"/>
          <w:lang w:val="en-US"/>
        </w:rPr>
        <w:t xml:space="preserve">later than six months, but no later than one year; </w:t>
      </w:r>
    </w:p>
    <w:p w14:paraId="62455BF6" w14:textId="77777777" w:rsidR="00331FED" w:rsidRPr="007D770B" w:rsidRDefault="00331FED" w:rsidP="00AE698A">
      <w:pPr>
        <w:pStyle w:val="1"/>
        <w:numPr>
          <w:ilvl w:val="0"/>
          <w:numId w:val="292"/>
        </w:numPr>
        <w:spacing w:after="240"/>
        <w:rPr>
          <w:sz w:val="20"/>
          <w:szCs w:val="20"/>
          <w:lang w:val="en-US"/>
        </w:rPr>
      </w:pPr>
      <w:r w:rsidRPr="007D770B">
        <w:rPr>
          <w:sz w:val="20"/>
          <w:szCs w:val="20"/>
          <w:lang w:val="en-US"/>
        </w:rPr>
        <w:t>later than one year, but not later than five years; and</w:t>
      </w:r>
    </w:p>
    <w:p w14:paraId="19E5DDE3" w14:textId="77777777" w:rsidR="00331FED" w:rsidRPr="00F41327" w:rsidRDefault="00331FED" w:rsidP="00AE698A">
      <w:pPr>
        <w:pStyle w:val="1"/>
        <w:numPr>
          <w:ilvl w:val="0"/>
          <w:numId w:val="292"/>
        </w:numPr>
        <w:spacing w:after="240"/>
        <w:rPr>
          <w:sz w:val="20"/>
          <w:szCs w:val="20"/>
        </w:rPr>
      </w:pPr>
      <w:r>
        <w:rPr>
          <w:sz w:val="20"/>
          <w:szCs w:val="20"/>
        </w:rPr>
        <w:t>for over five years.</w:t>
      </w:r>
    </w:p>
    <w:p w14:paraId="227E0810" w14:textId="77777777" w:rsidR="00331FED" w:rsidRPr="007D770B" w:rsidRDefault="00331FED" w:rsidP="00331FED">
      <w:pPr>
        <w:pStyle w:val="1"/>
        <w:numPr>
          <w:ilvl w:val="0"/>
          <w:numId w:val="0"/>
        </w:numPr>
        <w:spacing w:after="240"/>
        <w:rPr>
          <w:sz w:val="20"/>
          <w:szCs w:val="20"/>
          <w:lang w:val="en-US"/>
        </w:rPr>
      </w:pPr>
      <w:r w:rsidRPr="007D770B">
        <w:rPr>
          <w:b/>
          <w:i/>
          <w:sz w:val="20"/>
          <w:szCs w:val="20"/>
          <w:lang w:val="en-US"/>
        </w:rPr>
        <w:t xml:space="preserve">Sensitivity analysis. </w:t>
      </w:r>
      <w:r w:rsidRPr="007D770B">
        <w:rPr>
          <w:sz w:val="20"/>
          <w:szCs w:val="20"/>
          <w:lang w:val="en-US"/>
        </w:rPr>
        <w:t xml:space="preserve">Sensitivity analysis is required for each type of market risk to which the Bank is exposed. </w:t>
      </w:r>
    </w:p>
    <w:p w14:paraId="580802EF" w14:textId="77777777" w:rsidR="00331FED" w:rsidRPr="007D770B" w:rsidRDefault="00331FED" w:rsidP="00331FED">
      <w:pPr>
        <w:pStyle w:val="1"/>
        <w:numPr>
          <w:ilvl w:val="0"/>
          <w:numId w:val="0"/>
        </w:numPr>
        <w:spacing w:after="240"/>
        <w:rPr>
          <w:sz w:val="20"/>
          <w:szCs w:val="20"/>
          <w:lang w:val="en-US"/>
        </w:rPr>
      </w:pPr>
      <w:r w:rsidRPr="007D770B">
        <w:rPr>
          <w:sz w:val="20"/>
          <w:szCs w:val="20"/>
          <w:lang w:val="en-US"/>
        </w:rPr>
        <w:t xml:space="preserve">The presentation of </w:t>
      </w:r>
      <w:r w:rsidRPr="007D770B">
        <w:rPr>
          <w:b/>
          <w:i/>
          <w:sz w:val="20"/>
          <w:szCs w:val="20"/>
          <w:lang w:val="en-US"/>
        </w:rPr>
        <w:t xml:space="preserve">market risk </w:t>
      </w:r>
      <w:r w:rsidRPr="007D770B">
        <w:rPr>
          <w:sz w:val="20"/>
          <w:szCs w:val="20"/>
          <w:lang w:val="en-US"/>
        </w:rPr>
        <w:t>information includes:</w:t>
      </w:r>
    </w:p>
    <w:p w14:paraId="466582B6" w14:textId="77777777" w:rsidR="00331FED" w:rsidRPr="007D770B" w:rsidRDefault="00331FED" w:rsidP="00AE698A">
      <w:pPr>
        <w:pStyle w:val="1"/>
        <w:numPr>
          <w:ilvl w:val="0"/>
          <w:numId w:val="293"/>
        </w:numPr>
        <w:spacing w:after="240"/>
        <w:rPr>
          <w:sz w:val="20"/>
          <w:szCs w:val="20"/>
          <w:lang w:val="en-US"/>
        </w:rPr>
      </w:pPr>
      <w:r w:rsidRPr="007D770B">
        <w:rPr>
          <w:sz w:val="20"/>
          <w:szCs w:val="20"/>
          <w:lang w:val="en-US"/>
        </w:rPr>
        <w:t>methods and assumptions used in sensitivity analysis;</w:t>
      </w:r>
    </w:p>
    <w:p w14:paraId="3F544B92" w14:textId="77777777" w:rsidR="00331FED" w:rsidRPr="007D770B" w:rsidRDefault="00331FED" w:rsidP="00AE698A">
      <w:pPr>
        <w:pStyle w:val="1"/>
        <w:numPr>
          <w:ilvl w:val="0"/>
          <w:numId w:val="293"/>
        </w:numPr>
        <w:spacing w:after="240"/>
        <w:rPr>
          <w:sz w:val="20"/>
          <w:szCs w:val="20"/>
          <w:lang w:val="en-US"/>
        </w:rPr>
      </w:pPr>
      <w:r w:rsidRPr="007D770B">
        <w:rPr>
          <w:sz w:val="20"/>
          <w:szCs w:val="20"/>
          <w:lang w:val="en-US"/>
        </w:rPr>
        <w:t>the results of a sensitivity analysis for each type of market risk to which the Bank is exposed and the effect on profit or loss or other comprehensive income of reasonable possible changes in the relevant risk variable (prevailing market interest rates, foreign exchange rates, share prices or commodity prices).</w:t>
      </w:r>
    </w:p>
    <w:p w14:paraId="1FE3F682" w14:textId="77777777" w:rsidR="00331FED" w:rsidRPr="007D770B" w:rsidRDefault="00331FED" w:rsidP="00331FED">
      <w:pPr>
        <w:pStyle w:val="1"/>
        <w:numPr>
          <w:ilvl w:val="0"/>
          <w:numId w:val="0"/>
        </w:numPr>
        <w:spacing w:after="240"/>
        <w:rPr>
          <w:sz w:val="20"/>
          <w:szCs w:val="20"/>
          <w:lang w:val="en-US"/>
        </w:rPr>
      </w:pPr>
      <w:r w:rsidRPr="007D770B">
        <w:rPr>
          <w:sz w:val="20"/>
          <w:szCs w:val="20"/>
          <w:lang w:val="en-US"/>
        </w:rPr>
        <w:t xml:space="preserve">If the Bank prepares a sensitivity analysis, such as value at risk, that reflects the interdependence of risk variables (e.g. interest rate and exchange rate) and uses it to manage financial risks, the Bank uses this sensitivity analysis. </w:t>
      </w:r>
    </w:p>
    <w:p w14:paraId="0774A43C" w14:textId="77777777" w:rsidR="00331FED" w:rsidRPr="00F41327" w:rsidRDefault="00331FED" w:rsidP="00331FED">
      <w:pPr>
        <w:pStyle w:val="1"/>
        <w:numPr>
          <w:ilvl w:val="0"/>
          <w:numId w:val="0"/>
        </w:numPr>
        <w:spacing w:after="240"/>
        <w:rPr>
          <w:sz w:val="20"/>
          <w:szCs w:val="20"/>
        </w:rPr>
      </w:pPr>
      <w:r w:rsidRPr="00F41327">
        <w:rPr>
          <w:sz w:val="20"/>
          <w:szCs w:val="20"/>
        </w:rPr>
        <w:t xml:space="preserve">The </w:t>
      </w:r>
      <w:r>
        <w:rPr>
          <w:sz w:val="20"/>
          <w:szCs w:val="20"/>
        </w:rPr>
        <w:t xml:space="preserve">bank </w:t>
      </w:r>
      <w:r w:rsidRPr="00F41327">
        <w:rPr>
          <w:sz w:val="20"/>
          <w:szCs w:val="20"/>
        </w:rPr>
        <w:t>also discloses:</w:t>
      </w:r>
    </w:p>
    <w:p w14:paraId="20CD3E75" w14:textId="181467D7" w:rsidR="00331FED" w:rsidRPr="007D770B" w:rsidRDefault="00331FED" w:rsidP="00AE698A">
      <w:pPr>
        <w:pStyle w:val="1"/>
        <w:numPr>
          <w:ilvl w:val="0"/>
          <w:numId w:val="294"/>
        </w:numPr>
        <w:spacing w:after="240"/>
        <w:rPr>
          <w:sz w:val="20"/>
          <w:szCs w:val="20"/>
          <w:lang w:val="en-US"/>
        </w:rPr>
      </w:pPr>
      <w:r w:rsidRPr="007D770B">
        <w:rPr>
          <w:sz w:val="20"/>
          <w:szCs w:val="20"/>
          <w:lang w:val="en-US"/>
        </w:rPr>
        <w:t xml:space="preserve">the method used in preparing the sensitivity analysis and the </w:t>
      </w:r>
      <w:r w:rsidR="00EE3CCF" w:rsidRPr="007D770B">
        <w:rPr>
          <w:sz w:val="20"/>
          <w:szCs w:val="20"/>
          <w:lang w:val="en-US"/>
        </w:rPr>
        <w:t xml:space="preserve">key parameters </w:t>
      </w:r>
      <w:r w:rsidRPr="007D770B">
        <w:rPr>
          <w:sz w:val="20"/>
          <w:szCs w:val="20"/>
          <w:lang w:val="en-US"/>
        </w:rPr>
        <w:t>and assumptions that explain the information provided; and</w:t>
      </w:r>
    </w:p>
    <w:p w14:paraId="7CE1CBDE" w14:textId="77777777" w:rsidR="00331FED" w:rsidRPr="007D770B" w:rsidRDefault="00331FED" w:rsidP="00AE698A">
      <w:pPr>
        <w:pStyle w:val="1"/>
        <w:numPr>
          <w:ilvl w:val="0"/>
          <w:numId w:val="294"/>
        </w:numPr>
        <w:spacing w:after="240"/>
        <w:rPr>
          <w:sz w:val="20"/>
          <w:szCs w:val="20"/>
          <w:lang w:val="en-US"/>
        </w:rPr>
      </w:pPr>
      <w:r w:rsidRPr="007D770B">
        <w:rPr>
          <w:sz w:val="20"/>
          <w:szCs w:val="20"/>
          <w:lang w:val="en-US"/>
        </w:rPr>
        <w:lastRenderedPageBreak/>
        <w:t xml:space="preserve">the purpose of the method used and the limitations that may arise from information that is not fully reflective of the fair values of the assets and liabilities used.  </w:t>
      </w:r>
    </w:p>
    <w:p w14:paraId="7D56FAC8" w14:textId="77777777" w:rsidR="00331FED" w:rsidRPr="007D770B" w:rsidRDefault="00331FED" w:rsidP="00331FED">
      <w:pPr>
        <w:pStyle w:val="1"/>
        <w:numPr>
          <w:ilvl w:val="0"/>
          <w:numId w:val="0"/>
        </w:numPr>
        <w:tabs>
          <w:tab w:val="left" w:pos="360"/>
        </w:tabs>
        <w:spacing w:after="240"/>
        <w:rPr>
          <w:sz w:val="20"/>
          <w:szCs w:val="20"/>
          <w:lang w:val="en-US"/>
        </w:rPr>
      </w:pPr>
      <w:r w:rsidRPr="007D770B">
        <w:rPr>
          <w:b/>
          <w:i/>
          <w:sz w:val="20"/>
          <w:szCs w:val="20"/>
          <w:lang w:val="en-US"/>
        </w:rPr>
        <w:t xml:space="preserve">Transfers and derecognition. </w:t>
      </w:r>
      <w:r w:rsidRPr="007D770B">
        <w:rPr>
          <w:sz w:val="20"/>
          <w:szCs w:val="20"/>
          <w:lang w:val="en-US"/>
        </w:rPr>
        <w:t>Where the Bank has transferred a financial asset but the asset (or part of it) is not derecognized, the Bank discloses the following information for the asset that has not been derecognized:</w:t>
      </w:r>
    </w:p>
    <w:p w14:paraId="0CDFC3AB" w14:textId="77777777" w:rsidR="00331FED" w:rsidRPr="007D770B" w:rsidRDefault="00331FED" w:rsidP="00331FED">
      <w:pPr>
        <w:pStyle w:val="1"/>
        <w:numPr>
          <w:ilvl w:val="0"/>
          <w:numId w:val="0"/>
        </w:numPr>
        <w:tabs>
          <w:tab w:val="left" w:pos="360"/>
        </w:tabs>
        <w:spacing w:after="240"/>
        <w:rPr>
          <w:sz w:val="20"/>
          <w:szCs w:val="20"/>
          <w:lang w:val="en-US"/>
        </w:rPr>
      </w:pPr>
      <w:r w:rsidRPr="007D770B">
        <w:rPr>
          <w:sz w:val="20"/>
          <w:szCs w:val="20"/>
          <w:lang w:val="en-US"/>
        </w:rPr>
        <w:t>The Bank is required to present the disclosures required by the following paragraphs in a separate note to its financial statements. The Bank shall disclose the required information for all transferred financial assets that have not been derecognized and for any continuing involvement in a transferred asset that exists at the reporting date, irrespective of when the relevant transaction to transfer the asset took place. For the purposes of applying the disclosure requirements of these paragraphs, the Bank transfers, in whole or in part, a financial asset (transferred financial asset) only when:</w:t>
      </w:r>
    </w:p>
    <w:p w14:paraId="7F623815" w14:textId="77777777" w:rsidR="00331FED" w:rsidRPr="007D770B" w:rsidRDefault="00331FED" w:rsidP="00AE698A">
      <w:pPr>
        <w:pStyle w:val="1"/>
        <w:numPr>
          <w:ilvl w:val="0"/>
          <w:numId w:val="295"/>
        </w:numPr>
        <w:tabs>
          <w:tab w:val="left" w:pos="360"/>
        </w:tabs>
        <w:spacing w:after="240"/>
        <w:rPr>
          <w:sz w:val="20"/>
          <w:szCs w:val="20"/>
          <w:lang w:val="en-US"/>
        </w:rPr>
      </w:pPr>
      <w:r w:rsidRPr="007D770B">
        <w:rPr>
          <w:sz w:val="20"/>
          <w:szCs w:val="20"/>
          <w:lang w:val="en-US"/>
        </w:rPr>
        <w:t xml:space="preserve">transfers the contractual rights to receive the cash flows from the financial asset; or </w:t>
      </w:r>
    </w:p>
    <w:p w14:paraId="760E69F9" w14:textId="77777777" w:rsidR="00331FED" w:rsidRPr="007D770B" w:rsidRDefault="00331FED" w:rsidP="00AE698A">
      <w:pPr>
        <w:pStyle w:val="1"/>
        <w:numPr>
          <w:ilvl w:val="0"/>
          <w:numId w:val="295"/>
        </w:numPr>
        <w:tabs>
          <w:tab w:val="left" w:pos="360"/>
        </w:tabs>
        <w:spacing w:after="240"/>
        <w:rPr>
          <w:sz w:val="20"/>
          <w:szCs w:val="20"/>
          <w:lang w:val="en-US"/>
        </w:rPr>
      </w:pPr>
      <w:r w:rsidRPr="007D770B">
        <w:rPr>
          <w:sz w:val="20"/>
          <w:szCs w:val="20"/>
          <w:lang w:val="en-US"/>
        </w:rPr>
        <w:t xml:space="preserve">retains the contractual rights to receive cash flows from the financial asset but assumes a contractual obligation to pay those cash flows to one or more recipients as agreed. </w:t>
      </w:r>
    </w:p>
    <w:p w14:paraId="22046879" w14:textId="77777777" w:rsidR="00331FED" w:rsidRPr="007D770B" w:rsidRDefault="00331FED" w:rsidP="00331FED">
      <w:pPr>
        <w:pStyle w:val="1"/>
        <w:numPr>
          <w:ilvl w:val="0"/>
          <w:numId w:val="0"/>
        </w:numPr>
        <w:tabs>
          <w:tab w:val="left" w:pos="360"/>
        </w:tabs>
        <w:spacing w:after="240"/>
        <w:rPr>
          <w:sz w:val="20"/>
          <w:szCs w:val="20"/>
          <w:lang w:val="en-US"/>
        </w:rPr>
      </w:pPr>
      <w:r w:rsidRPr="007D770B">
        <w:rPr>
          <w:sz w:val="20"/>
          <w:szCs w:val="20"/>
          <w:lang w:val="en-US"/>
        </w:rPr>
        <w:t>The Bank shall disclose information that enables users of the financial statements to:</w:t>
      </w:r>
    </w:p>
    <w:p w14:paraId="1E28BCE8" w14:textId="77777777" w:rsidR="00331FED" w:rsidRPr="007D770B" w:rsidRDefault="00331FED" w:rsidP="00AE698A">
      <w:pPr>
        <w:pStyle w:val="1"/>
        <w:numPr>
          <w:ilvl w:val="0"/>
          <w:numId w:val="296"/>
        </w:numPr>
        <w:tabs>
          <w:tab w:val="left" w:pos="360"/>
        </w:tabs>
        <w:spacing w:after="240"/>
        <w:rPr>
          <w:sz w:val="20"/>
          <w:szCs w:val="20"/>
          <w:lang w:val="en-US"/>
        </w:rPr>
      </w:pPr>
      <w:r w:rsidRPr="007D770B">
        <w:rPr>
          <w:sz w:val="20"/>
          <w:szCs w:val="20"/>
          <w:lang w:val="en-US"/>
        </w:rPr>
        <w:t xml:space="preserve">Understand the relationship between transferred financial assets that have not been derecognized in their entirety and the related liabilities; and </w:t>
      </w:r>
    </w:p>
    <w:p w14:paraId="1BE3C6AF" w14:textId="77777777" w:rsidR="00331FED" w:rsidRPr="007D770B" w:rsidRDefault="00331FED" w:rsidP="00AE698A">
      <w:pPr>
        <w:pStyle w:val="1"/>
        <w:numPr>
          <w:ilvl w:val="0"/>
          <w:numId w:val="296"/>
        </w:numPr>
        <w:tabs>
          <w:tab w:val="left" w:pos="360"/>
        </w:tabs>
        <w:spacing w:after="240"/>
        <w:rPr>
          <w:sz w:val="20"/>
          <w:szCs w:val="20"/>
          <w:lang w:val="en-US"/>
        </w:rPr>
      </w:pPr>
      <w:r w:rsidRPr="007D770B">
        <w:rPr>
          <w:sz w:val="20"/>
          <w:szCs w:val="20"/>
          <w:lang w:val="en-US"/>
        </w:rPr>
        <w:t xml:space="preserve">Evaluate the nature of, and risks associated with, the  Bank's continuing involvement in derecognized financial assets.  </w:t>
      </w:r>
    </w:p>
    <w:p w14:paraId="0C49D61C" w14:textId="77777777" w:rsidR="00331FED" w:rsidRPr="00F41327" w:rsidRDefault="00331FED" w:rsidP="00331FED">
      <w:pPr>
        <w:pStyle w:val="1"/>
        <w:numPr>
          <w:ilvl w:val="0"/>
          <w:numId w:val="0"/>
        </w:numPr>
        <w:tabs>
          <w:tab w:val="left" w:pos="360"/>
        </w:tabs>
        <w:spacing w:after="240"/>
        <w:rPr>
          <w:sz w:val="20"/>
          <w:szCs w:val="20"/>
        </w:rPr>
      </w:pPr>
      <w:r w:rsidRPr="007D770B">
        <w:rPr>
          <w:sz w:val="20"/>
          <w:szCs w:val="20"/>
          <w:lang w:val="en-US"/>
        </w:rPr>
        <w:t xml:space="preserve">For the purposes of applying the disclosure requirements in the following paragraphs, the Bank continues involvement in a transferred financial asset if, as part of a transfer of that asset, the Bank retains any of the contractual rights or obligations associated with the transferred financial asset or obtains any new contractual rights or obligations associated with the transferred financial asset. </w:t>
      </w:r>
      <w:r w:rsidRPr="00F41327">
        <w:rPr>
          <w:sz w:val="20"/>
          <w:szCs w:val="20"/>
        </w:rPr>
        <w:t xml:space="preserve">The following instruments do not constitute continuing involvement: </w:t>
      </w:r>
    </w:p>
    <w:p w14:paraId="07A79BEF" w14:textId="77777777" w:rsidR="00331FED" w:rsidRPr="007D770B" w:rsidRDefault="00331FED" w:rsidP="00AE698A">
      <w:pPr>
        <w:pStyle w:val="1"/>
        <w:numPr>
          <w:ilvl w:val="0"/>
          <w:numId w:val="297"/>
        </w:numPr>
        <w:tabs>
          <w:tab w:val="left" w:pos="360"/>
        </w:tabs>
        <w:spacing w:after="240"/>
        <w:rPr>
          <w:sz w:val="20"/>
          <w:szCs w:val="20"/>
          <w:lang w:val="en-US"/>
        </w:rPr>
      </w:pPr>
      <w:r w:rsidRPr="007D770B">
        <w:rPr>
          <w:sz w:val="20"/>
          <w:szCs w:val="20"/>
          <w:lang w:val="en-US"/>
        </w:rPr>
        <w:t xml:space="preserve">customary representations and warranties with respect to fraudulent transfers and notions of reasonableness, good faith and fair dealing that could cause the transfer of an asset to be invalidated by legal proceedings; </w:t>
      </w:r>
    </w:p>
    <w:p w14:paraId="4415D64C" w14:textId="7920EFDF" w:rsidR="00331FED" w:rsidRPr="007D770B" w:rsidRDefault="00331FED" w:rsidP="00AE698A">
      <w:pPr>
        <w:pStyle w:val="1"/>
        <w:numPr>
          <w:ilvl w:val="0"/>
          <w:numId w:val="297"/>
        </w:numPr>
        <w:tabs>
          <w:tab w:val="left" w:pos="360"/>
        </w:tabs>
        <w:spacing w:after="240"/>
        <w:rPr>
          <w:sz w:val="20"/>
          <w:szCs w:val="20"/>
          <w:lang w:val="en-US"/>
        </w:rPr>
      </w:pPr>
      <w:r w:rsidRPr="007D770B">
        <w:rPr>
          <w:sz w:val="20"/>
          <w:szCs w:val="20"/>
          <w:lang w:val="en-US"/>
        </w:rPr>
        <w:t xml:space="preserve">Forward contracts, option and other contracts </w:t>
      </w:r>
      <w:r w:rsidR="00EE3CCF" w:rsidRPr="007D770B">
        <w:rPr>
          <w:sz w:val="20"/>
          <w:szCs w:val="20"/>
          <w:lang w:val="en-US"/>
        </w:rPr>
        <w:t xml:space="preserve">to repurchase </w:t>
      </w:r>
      <w:r w:rsidRPr="007D770B">
        <w:rPr>
          <w:sz w:val="20"/>
          <w:szCs w:val="20"/>
          <w:lang w:val="en-US"/>
        </w:rPr>
        <w:t>a transferred financial asset for which the contractual price (or exercise price) is the fair value of the transferred financial asset; or</w:t>
      </w:r>
    </w:p>
    <w:p w14:paraId="14CAFD79" w14:textId="77777777" w:rsidR="00331FED" w:rsidRPr="007D770B" w:rsidRDefault="00331FED" w:rsidP="00AE698A">
      <w:pPr>
        <w:pStyle w:val="1"/>
        <w:numPr>
          <w:ilvl w:val="0"/>
          <w:numId w:val="297"/>
        </w:numPr>
        <w:tabs>
          <w:tab w:val="left" w:pos="360"/>
        </w:tabs>
        <w:spacing w:after="240"/>
        <w:rPr>
          <w:sz w:val="20"/>
          <w:szCs w:val="20"/>
          <w:lang w:val="en-US"/>
        </w:rPr>
      </w:pPr>
      <w:r w:rsidRPr="007D770B">
        <w:rPr>
          <w:sz w:val="20"/>
          <w:szCs w:val="20"/>
          <w:lang w:val="en-US"/>
        </w:rPr>
        <w:t>an arrangement whereby the Bank retains the contractual rights to receive cash flows from the financial asset but assumes a contractual obligation to pay those cash flows to one or more entities, and the following conditions are met:</w:t>
      </w:r>
    </w:p>
    <w:p w14:paraId="4A6AD8F5" w14:textId="77777777" w:rsidR="00331FED" w:rsidRPr="007D770B" w:rsidRDefault="00331FED" w:rsidP="00AE698A">
      <w:pPr>
        <w:pStyle w:val="1"/>
        <w:numPr>
          <w:ilvl w:val="0"/>
          <w:numId w:val="311"/>
        </w:numPr>
        <w:tabs>
          <w:tab w:val="left" w:pos="1080"/>
        </w:tabs>
        <w:spacing w:after="240"/>
        <w:ind w:left="1080"/>
        <w:rPr>
          <w:sz w:val="20"/>
          <w:szCs w:val="20"/>
          <w:lang w:val="en-US"/>
        </w:rPr>
      </w:pPr>
      <w:r w:rsidRPr="007D770B">
        <w:rPr>
          <w:sz w:val="20"/>
          <w:szCs w:val="20"/>
          <w:lang w:val="en-US"/>
        </w:rPr>
        <w:t xml:space="preserve">The Bank has no obligation to repay the amounts to the ultimate recipients unless it receives equivalent amounts on the original asset. The Bank's making of short-term advances with the right of full repayment of the amount advanced plus accrued interest at market rate does not breach this covenant; </w:t>
      </w:r>
    </w:p>
    <w:p w14:paraId="00120C38" w14:textId="77777777" w:rsidR="00331FED" w:rsidRPr="007D770B" w:rsidRDefault="00331FED" w:rsidP="00AE698A">
      <w:pPr>
        <w:pStyle w:val="1"/>
        <w:numPr>
          <w:ilvl w:val="0"/>
          <w:numId w:val="311"/>
        </w:numPr>
        <w:tabs>
          <w:tab w:val="left" w:pos="1080"/>
        </w:tabs>
        <w:spacing w:after="240"/>
        <w:ind w:left="1080"/>
        <w:rPr>
          <w:sz w:val="20"/>
          <w:szCs w:val="20"/>
          <w:lang w:val="en-US"/>
        </w:rPr>
      </w:pPr>
      <w:r w:rsidRPr="007D770B">
        <w:rPr>
          <w:sz w:val="20"/>
          <w:szCs w:val="20"/>
          <w:lang w:val="en-US"/>
        </w:rPr>
        <w:t xml:space="preserve">The Bank is prohibited by the terms of the cash transfer agreement from selling or pledging the original asset, except to transfer it to the ultimate recipient as security for an obligation to repay; </w:t>
      </w:r>
    </w:p>
    <w:p w14:paraId="4F6B7252" w14:textId="77777777" w:rsidR="00331FED" w:rsidRPr="007D770B" w:rsidRDefault="00331FED" w:rsidP="00AE698A">
      <w:pPr>
        <w:pStyle w:val="1"/>
        <w:numPr>
          <w:ilvl w:val="0"/>
          <w:numId w:val="311"/>
        </w:numPr>
        <w:tabs>
          <w:tab w:val="left" w:pos="1080"/>
        </w:tabs>
        <w:spacing w:after="240"/>
        <w:ind w:left="1080"/>
        <w:rPr>
          <w:sz w:val="20"/>
          <w:szCs w:val="20"/>
          <w:lang w:val="en-US"/>
        </w:rPr>
      </w:pPr>
      <w:r w:rsidRPr="007D770B">
        <w:rPr>
          <w:sz w:val="20"/>
          <w:szCs w:val="20"/>
          <w:lang w:val="en-US"/>
        </w:rPr>
        <w:t xml:space="preserve">the Bank has an obligation to transfer funds collected on behalf of the ultimate recipient without material delay. In addition, the Bank does not have the right to reinvest such cash, other than investments in cash or cash equivalents, during the short settlement period from the date of collection to the date of the required transfer to the ultimate recipient, with interest earned on such investment being passed on to the ultimate recipient. </w:t>
      </w:r>
    </w:p>
    <w:p w14:paraId="680D938C" w14:textId="77777777" w:rsidR="00331FED" w:rsidRPr="007D770B" w:rsidRDefault="00331FED" w:rsidP="00331FED">
      <w:pPr>
        <w:pStyle w:val="1"/>
        <w:numPr>
          <w:ilvl w:val="0"/>
          <w:numId w:val="0"/>
        </w:numPr>
        <w:tabs>
          <w:tab w:val="left" w:pos="360"/>
        </w:tabs>
        <w:spacing w:after="240"/>
        <w:rPr>
          <w:b/>
          <w:i/>
          <w:sz w:val="20"/>
          <w:szCs w:val="20"/>
          <w:lang w:val="en-US"/>
        </w:rPr>
      </w:pPr>
      <w:r w:rsidRPr="007D770B">
        <w:rPr>
          <w:b/>
          <w:i/>
          <w:sz w:val="20"/>
          <w:szCs w:val="20"/>
          <w:lang w:val="en-US"/>
        </w:rPr>
        <w:t xml:space="preserve">Transferred financial assets not derecognized in their entirety </w:t>
      </w:r>
    </w:p>
    <w:p w14:paraId="6BE24E94" w14:textId="77777777" w:rsidR="00331FED" w:rsidRPr="007D770B" w:rsidRDefault="00331FED" w:rsidP="00331FED">
      <w:pPr>
        <w:pStyle w:val="1"/>
        <w:numPr>
          <w:ilvl w:val="0"/>
          <w:numId w:val="0"/>
        </w:numPr>
        <w:tabs>
          <w:tab w:val="left" w:pos="360"/>
        </w:tabs>
        <w:spacing w:after="240"/>
        <w:rPr>
          <w:sz w:val="20"/>
          <w:szCs w:val="20"/>
          <w:lang w:val="en-US"/>
        </w:rPr>
      </w:pPr>
      <w:r w:rsidRPr="007D770B">
        <w:rPr>
          <w:sz w:val="20"/>
          <w:szCs w:val="20"/>
          <w:lang w:val="en-US"/>
        </w:rPr>
        <w:t>The Bank may have transferred financial assets such that the transferred financial assets, in part or in full, do not qualify for derecognition. At each reporting date, the Bank is required to disclose the following information for each type of transferred financial assets that was not derecognized in its entirety:</w:t>
      </w:r>
    </w:p>
    <w:p w14:paraId="63ED731B" w14:textId="77777777" w:rsidR="00331FED" w:rsidRPr="007D770B" w:rsidRDefault="00331FED" w:rsidP="00AE698A">
      <w:pPr>
        <w:pStyle w:val="1"/>
        <w:numPr>
          <w:ilvl w:val="0"/>
          <w:numId w:val="298"/>
        </w:numPr>
        <w:tabs>
          <w:tab w:val="left" w:pos="360"/>
        </w:tabs>
        <w:spacing w:after="240"/>
        <w:rPr>
          <w:sz w:val="20"/>
          <w:szCs w:val="20"/>
          <w:lang w:val="en-US"/>
        </w:rPr>
      </w:pPr>
      <w:r w:rsidRPr="007D770B">
        <w:rPr>
          <w:sz w:val="20"/>
          <w:szCs w:val="20"/>
          <w:lang w:val="en-US"/>
        </w:rPr>
        <w:t>the nature of the assets transferred.</w:t>
      </w:r>
    </w:p>
    <w:p w14:paraId="2765D004" w14:textId="77777777" w:rsidR="00331FED" w:rsidRPr="007D770B" w:rsidRDefault="00331FED" w:rsidP="00AE698A">
      <w:pPr>
        <w:pStyle w:val="1"/>
        <w:numPr>
          <w:ilvl w:val="0"/>
          <w:numId w:val="298"/>
        </w:numPr>
        <w:tabs>
          <w:tab w:val="left" w:pos="360"/>
        </w:tabs>
        <w:spacing w:after="240"/>
        <w:rPr>
          <w:sz w:val="20"/>
          <w:szCs w:val="20"/>
          <w:lang w:val="en-US"/>
        </w:rPr>
      </w:pPr>
      <w:r w:rsidRPr="007D770B">
        <w:rPr>
          <w:sz w:val="20"/>
          <w:szCs w:val="20"/>
          <w:lang w:val="en-US"/>
        </w:rPr>
        <w:t>the nature of the risks and rewards of ownership that the Bank receives.</w:t>
      </w:r>
    </w:p>
    <w:p w14:paraId="07E9F0F0" w14:textId="77777777" w:rsidR="00331FED" w:rsidRPr="007D770B" w:rsidRDefault="00331FED" w:rsidP="00AE698A">
      <w:pPr>
        <w:pStyle w:val="1"/>
        <w:numPr>
          <w:ilvl w:val="0"/>
          <w:numId w:val="298"/>
        </w:numPr>
        <w:tabs>
          <w:tab w:val="left" w:pos="360"/>
        </w:tabs>
        <w:spacing w:after="240"/>
        <w:rPr>
          <w:sz w:val="20"/>
          <w:szCs w:val="20"/>
          <w:lang w:val="en-US"/>
        </w:rPr>
      </w:pPr>
      <w:r w:rsidRPr="007D770B">
        <w:rPr>
          <w:sz w:val="20"/>
          <w:szCs w:val="20"/>
          <w:lang w:val="en-US"/>
        </w:rPr>
        <w:t>a description of the nature of the relationship between the transferred assets and associated liabilities, including restrictions on the Bank's use of transferred assets that result from the transfer.</w:t>
      </w:r>
    </w:p>
    <w:p w14:paraId="34CCE59B" w14:textId="77777777" w:rsidR="00331FED" w:rsidRPr="007D770B" w:rsidRDefault="00331FED" w:rsidP="00AE698A">
      <w:pPr>
        <w:pStyle w:val="1"/>
        <w:numPr>
          <w:ilvl w:val="0"/>
          <w:numId w:val="298"/>
        </w:numPr>
        <w:tabs>
          <w:tab w:val="left" w:pos="360"/>
        </w:tabs>
        <w:spacing w:after="240"/>
        <w:rPr>
          <w:sz w:val="20"/>
          <w:szCs w:val="20"/>
          <w:lang w:val="en-US"/>
        </w:rPr>
      </w:pPr>
      <w:r w:rsidRPr="007D770B">
        <w:rPr>
          <w:sz w:val="20"/>
          <w:szCs w:val="20"/>
          <w:lang w:val="en-US"/>
        </w:rPr>
        <w:lastRenderedPageBreak/>
        <w:t>where the counterparty(ies) to the transferred asset(ies) has recourse only to the transferred assets: a table showing the fair value of the transferred assets, the fair value of the associated liabilities and the net position (the difference between the fair value of the transferred assets and the associated liabilities).</w:t>
      </w:r>
    </w:p>
    <w:p w14:paraId="33912A8D" w14:textId="77777777" w:rsidR="00331FED" w:rsidRPr="007D770B" w:rsidRDefault="00331FED" w:rsidP="00AE698A">
      <w:pPr>
        <w:pStyle w:val="1"/>
        <w:numPr>
          <w:ilvl w:val="0"/>
          <w:numId w:val="298"/>
        </w:numPr>
        <w:tabs>
          <w:tab w:val="left" w:pos="360"/>
        </w:tabs>
        <w:spacing w:after="240"/>
        <w:rPr>
          <w:sz w:val="20"/>
          <w:szCs w:val="20"/>
          <w:lang w:val="en-US"/>
        </w:rPr>
      </w:pPr>
      <w:r w:rsidRPr="007D770B">
        <w:rPr>
          <w:sz w:val="20"/>
          <w:szCs w:val="20"/>
          <w:lang w:val="en-US"/>
        </w:rPr>
        <w:t>Where the Bank continues to recognize all of the transferred assets: the carrying amount of the transferred assets and the associated liabilities.</w:t>
      </w:r>
    </w:p>
    <w:p w14:paraId="631A2263" w14:textId="5D250E2B" w:rsidR="00331FED" w:rsidRPr="007D770B" w:rsidRDefault="00331FED" w:rsidP="00AE698A">
      <w:pPr>
        <w:pStyle w:val="1"/>
        <w:numPr>
          <w:ilvl w:val="0"/>
          <w:numId w:val="298"/>
        </w:numPr>
        <w:tabs>
          <w:tab w:val="left" w:pos="360"/>
        </w:tabs>
        <w:spacing w:after="240"/>
        <w:rPr>
          <w:b/>
          <w:sz w:val="20"/>
          <w:szCs w:val="20"/>
          <w:lang w:val="en-US"/>
        </w:rPr>
      </w:pPr>
      <w:r w:rsidRPr="007D770B">
        <w:rPr>
          <w:sz w:val="20"/>
          <w:szCs w:val="20"/>
          <w:lang w:val="en-US"/>
        </w:rPr>
        <w:t xml:space="preserve">when the Bank continues to recognize assets based on its continuing involvement in them (see paragraphs </w:t>
      </w:r>
      <w:r w:rsidRPr="007D770B">
        <w:rPr>
          <w:sz w:val="20"/>
          <w:lang w:val="en-US"/>
        </w:rPr>
        <w:t xml:space="preserve">20(c)(ii) and 30 of </w:t>
      </w:r>
      <w:r w:rsidRPr="007D770B">
        <w:rPr>
          <w:sz w:val="20"/>
          <w:szCs w:val="20"/>
          <w:lang w:val="en-US"/>
        </w:rPr>
        <w:t>IAS 39): the total carrying amount of the original assets before the transfer, the carrying amount of the assets that the Bank continues to recognize and the carrying amount of the associated liabilities.</w:t>
      </w:r>
    </w:p>
    <w:p w14:paraId="7CA60E85" w14:textId="77777777" w:rsidR="00331FED" w:rsidRPr="007D770B" w:rsidRDefault="00331FED" w:rsidP="00331FED">
      <w:pPr>
        <w:pStyle w:val="1"/>
        <w:numPr>
          <w:ilvl w:val="0"/>
          <w:numId w:val="0"/>
        </w:numPr>
        <w:tabs>
          <w:tab w:val="left" w:pos="360"/>
        </w:tabs>
        <w:spacing w:after="240"/>
        <w:rPr>
          <w:b/>
          <w:i/>
          <w:sz w:val="20"/>
          <w:szCs w:val="20"/>
          <w:lang w:val="en-US"/>
        </w:rPr>
      </w:pPr>
      <w:r w:rsidRPr="007D770B">
        <w:rPr>
          <w:b/>
          <w:i/>
          <w:sz w:val="20"/>
          <w:szCs w:val="20"/>
          <w:lang w:val="en-US"/>
        </w:rPr>
        <w:t xml:space="preserve">Transferred financial assets derecognized in their entirety </w:t>
      </w:r>
    </w:p>
    <w:p w14:paraId="09880D5D" w14:textId="77777777" w:rsidR="00331FED" w:rsidRPr="007D770B" w:rsidRDefault="00331FED" w:rsidP="00331FED">
      <w:pPr>
        <w:pStyle w:val="1"/>
        <w:numPr>
          <w:ilvl w:val="0"/>
          <w:numId w:val="0"/>
        </w:numPr>
        <w:tabs>
          <w:tab w:val="left" w:pos="360"/>
        </w:tabs>
        <w:spacing w:after="240"/>
        <w:rPr>
          <w:sz w:val="20"/>
          <w:szCs w:val="20"/>
          <w:lang w:val="en-US"/>
        </w:rPr>
      </w:pPr>
      <w:r w:rsidRPr="007D770B">
        <w:rPr>
          <w:sz w:val="20"/>
          <w:szCs w:val="20"/>
          <w:lang w:val="en-US"/>
        </w:rPr>
        <w:t>When the Bank derecognizes transferred financial assets in their entirety but has a continuing involvement with them, disclosures are required at each reporting date and for each type of continuing involvement, at least the following information is disclosed:</w:t>
      </w:r>
    </w:p>
    <w:p w14:paraId="437564CE" w14:textId="77777777" w:rsidR="00331FED" w:rsidRPr="007D770B" w:rsidRDefault="00331FED" w:rsidP="00AE698A">
      <w:pPr>
        <w:pStyle w:val="1"/>
        <w:numPr>
          <w:ilvl w:val="0"/>
          <w:numId w:val="299"/>
        </w:numPr>
        <w:tabs>
          <w:tab w:val="left" w:pos="360"/>
        </w:tabs>
        <w:spacing w:after="240"/>
        <w:rPr>
          <w:sz w:val="20"/>
          <w:szCs w:val="20"/>
          <w:lang w:val="en-US"/>
        </w:rPr>
      </w:pPr>
      <w:r w:rsidRPr="007D770B">
        <w:rPr>
          <w:sz w:val="20"/>
          <w:szCs w:val="20"/>
          <w:lang w:val="en-US"/>
        </w:rPr>
        <w:t>the carrying amounts of assets and liabilities recognized in the Bank's statement of financial position that reflect the Bank's continuing involvement in derecognized financial assets and the line items where the carrying amounts of those assets and liabilities are recognized.</w:t>
      </w:r>
    </w:p>
    <w:p w14:paraId="09A8F946" w14:textId="77777777" w:rsidR="00331FED" w:rsidRPr="007D770B" w:rsidRDefault="00331FED" w:rsidP="00AE698A">
      <w:pPr>
        <w:pStyle w:val="1"/>
        <w:numPr>
          <w:ilvl w:val="0"/>
          <w:numId w:val="299"/>
        </w:numPr>
        <w:tabs>
          <w:tab w:val="left" w:pos="360"/>
        </w:tabs>
        <w:spacing w:after="240"/>
        <w:rPr>
          <w:sz w:val="20"/>
          <w:szCs w:val="20"/>
          <w:lang w:val="en-US"/>
        </w:rPr>
      </w:pPr>
      <w:r w:rsidRPr="007D770B">
        <w:rPr>
          <w:sz w:val="20"/>
          <w:szCs w:val="20"/>
          <w:lang w:val="en-US"/>
        </w:rPr>
        <w:t>the fair value of assets and liabilities that reflect the Bank's continuing involvement in derecognized financial assets.</w:t>
      </w:r>
    </w:p>
    <w:p w14:paraId="326F9C04" w14:textId="77777777" w:rsidR="00331FED" w:rsidRPr="007D770B" w:rsidRDefault="00331FED" w:rsidP="00AE698A">
      <w:pPr>
        <w:pStyle w:val="1"/>
        <w:numPr>
          <w:ilvl w:val="0"/>
          <w:numId w:val="299"/>
        </w:numPr>
        <w:tabs>
          <w:tab w:val="left" w:pos="360"/>
        </w:tabs>
        <w:spacing w:after="240"/>
        <w:rPr>
          <w:sz w:val="20"/>
          <w:szCs w:val="20"/>
          <w:lang w:val="en-US"/>
        </w:rPr>
      </w:pPr>
      <w:r w:rsidRPr="007D770B">
        <w:rPr>
          <w:sz w:val="20"/>
          <w:szCs w:val="20"/>
          <w:lang w:val="en-US"/>
        </w:rPr>
        <w:t xml:space="preserve">the amount that best represents the Bank's maximum exposure to losses from continuing involvement in derecognized financial assets and information about how the Bank's maximum exposure to losses is determined. </w:t>
      </w:r>
    </w:p>
    <w:p w14:paraId="7EC11805" w14:textId="50AC8164" w:rsidR="00331FED" w:rsidRPr="007D770B" w:rsidRDefault="00331FED" w:rsidP="00AE698A">
      <w:pPr>
        <w:pStyle w:val="1"/>
        <w:numPr>
          <w:ilvl w:val="0"/>
          <w:numId w:val="299"/>
        </w:numPr>
        <w:tabs>
          <w:tab w:val="left" w:pos="360"/>
        </w:tabs>
        <w:spacing w:after="240"/>
        <w:rPr>
          <w:sz w:val="20"/>
          <w:szCs w:val="20"/>
          <w:lang w:val="en-US"/>
        </w:rPr>
      </w:pPr>
      <w:r w:rsidRPr="007D770B">
        <w:rPr>
          <w:sz w:val="20"/>
          <w:szCs w:val="20"/>
          <w:lang w:val="en-US"/>
        </w:rPr>
        <w:t>The undiscounted cash outflows that would have been required, or could have been required, to repurchase derecognized financial assets (for example, the strike price in an option agreement) or other amounts payable to the transferee in respect of the transferred assets. If the cash outflow is variable, then the amount shall be disclosed based on the conditions existing at each reporting date.</w:t>
      </w:r>
    </w:p>
    <w:p w14:paraId="50C37E76" w14:textId="77777777" w:rsidR="00331FED" w:rsidRPr="007D770B" w:rsidRDefault="00331FED" w:rsidP="00AE698A">
      <w:pPr>
        <w:pStyle w:val="1"/>
        <w:numPr>
          <w:ilvl w:val="0"/>
          <w:numId w:val="299"/>
        </w:numPr>
        <w:tabs>
          <w:tab w:val="left" w:pos="360"/>
        </w:tabs>
        <w:spacing w:after="240"/>
        <w:rPr>
          <w:sz w:val="20"/>
          <w:szCs w:val="20"/>
          <w:lang w:val="en-US"/>
        </w:rPr>
      </w:pPr>
      <w:r w:rsidRPr="007D770B">
        <w:rPr>
          <w:sz w:val="20"/>
          <w:szCs w:val="20"/>
          <w:lang w:val="en-US"/>
        </w:rPr>
        <w:t>an analysis of the undiscounted cash outflows that would or could be required to redeem the derecognized financial assets or other amounts payable to the transferee in respect of the transferred assets, showing the remaining contractual maturities of the Bank's continuing involvement in those assets.</w:t>
      </w:r>
    </w:p>
    <w:p w14:paraId="76D75E70" w14:textId="77777777" w:rsidR="00331FED" w:rsidRPr="007D770B" w:rsidRDefault="00331FED" w:rsidP="00AE698A">
      <w:pPr>
        <w:pStyle w:val="1"/>
        <w:numPr>
          <w:ilvl w:val="0"/>
          <w:numId w:val="299"/>
        </w:numPr>
        <w:tabs>
          <w:tab w:val="left" w:pos="360"/>
        </w:tabs>
        <w:spacing w:after="240"/>
        <w:rPr>
          <w:sz w:val="20"/>
          <w:szCs w:val="20"/>
          <w:lang w:val="en-US"/>
        </w:rPr>
      </w:pPr>
      <w:r w:rsidRPr="007D770B">
        <w:rPr>
          <w:sz w:val="20"/>
          <w:szCs w:val="20"/>
          <w:lang w:val="en-US"/>
        </w:rPr>
        <w:t>qualitative information explaining and confirming the disclosure of quantitative information in accordance with paragraphs (1) through (5).</w:t>
      </w:r>
    </w:p>
    <w:p w14:paraId="3F4EEC45" w14:textId="77777777" w:rsidR="00331FED" w:rsidRPr="007D770B" w:rsidRDefault="00331FED" w:rsidP="00331FED">
      <w:pPr>
        <w:pStyle w:val="1"/>
        <w:numPr>
          <w:ilvl w:val="0"/>
          <w:numId w:val="0"/>
        </w:numPr>
        <w:tabs>
          <w:tab w:val="left" w:pos="360"/>
        </w:tabs>
        <w:spacing w:after="240"/>
        <w:rPr>
          <w:sz w:val="20"/>
          <w:szCs w:val="20"/>
          <w:lang w:val="en-US"/>
        </w:rPr>
      </w:pPr>
      <w:r w:rsidRPr="007D770B">
        <w:rPr>
          <w:sz w:val="20"/>
          <w:szCs w:val="20"/>
          <w:lang w:val="en-US"/>
        </w:rPr>
        <w:t>The Bank may aggregate the disclosures required for a particular asset if the Bank has multiple types of continuing involvement in that derecognized financial asset and present them under a single type of continuing involvement.</w:t>
      </w:r>
    </w:p>
    <w:p w14:paraId="51CAD707" w14:textId="77777777" w:rsidR="00331FED" w:rsidRPr="007D770B" w:rsidRDefault="00331FED" w:rsidP="00331FED">
      <w:pPr>
        <w:pStyle w:val="1"/>
        <w:numPr>
          <w:ilvl w:val="0"/>
          <w:numId w:val="0"/>
        </w:numPr>
        <w:tabs>
          <w:tab w:val="left" w:pos="360"/>
        </w:tabs>
        <w:spacing w:after="240"/>
        <w:rPr>
          <w:sz w:val="20"/>
          <w:szCs w:val="20"/>
          <w:lang w:val="en-US"/>
        </w:rPr>
      </w:pPr>
      <w:r w:rsidRPr="007D770B">
        <w:rPr>
          <w:sz w:val="20"/>
          <w:szCs w:val="20"/>
          <w:lang w:val="en-US"/>
        </w:rPr>
        <w:t>In addition, the Bank is required to disclose the following information for each type of continuing involvement:</w:t>
      </w:r>
    </w:p>
    <w:p w14:paraId="6DA7F7B7" w14:textId="77777777" w:rsidR="00331FED" w:rsidRPr="007D770B" w:rsidRDefault="00331FED" w:rsidP="00AE698A">
      <w:pPr>
        <w:pStyle w:val="1"/>
        <w:numPr>
          <w:ilvl w:val="0"/>
          <w:numId w:val="300"/>
        </w:numPr>
        <w:tabs>
          <w:tab w:val="left" w:pos="360"/>
        </w:tabs>
        <w:spacing w:after="240"/>
        <w:rPr>
          <w:sz w:val="20"/>
          <w:szCs w:val="20"/>
          <w:lang w:val="en-US"/>
        </w:rPr>
      </w:pPr>
      <w:r w:rsidRPr="007D770B">
        <w:rPr>
          <w:sz w:val="20"/>
          <w:szCs w:val="20"/>
          <w:lang w:val="en-US"/>
        </w:rPr>
        <w:t xml:space="preserve">the gain or loss recognized at the date of transfer of assets. </w:t>
      </w:r>
    </w:p>
    <w:p w14:paraId="5FD70EF4" w14:textId="77777777" w:rsidR="00331FED" w:rsidRPr="007D770B" w:rsidRDefault="00331FED" w:rsidP="00AE698A">
      <w:pPr>
        <w:pStyle w:val="1"/>
        <w:numPr>
          <w:ilvl w:val="0"/>
          <w:numId w:val="300"/>
        </w:numPr>
        <w:tabs>
          <w:tab w:val="left" w:pos="360"/>
        </w:tabs>
        <w:spacing w:after="240"/>
        <w:rPr>
          <w:sz w:val="20"/>
          <w:szCs w:val="20"/>
          <w:lang w:val="en-US"/>
        </w:rPr>
      </w:pPr>
      <w:r w:rsidRPr="007D770B">
        <w:rPr>
          <w:sz w:val="20"/>
          <w:szCs w:val="20"/>
          <w:lang w:val="en-US"/>
        </w:rPr>
        <w:t>gains and losses recognized in the reporting period and in aggregate for the Bank's continuing involvement in derecognized financial assets (e.g., fair value of changes in derivatives).</w:t>
      </w:r>
    </w:p>
    <w:p w14:paraId="5865A0FF" w14:textId="77777777" w:rsidR="00331FED" w:rsidRPr="007D770B" w:rsidRDefault="00331FED" w:rsidP="00AE698A">
      <w:pPr>
        <w:pStyle w:val="1"/>
        <w:numPr>
          <w:ilvl w:val="0"/>
          <w:numId w:val="300"/>
        </w:numPr>
        <w:tabs>
          <w:tab w:val="left" w:pos="360"/>
        </w:tabs>
        <w:spacing w:after="240"/>
        <w:rPr>
          <w:sz w:val="20"/>
          <w:szCs w:val="20"/>
          <w:lang w:val="en-US"/>
        </w:rPr>
      </w:pPr>
      <w:r w:rsidRPr="007D770B">
        <w:rPr>
          <w:sz w:val="20"/>
          <w:szCs w:val="20"/>
          <w:lang w:val="en-US"/>
        </w:rPr>
        <w:t>if the total proceeds from asset transfers (that qualify for derecognition) in the reporting period are not distributed evenly throughout the reporting period (for example, if a significant portion of the total asset transfers occur at the end of the reporting period):</w:t>
      </w:r>
    </w:p>
    <w:p w14:paraId="4DDE483A" w14:textId="77777777" w:rsidR="00331FED" w:rsidRPr="007D770B" w:rsidRDefault="00331FED" w:rsidP="00AE698A">
      <w:pPr>
        <w:pStyle w:val="1"/>
        <w:numPr>
          <w:ilvl w:val="0"/>
          <w:numId w:val="301"/>
        </w:numPr>
        <w:tabs>
          <w:tab w:val="left" w:pos="1080"/>
        </w:tabs>
        <w:spacing w:after="240"/>
        <w:ind w:left="1080"/>
        <w:rPr>
          <w:sz w:val="20"/>
          <w:szCs w:val="20"/>
          <w:lang w:val="en-US"/>
        </w:rPr>
      </w:pPr>
      <w:r w:rsidRPr="007D770B">
        <w:rPr>
          <w:sz w:val="20"/>
          <w:szCs w:val="20"/>
          <w:lang w:val="en-US"/>
        </w:rPr>
        <w:t xml:space="preserve">When the largest transfer of assets in the reporting period occurred (e.g., the last five days before the end of the reporting period), </w:t>
      </w:r>
    </w:p>
    <w:p w14:paraId="6385C0FE" w14:textId="77777777" w:rsidR="00331FED" w:rsidRPr="007D770B" w:rsidRDefault="00331FED" w:rsidP="00AE698A">
      <w:pPr>
        <w:pStyle w:val="1"/>
        <w:numPr>
          <w:ilvl w:val="0"/>
          <w:numId w:val="301"/>
        </w:numPr>
        <w:tabs>
          <w:tab w:val="left" w:pos="1080"/>
        </w:tabs>
        <w:spacing w:after="240"/>
        <w:ind w:left="1080"/>
        <w:rPr>
          <w:sz w:val="20"/>
          <w:szCs w:val="20"/>
          <w:lang w:val="en-US"/>
        </w:rPr>
      </w:pPr>
      <w:r w:rsidRPr="007D770B">
        <w:rPr>
          <w:sz w:val="20"/>
          <w:szCs w:val="20"/>
          <w:lang w:val="en-US"/>
        </w:rPr>
        <w:t xml:space="preserve">the amount (e.g., the related gain or loss) recognized for the asset transfer transaction in that part of the reporting period, and </w:t>
      </w:r>
    </w:p>
    <w:p w14:paraId="1D49CE01" w14:textId="77777777" w:rsidR="00331FED" w:rsidRPr="007D770B" w:rsidRDefault="00331FED" w:rsidP="00AE698A">
      <w:pPr>
        <w:pStyle w:val="1"/>
        <w:numPr>
          <w:ilvl w:val="0"/>
          <w:numId w:val="301"/>
        </w:numPr>
        <w:tabs>
          <w:tab w:val="left" w:pos="1080"/>
        </w:tabs>
        <w:spacing w:after="240"/>
        <w:ind w:left="1080"/>
        <w:rPr>
          <w:sz w:val="20"/>
          <w:szCs w:val="20"/>
          <w:lang w:val="en-US"/>
        </w:rPr>
      </w:pPr>
      <w:r w:rsidRPr="007D770B">
        <w:rPr>
          <w:sz w:val="20"/>
          <w:szCs w:val="20"/>
          <w:lang w:val="en-US"/>
        </w:rPr>
        <w:t>total proceeds from asset transfer transactions in that part of the reporting period.</w:t>
      </w:r>
    </w:p>
    <w:p w14:paraId="3370CE43" w14:textId="77777777" w:rsidR="00331FED" w:rsidRPr="007D770B" w:rsidRDefault="00331FED" w:rsidP="00331FED">
      <w:pPr>
        <w:pStyle w:val="1"/>
        <w:numPr>
          <w:ilvl w:val="0"/>
          <w:numId w:val="0"/>
        </w:numPr>
        <w:tabs>
          <w:tab w:val="left" w:pos="360"/>
        </w:tabs>
        <w:spacing w:after="240"/>
        <w:rPr>
          <w:sz w:val="20"/>
          <w:szCs w:val="20"/>
          <w:lang w:val="en-US"/>
        </w:rPr>
      </w:pPr>
      <w:r w:rsidRPr="007D770B">
        <w:rPr>
          <w:sz w:val="20"/>
          <w:szCs w:val="20"/>
          <w:lang w:val="en-US"/>
        </w:rPr>
        <w:t>The Bank provides this information for each period for which a statement of comprehensive income is presented.</w:t>
      </w:r>
    </w:p>
    <w:p w14:paraId="09A5A846" w14:textId="77777777" w:rsidR="00331FED" w:rsidRPr="007D770B" w:rsidRDefault="00331FED" w:rsidP="00331FED">
      <w:pPr>
        <w:pStyle w:val="1"/>
        <w:numPr>
          <w:ilvl w:val="0"/>
          <w:numId w:val="0"/>
        </w:numPr>
        <w:tabs>
          <w:tab w:val="left" w:pos="360"/>
        </w:tabs>
        <w:spacing w:after="240"/>
        <w:rPr>
          <w:b/>
          <w:i/>
          <w:sz w:val="20"/>
          <w:szCs w:val="20"/>
          <w:lang w:val="en-US"/>
        </w:rPr>
      </w:pPr>
      <w:r w:rsidRPr="007D770B">
        <w:rPr>
          <w:b/>
          <w:i/>
          <w:sz w:val="20"/>
          <w:szCs w:val="20"/>
          <w:lang w:val="en-US"/>
        </w:rPr>
        <w:lastRenderedPageBreak/>
        <w:t>Reclassification</w:t>
      </w:r>
    </w:p>
    <w:p w14:paraId="3335474B" w14:textId="77777777" w:rsidR="00331FED" w:rsidRPr="007D770B" w:rsidRDefault="00331FED" w:rsidP="00331FED">
      <w:pPr>
        <w:pStyle w:val="1"/>
        <w:numPr>
          <w:ilvl w:val="0"/>
          <w:numId w:val="0"/>
        </w:numPr>
        <w:tabs>
          <w:tab w:val="left" w:pos="360"/>
        </w:tabs>
        <w:rPr>
          <w:sz w:val="20"/>
          <w:szCs w:val="20"/>
          <w:lang w:val="en-US"/>
        </w:rPr>
      </w:pPr>
      <w:r w:rsidRPr="007D770B">
        <w:rPr>
          <w:sz w:val="20"/>
          <w:szCs w:val="20"/>
          <w:lang w:val="en-US"/>
        </w:rPr>
        <w:t>For each reclassification in the current or prior reporting period, the Bank discloses the following:</w:t>
      </w:r>
    </w:p>
    <w:p w14:paraId="1DFCD520" w14:textId="77777777" w:rsidR="00331FED" w:rsidRPr="00E46D4B" w:rsidRDefault="00331FED" w:rsidP="00AE698A">
      <w:pPr>
        <w:pStyle w:val="1"/>
        <w:numPr>
          <w:ilvl w:val="0"/>
          <w:numId w:val="300"/>
        </w:numPr>
        <w:tabs>
          <w:tab w:val="left" w:pos="360"/>
        </w:tabs>
        <w:spacing w:after="240"/>
        <w:rPr>
          <w:sz w:val="20"/>
          <w:szCs w:val="20"/>
        </w:rPr>
      </w:pPr>
      <w:r w:rsidRPr="00E46D4B">
        <w:rPr>
          <w:sz w:val="20"/>
          <w:szCs w:val="20"/>
        </w:rPr>
        <w:t>Date of reclassification;</w:t>
      </w:r>
    </w:p>
    <w:p w14:paraId="0788EE0B" w14:textId="77777777" w:rsidR="00331FED" w:rsidRPr="007D770B" w:rsidRDefault="00331FED" w:rsidP="00AE698A">
      <w:pPr>
        <w:pStyle w:val="1"/>
        <w:numPr>
          <w:ilvl w:val="0"/>
          <w:numId w:val="300"/>
        </w:numPr>
        <w:tabs>
          <w:tab w:val="left" w:pos="360"/>
        </w:tabs>
        <w:spacing w:after="240"/>
        <w:rPr>
          <w:sz w:val="20"/>
          <w:szCs w:val="20"/>
          <w:lang w:val="en-US"/>
        </w:rPr>
      </w:pPr>
      <w:r w:rsidRPr="007D770B">
        <w:rPr>
          <w:sz w:val="20"/>
          <w:szCs w:val="20"/>
          <w:lang w:val="en-US"/>
        </w:rPr>
        <w:t>A detailed explanation of the change in business model and a qualitative description of its impact on the Bank's financial statements; and</w:t>
      </w:r>
    </w:p>
    <w:p w14:paraId="2B20BF10" w14:textId="77777777" w:rsidR="00331FED" w:rsidRPr="007D770B" w:rsidRDefault="00331FED" w:rsidP="00AE698A">
      <w:pPr>
        <w:pStyle w:val="1"/>
        <w:numPr>
          <w:ilvl w:val="0"/>
          <w:numId w:val="300"/>
        </w:numPr>
        <w:tabs>
          <w:tab w:val="left" w:pos="360"/>
        </w:tabs>
        <w:spacing w:after="240"/>
        <w:rPr>
          <w:sz w:val="20"/>
          <w:szCs w:val="20"/>
          <w:lang w:val="en-US"/>
        </w:rPr>
      </w:pPr>
      <w:r w:rsidRPr="007D770B">
        <w:rPr>
          <w:sz w:val="20"/>
          <w:szCs w:val="20"/>
          <w:lang w:val="en-US"/>
        </w:rPr>
        <w:t>Amount reclassified into and out of each category.</w:t>
      </w:r>
    </w:p>
    <w:p w14:paraId="224EA2F4" w14:textId="77777777" w:rsidR="00331FED" w:rsidRPr="007D770B" w:rsidRDefault="00331FED" w:rsidP="00331FED">
      <w:pPr>
        <w:pStyle w:val="1"/>
        <w:numPr>
          <w:ilvl w:val="0"/>
          <w:numId w:val="0"/>
        </w:numPr>
        <w:tabs>
          <w:tab w:val="left" w:pos="360"/>
        </w:tabs>
        <w:spacing w:after="240"/>
        <w:rPr>
          <w:sz w:val="20"/>
          <w:szCs w:val="20"/>
          <w:lang w:val="en-US"/>
        </w:rPr>
      </w:pPr>
      <w:r w:rsidRPr="007D770B">
        <w:rPr>
          <w:sz w:val="20"/>
          <w:szCs w:val="20"/>
          <w:lang w:val="en-US"/>
        </w:rPr>
        <w:t>For each reporting period after reclassification from SSSPU to amortized cost or SPSS, before write-off, the Bank discloses:</w:t>
      </w:r>
    </w:p>
    <w:p w14:paraId="3DCE31D3" w14:textId="77777777" w:rsidR="00331FED" w:rsidRPr="007D770B" w:rsidRDefault="00331FED" w:rsidP="00AE698A">
      <w:pPr>
        <w:pStyle w:val="1"/>
        <w:numPr>
          <w:ilvl w:val="0"/>
          <w:numId w:val="300"/>
        </w:numPr>
        <w:tabs>
          <w:tab w:val="left" w:pos="360"/>
        </w:tabs>
        <w:spacing w:after="240"/>
        <w:rPr>
          <w:sz w:val="20"/>
          <w:szCs w:val="20"/>
          <w:lang w:val="en-US"/>
        </w:rPr>
      </w:pPr>
      <w:r w:rsidRPr="007D770B">
        <w:rPr>
          <w:sz w:val="20"/>
          <w:szCs w:val="20"/>
          <w:lang w:val="en-US"/>
        </w:rPr>
        <w:t>The effective interest rate determined at the date of reclassification; and</w:t>
      </w:r>
    </w:p>
    <w:p w14:paraId="2A5A348F" w14:textId="77777777" w:rsidR="00331FED" w:rsidRPr="00E46D4B" w:rsidRDefault="00331FED" w:rsidP="00AE698A">
      <w:pPr>
        <w:pStyle w:val="1"/>
        <w:numPr>
          <w:ilvl w:val="0"/>
          <w:numId w:val="300"/>
        </w:numPr>
        <w:tabs>
          <w:tab w:val="left" w:pos="360"/>
        </w:tabs>
        <w:spacing w:after="240"/>
        <w:rPr>
          <w:sz w:val="20"/>
          <w:szCs w:val="20"/>
        </w:rPr>
      </w:pPr>
      <w:r w:rsidRPr="00E46D4B">
        <w:rPr>
          <w:sz w:val="20"/>
          <w:szCs w:val="20"/>
        </w:rPr>
        <w:t>Recognized interest income.</w:t>
      </w:r>
    </w:p>
    <w:p w14:paraId="619F21AC" w14:textId="77777777" w:rsidR="00331FED" w:rsidRPr="007D770B" w:rsidRDefault="00331FED" w:rsidP="00331FED">
      <w:pPr>
        <w:pStyle w:val="1"/>
        <w:numPr>
          <w:ilvl w:val="0"/>
          <w:numId w:val="0"/>
        </w:numPr>
        <w:tabs>
          <w:tab w:val="left" w:pos="360"/>
        </w:tabs>
        <w:spacing w:after="240"/>
        <w:rPr>
          <w:sz w:val="20"/>
          <w:szCs w:val="20"/>
          <w:lang w:val="en-US"/>
        </w:rPr>
      </w:pPr>
      <w:r w:rsidRPr="007D770B">
        <w:rPr>
          <w:sz w:val="20"/>
          <w:szCs w:val="20"/>
          <w:lang w:val="en-US"/>
        </w:rPr>
        <w:t>If, since the last annual reporting date, the Bank has reclassified a financial asset (i) from FVTPL to amortized cost or (ii) from FVTPL to amortized cost or FVTPL, the Bank discloses:</w:t>
      </w:r>
    </w:p>
    <w:p w14:paraId="02F7772E" w14:textId="77777777" w:rsidR="0051528F" w:rsidRPr="007D770B" w:rsidRDefault="00331FED" w:rsidP="00AE698A">
      <w:pPr>
        <w:pStyle w:val="1"/>
        <w:numPr>
          <w:ilvl w:val="0"/>
          <w:numId w:val="300"/>
        </w:numPr>
        <w:tabs>
          <w:tab w:val="left" w:pos="360"/>
        </w:tabs>
        <w:spacing w:after="240"/>
        <w:rPr>
          <w:sz w:val="20"/>
          <w:szCs w:val="20"/>
          <w:lang w:val="en-US"/>
        </w:rPr>
      </w:pPr>
      <w:r w:rsidRPr="007D770B">
        <w:rPr>
          <w:sz w:val="20"/>
          <w:szCs w:val="20"/>
          <w:lang w:val="en-US"/>
        </w:rPr>
        <w:t>The fair value of the financial asset at the end of the period; and</w:t>
      </w:r>
    </w:p>
    <w:p w14:paraId="3C6A15E4" w14:textId="77777777" w:rsidR="0051528F" w:rsidRPr="007D770B" w:rsidRDefault="0051528F" w:rsidP="0051528F">
      <w:pPr>
        <w:pStyle w:val="1"/>
        <w:numPr>
          <w:ilvl w:val="0"/>
          <w:numId w:val="0"/>
        </w:numPr>
        <w:tabs>
          <w:tab w:val="left" w:pos="360"/>
        </w:tabs>
        <w:spacing w:after="240"/>
        <w:ind w:left="624" w:firstLine="709"/>
        <w:rPr>
          <w:sz w:val="20"/>
          <w:szCs w:val="20"/>
          <w:lang w:val="en-US"/>
        </w:rPr>
        <w:sectPr w:rsidR="0051528F" w:rsidRPr="007D770B" w:rsidSect="0051528F">
          <w:headerReference w:type="even" r:id="rId34"/>
          <w:headerReference w:type="default" r:id="rId35"/>
          <w:headerReference w:type="first" r:id="rId36"/>
          <w:type w:val="continuous"/>
          <w:pgSz w:w="11906" w:h="16838" w:code="9"/>
          <w:pgMar w:top="1267" w:right="677" w:bottom="562" w:left="1138" w:header="504" w:footer="590" w:gutter="0"/>
          <w:cols w:space="708"/>
          <w:titlePg/>
          <w:docGrid w:linePitch="360"/>
        </w:sectPr>
      </w:pPr>
    </w:p>
    <w:p w14:paraId="75B6393C" w14:textId="77777777" w:rsidR="00331FED" w:rsidRPr="007D770B" w:rsidRDefault="00331FED" w:rsidP="00AE698A">
      <w:pPr>
        <w:pStyle w:val="1"/>
        <w:numPr>
          <w:ilvl w:val="0"/>
          <w:numId w:val="300"/>
        </w:numPr>
        <w:tabs>
          <w:tab w:val="left" w:pos="360"/>
        </w:tabs>
        <w:spacing w:after="240"/>
        <w:rPr>
          <w:sz w:val="20"/>
          <w:szCs w:val="20"/>
          <w:lang w:val="en-US"/>
        </w:rPr>
      </w:pPr>
      <w:r w:rsidRPr="007D770B">
        <w:rPr>
          <w:sz w:val="20"/>
          <w:szCs w:val="20"/>
          <w:lang w:val="en-US"/>
        </w:rPr>
        <w:t>The increase or decrease in fair value that would have been recognized in profit or loss or OCI during the reporting period had the financial assets not been reclassified.</w:t>
      </w:r>
    </w:p>
    <w:p w14:paraId="38491FB7" w14:textId="77777777" w:rsidR="00F90771" w:rsidRPr="007D770B" w:rsidRDefault="00F90771" w:rsidP="00331FED">
      <w:pPr>
        <w:pStyle w:val="1"/>
        <w:numPr>
          <w:ilvl w:val="0"/>
          <w:numId w:val="0"/>
        </w:numPr>
        <w:tabs>
          <w:tab w:val="left" w:pos="360"/>
        </w:tabs>
        <w:spacing w:after="240"/>
        <w:rPr>
          <w:b/>
          <w:sz w:val="20"/>
          <w:szCs w:val="20"/>
          <w:lang w:val="en-US"/>
        </w:rPr>
      </w:pPr>
    </w:p>
    <w:p w14:paraId="6ABE9B2B" w14:textId="77777777" w:rsidR="00331FED" w:rsidRPr="007D770B" w:rsidRDefault="00331FED" w:rsidP="00331FED">
      <w:pPr>
        <w:pStyle w:val="1"/>
        <w:numPr>
          <w:ilvl w:val="0"/>
          <w:numId w:val="0"/>
        </w:numPr>
        <w:tabs>
          <w:tab w:val="left" w:pos="360"/>
        </w:tabs>
        <w:spacing w:after="240"/>
        <w:rPr>
          <w:b/>
          <w:sz w:val="20"/>
          <w:szCs w:val="20"/>
          <w:lang w:val="en-US"/>
        </w:rPr>
      </w:pPr>
      <w:r w:rsidRPr="007D770B">
        <w:rPr>
          <w:b/>
          <w:sz w:val="20"/>
          <w:szCs w:val="20"/>
          <w:lang w:val="en-US"/>
        </w:rPr>
        <w:t>More info</w:t>
      </w:r>
    </w:p>
    <w:p w14:paraId="2D53C1E0" w14:textId="77777777" w:rsidR="00331FED" w:rsidRPr="007D770B" w:rsidRDefault="00331FED" w:rsidP="00331FED">
      <w:pPr>
        <w:pStyle w:val="1"/>
        <w:numPr>
          <w:ilvl w:val="0"/>
          <w:numId w:val="0"/>
        </w:numPr>
        <w:tabs>
          <w:tab w:val="left" w:pos="360"/>
        </w:tabs>
        <w:spacing w:after="240"/>
        <w:rPr>
          <w:sz w:val="20"/>
          <w:szCs w:val="20"/>
          <w:lang w:val="en-US"/>
        </w:rPr>
      </w:pPr>
      <w:r w:rsidRPr="007D770B">
        <w:rPr>
          <w:sz w:val="20"/>
          <w:szCs w:val="20"/>
          <w:lang w:val="en-US"/>
        </w:rPr>
        <w:t>The Bank shall disclose any additional information it deems necessary to fulfill the purpose of the disclosure.</w:t>
      </w:r>
    </w:p>
    <w:p w14:paraId="01416E85" w14:textId="77777777" w:rsidR="00331FED" w:rsidRPr="007D770B" w:rsidRDefault="00331FED" w:rsidP="00331FED">
      <w:pPr>
        <w:pStyle w:val="1"/>
        <w:numPr>
          <w:ilvl w:val="0"/>
          <w:numId w:val="0"/>
        </w:numPr>
        <w:spacing w:after="240"/>
        <w:rPr>
          <w:sz w:val="20"/>
          <w:szCs w:val="20"/>
          <w:lang w:val="en-US"/>
        </w:rPr>
      </w:pPr>
      <w:r w:rsidRPr="007D770B">
        <w:rPr>
          <w:i/>
          <w:sz w:val="20"/>
          <w:szCs w:val="20"/>
          <w:lang w:val="en-US"/>
        </w:rPr>
        <w:t xml:space="preserve">Pledge. </w:t>
      </w:r>
      <w:r w:rsidRPr="007D770B">
        <w:rPr>
          <w:sz w:val="20"/>
          <w:szCs w:val="20"/>
          <w:lang w:val="en-US"/>
        </w:rPr>
        <w:t>The Bank discloses in the notes to the financial statements the carrying amount of financial assets pledged as collateral and any significant conditions attached to the pledged assets. Other assets pledged as collateral for loans are also disclosed in the sections dedicated to the respective group of assets (property, plant and equipment, intangible assets, etc.).</w:t>
      </w:r>
    </w:p>
    <w:p w14:paraId="46398403" w14:textId="77777777" w:rsidR="00331FED" w:rsidRPr="007D770B" w:rsidRDefault="00331FED" w:rsidP="00331FED">
      <w:pPr>
        <w:pStyle w:val="1"/>
        <w:numPr>
          <w:ilvl w:val="0"/>
          <w:numId w:val="0"/>
        </w:numPr>
        <w:spacing w:after="240"/>
        <w:rPr>
          <w:sz w:val="20"/>
          <w:szCs w:val="20"/>
          <w:lang w:val="en-US"/>
        </w:rPr>
      </w:pPr>
      <w:r w:rsidRPr="007D770B">
        <w:rPr>
          <w:sz w:val="20"/>
          <w:szCs w:val="20"/>
          <w:lang w:val="en-US"/>
        </w:rPr>
        <w:t xml:space="preserve">If the Bank holds collateral (financial or non-financial assets) and is permitted to sell or repledge the collateral without breaching contractual obligations, it discloses the following information in the financial statements: </w:t>
      </w:r>
    </w:p>
    <w:p w14:paraId="278A3A90" w14:textId="77777777" w:rsidR="00331FED" w:rsidRPr="007D770B" w:rsidRDefault="00331FED" w:rsidP="00AE698A">
      <w:pPr>
        <w:pStyle w:val="1"/>
        <w:numPr>
          <w:ilvl w:val="0"/>
          <w:numId w:val="302"/>
        </w:numPr>
        <w:spacing w:after="240"/>
        <w:rPr>
          <w:sz w:val="20"/>
          <w:szCs w:val="20"/>
          <w:lang w:val="en-US"/>
        </w:rPr>
      </w:pPr>
      <w:r w:rsidRPr="007D770B">
        <w:rPr>
          <w:sz w:val="20"/>
          <w:szCs w:val="20"/>
          <w:lang w:val="en-US"/>
        </w:rPr>
        <w:t>the fair value of collateral held;</w:t>
      </w:r>
    </w:p>
    <w:p w14:paraId="7CF57296" w14:textId="77777777" w:rsidR="00331FED" w:rsidRPr="007D770B" w:rsidRDefault="00331FED" w:rsidP="00AE698A">
      <w:pPr>
        <w:pStyle w:val="1"/>
        <w:numPr>
          <w:ilvl w:val="0"/>
          <w:numId w:val="302"/>
        </w:numPr>
        <w:spacing w:after="240"/>
        <w:rPr>
          <w:sz w:val="20"/>
          <w:szCs w:val="20"/>
          <w:lang w:val="en-US"/>
        </w:rPr>
      </w:pPr>
      <w:r w:rsidRPr="007D770B">
        <w:rPr>
          <w:sz w:val="20"/>
          <w:szCs w:val="20"/>
          <w:lang w:val="en-US"/>
        </w:rPr>
        <w:t xml:space="preserve">the fair value of any such collateral sold or repledged and whether the Bank has an obligation to return it; and </w:t>
      </w:r>
    </w:p>
    <w:p w14:paraId="6F39E13F" w14:textId="77777777" w:rsidR="00331FED" w:rsidRPr="007D770B" w:rsidRDefault="00331FED" w:rsidP="00AE698A">
      <w:pPr>
        <w:pStyle w:val="1"/>
        <w:numPr>
          <w:ilvl w:val="0"/>
          <w:numId w:val="302"/>
        </w:numPr>
        <w:spacing w:after="240"/>
        <w:rPr>
          <w:sz w:val="20"/>
          <w:szCs w:val="20"/>
          <w:lang w:val="en-US"/>
        </w:rPr>
      </w:pPr>
      <w:r w:rsidRPr="007D770B">
        <w:rPr>
          <w:sz w:val="20"/>
          <w:szCs w:val="20"/>
          <w:lang w:val="en-US"/>
        </w:rPr>
        <w:t>conditions related to the use of collateral.</w:t>
      </w:r>
    </w:p>
    <w:p w14:paraId="1A83185D" w14:textId="77777777" w:rsidR="00331FED" w:rsidRPr="007D770B" w:rsidRDefault="00331FED" w:rsidP="00331FED">
      <w:pPr>
        <w:pStyle w:val="1"/>
        <w:numPr>
          <w:ilvl w:val="0"/>
          <w:numId w:val="0"/>
        </w:numPr>
        <w:spacing w:after="240"/>
        <w:rPr>
          <w:b/>
          <w:i/>
          <w:sz w:val="20"/>
          <w:szCs w:val="20"/>
          <w:lang w:val="en-US"/>
        </w:rPr>
      </w:pPr>
      <w:r w:rsidRPr="007D770B">
        <w:rPr>
          <w:i/>
          <w:sz w:val="20"/>
          <w:szCs w:val="20"/>
          <w:lang w:val="en-US"/>
        </w:rPr>
        <w:t xml:space="preserve">Complex financial instruments with multiple embedded derivatives. </w:t>
      </w:r>
      <w:r w:rsidRPr="007D770B">
        <w:rPr>
          <w:sz w:val="20"/>
          <w:szCs w:val="20"/>
          <w:lang w:val="en-US"/>
        </w:rPr>
        <w:t xml:space="preserve">If the Bank issues an instrument that contains an element of a liability and an equity instrument and the instrument contains multiple embedded derivatives whose values are interdependent (for example, a revocable convertible debt instrument), the Bank shall disclose the existence of those features. </w:t>
      </w:r>
    </w:p>
    <w:p w14:paraId="324A5F9C" w14:textId="77777777" w:rsidR="00331FED" w:rsidRPr="007D770B" w:rsidRDefault="00331FED" w:rsidP="00331FED">
      <w:pPr>
        <w:pStyle w:val="1"/>
        <w:numPr>
          <w:ilvl w:val="0"/>
          <w:numId w:val="0"/>
        </w:numPr>
        <w:spacing w:after="240"/>
        <w:rPr>
          <w:b/>
          <w:i/>
          <w:sz w:val="20"/>
          <w:szCs w:val="20"/>
          <w:lang w:val="en-US"/>
        </w:rPr>
      </w:pPr>
      <w:r w:rsidRPr="007D770B">
        <w:rPr>
          <w:i/>
          <w:sz w:val="20"/>
          <w:szCs w:val="20"/>
          <w:lang w:val="en-US"/>
        </w:rPr>
        <w:t xml:space="preserve">Default and breach of covenants. </w:t>
      </w:r>
      <w:r w:rsidRPr="007D770B">
        <w:rPr>
          <w:sz w:val="20"/>
          <w:szCs w:val="20"/>
          <w:lang w:val="en-US"/>
        </w:rPr>
        <w:t>The Bank discloses the following information in respect of loans payable (which are owned by the Bank) recognized at the reporting date:</w:t>
      </w:r>
    </w:p>
    <w:p w14:paraId="6A42A382" w14:textId="77777777" w:rsidR="00331FED" w:rsidRPr="007D770B" w:rsidRDefault="00331FED" w:rsidP="00AE698A">
      <w:pPr>
        <w:pStyle w:val="1"/>
        <w:numPr>
          <w:ilvl w:val="0"/>
          <w:numId w:val="303"/>
        </w:numPr>
        <w:spacing w:after="240"/>
        <w:rPr>
          <w:sz w:val="20"/>
          <w:szCs w:val="20"/>
          <w:lang w:val="en-US"/>
        </w:rPr>
      </w:pPr>
      <w:r w:rsidRPr="007D770B">
        <w:rPr>
          <w:sz w:val="20"/>
          <w:szCs w:val="20"/>
          <w:lang w:val="en-US"/>
        </w:rPr>
        <w:t>information on defaults during the reporting period on principal repayment, interest payment, reserve fund or repayment terms of loans payable;</w:t>
      </w:r>
    </w:p>
    <w:p w14:paraId="1987A924" w14:textId="77777777" w:rsidR="00331FED" w:rsidRPr="007D770B" w:rsidRDefault="00331FED" w:rsidP="00AE698A">
      <w:pPr>
        <w:pStyle w:val="1"/>
        <w:numPr>
          <w:ilvl w:val="0"/>
          <w:numId w:val="303"/>
        </w:numPr>
        <w:spacing w:after="240"/>
        <w:rPr>
          <w:sz w:val="20"/>
          <w:szCs w:val="20"/>
          <w:lang w:val="en-US"/>
        </w:rPr>
      </w:pPr>
      <w:r w:rsidRPr="007D770B">
        <w:rPr>
          <w:sz w:val="20"/>
          <w:szCs w:val="20"/>
          <w:lang w:val="en-US"/>
        </w:rPr>
        <w:t xml:space="preserve">the carrying amount of loans payable but not repaid at the reporting date, and </w:t>
      </w:r>
    </w:p>
    <w:p w14:paraId="047087AC" w14:textId="77777777" w:rsidR="00331FED" w:rsidRPr="007D770B" w:rsidRDefault="00331FED" w:rsidP="00AE698A">
      <w:pPr>
        <w:pStyle w:val="1"/>
        <w:numPr>
          <w:ilvl w:val="0"/>
          <w:numId w:val="303"/>
        </w:numPr>
        <w:spacing w:after="240"/>
        <w:rPr>
          <w:sz w:val="20"/>
          <w:szCs w:val="20"/>
          <w:lang w:val="en-US"/>
        </w:rPr>
      </w:pPr>
      <w:r w:rsidRPr="007D770B">
        <w:rPr>
          <w:sz w:val="20"/>
          <w:szCs w:val="20"/>
          <w:lang w:val="en-US"/>
        </w:rPr>
        <w:t xml:space="preserve">if the default has been cured or the terms of the loans payable have been renegotiated before the financial statements are authorized for issue. </w:t>
      </w:r>
    </w:p>
    <w:p w14:paraId="44AE6CFA" w14:textId="77777777" w:rsidR="00297960" w:rsidRPr="007D770B" w:rsidRDefault="00331FED" w:rsidP="005E70E6">
      <w:pPr>
        <w:pStyle w:val="1"/>
        <w:numPr>
          <w:ilvl w:val="0"/>
          <w:numId w:val="0"/>
        </w:numPr>
        <w:spacing w:after="240"/>
        <w:rPr>
          <w:sz w:val="20"/>
          <w:szCs w:val="20"/>
          <w:lang w:val="en-US"/>
        </w:rPr>
      </w:pPr>
      <w:r w:rsidRPr="007D770B">
        <w:rPr>
          <w:sz w:val="20"/>
          <w:szCs w:val="20"/>
          <w:lang w:val="en-US"/>
        </w:rPr>
        <w:t xml:space="preserve">If there have been breaches of other loan agreements during the reporting period, the Bank discloses the same information if those breaches allowed the lender to require accelerated repayment of the loan (unless the breaches have been cured or the terms of the loan renegotiated on or before the reporting date). </w:t>
      </w:r>
      <w:bookmarkStart w:id="142" w:name="_Toc274130803"/>
      <w:bookmarkStart w:id="143" w:name="_Toc274130908"/>
      <w:bookmarkStart w:id="144" w:name="_Toc249285613"/>
      <w:bookmarkStart w:id="145" w:name="_Toc271032481"/>
      <w:bookmarkEnd w:id="93"/>
      <w:bookmarkEnd w:id="142"/>
      <w:bookmarkEnd w:id="143"/>
    </w:p>
    <w:p w14:paraId="35969EE3" w14:textId="0E3B6B47" w:rsidR="00601EB0" w:rsidRPr="007D770B" w:rsidRDefault="00601EB0">
      <w:pPr>
        <w:spacing w:after="0" w:line="240" w:lineRule="auto"/>
        <w:ind w:left="0"/>
        <w:jc w:val="left"/>
        <w:rPr>
          <w:lang w:val="en-US"/>
        </w:rPr>
        <w:sectPr w:rsidR="00601EB0" w:rsidRPr="007D770B" w:rsidSect="0051528F">
          <w:type w:val="continuous"/>
          <w:pgSz w:w="11906" w:h="16838" w:code="9"/>
          <w:pgMar w:top="1267" w:right="677" w:bottom="562" w:left="1138" w:header="504" w:footer="590" w:gutter="0"/>
          <w:cols w:space="708"/>
          <w:titlePg/>
          <w:docGrid w:linePitch="360"/>
        </w:sectPr>
      </w:pPr>
    </w:p>
    <w:p w14:paraId="47CEAD00" w14:textId="77777777" w:rsidR="00F41B25" w:rsidRPr="007D770B" w:rsidRDefault="00F41B25" w:rsidP="005E70E6">
      <w:pPr>
        <w:pStyle w:val="1"/>
        <w:numPr>
          <w:ilvl w:val="0"/>
          <w:numId w:val="0"/>
        </w:numPr>
        <w:spacing w:after="240"/>
        <w:rPr>
          <w:b/>
          <w:sz w:val="24"/>
          <w:szCs w:val="24"/>
          <w:lang w:val="en-US"/>
        </w:rPr>
        <w:sectPr w:rsidR="00F41B25" w:rsidRPr="007D770B" w:rsidSect="00601EB0">
          <w:type w:val="continuous"/>
          <w:pgSz w:w="11906" w:h="16838" w:code="9"/>
          <w:pgMar w:top="1267" w:right="677" w:bottom="562" w:left="1138" w:header="504" w:footer="590" w:gutter="0"/>
          <w:cols w:space="708"/>
          <w:titlePg/>
          <w:docGrid w:linePitch="360"/>
        </w:sectPr>
      </w:pPr>
    </w:p>
    <w:p w14:paraId="3B889ACB" w14:textId="66A0915F" w:rsidR="009E2B77" w:rsidRPr="007D770B" w:rsidRDefault="009E2B77" w:rsidP="00E34EB1">
      <w:pPr>
        <w:pStyle w:val="2"/>
        <w:rPr>
          <w:rFonts w:ascii="Times New Roman" w:hAnsi="Times New Roman"/>
          <w:lang w:val="en-US"/>
        </w:rPr>
      </w:pPr>
      <w:bookmarkStart w:id="146" w:name="_Toc168502044"/>
      <w:r w:rsidRPr="007D770B">
        <w:rPr>
          <w:rFonts w:ascii="Times New Roman" w:hAnsi="Times New Roman"/>
          <w:lang w:val="en-US"/>
        </w:rPr>
        <w:lastRenderedPageBreak/>
        <w:t>Section 4. Inventories</w:t>
      </w:r>
      <w:bookmarkEnd w:id="144"/>
      <w:r w:rsidRPr="007D770B">
        <w:rPr>
          <w:rFonts w:ascii="Times New Roman" w:hAnsi="Times New Roman"/>
          <w:lang w:val="en-US"/>
        </w:rPr>
        <w:t xml:space="preserve"> (IAS 2)</w:t>
      </w:r>
      <w:bookmarkEnd w:id="145"/>
      <w:bookmarkEnd w:id="146"/>
    </w:p>
    <w:p w14:paraId="02A727A1" w14:textId="1333A28F" w:rsidR="009E2B77" w:rsidRPr="007D770B" w:rsidRDefault="009E2B77" w:rsidP="00E61D21">
      <w:pPr>
        <w:pStyle w:val="3"/>
        <w:rPr>
          <w:lang w:val="en-US"/>
        </w:rPr>
      </w:pPr>
      <w:bookmarkStart w:id="147" w:name="_Toc249285614"/>
      <w:bookmarkStart w:id="148" w:name="_Toc271032482"/>
      <w:bookmarkStart w:id="149" w:name="_Toc168502045"/>
      <w:r w:rsidRPr="007D770B">
        <w:rPr>
          <w:lang w:val="en-US"/>
        </w:rPr>
        <w:t>4.1 General provisions</w:t>
      </w:r>
      <w:bookmarkEnd w:id="147"/>
      <w:bookmarkEnd w:id="148"/>
      <w:bookmarkEnd w:id="149"/>
    </w:p>
    <w:p w14:paraId="61A802B5" w14:textId="6817E60B" w:rsidR="001B5FF7" w:rsidRPr="007D770B" w:rsidRDefault="00EE3CCF" w:rsidP="00F96B17">
      <w:pPr>
        <w:pStyle w:val="27"/>
        <w:spacing w:before="240" w:after="240" w:line="240" w:lineRule="auto"/>
        <w:ind w:left="0"/>
        <w:rPr>
          <w:rFonts w:ascii="Times New Roman" w:hAnsi="Times New Roman"/>
          <w:lang w:val="en-US"/>
        </w:rPr>
      </w:pPr>
      <w:r w:rsidRPr="007D770B">
        <w:rPr>
          <w:rFonts w:ascii="Times New Roman" w:hAnsi="Times New Roman"/>
          <w:lang w:val="en-US"/>
        </w:rPr>
        <w:t xml:space="preserve">The Bank's inventories </w:t>
      </w:r>
      <w:r w:rsidR="001B5FF7" w:rsidRPr="007D770B">
        <w:rPr>
          <w:rFonts w:ascii="Times New Roman" w:hAnsi="Times New Roman"/>
          <w:lang w:val="en-US"/>
        </w:rPr>
        <w:t xml:space="preserve">are assets in the form of materials intended for the use and support of the </w:t>
      </w:r>
      <w:r w:rsidR="00F9744B" w:rsidRPr="007D770B">
        <w:rPr>
          <w:rFonts w:ascii="Times New Roman" w:hAnsi="Times New Roman"/>
          <w:lang w:val="en-US"/>
        </w:rPr>
        <w:t>Bank</w:t>
      </w:r>
      <w:r w:rsidR="001B5FF7" w:rsidRPr="007D770B">
        <w:rPr>
          <w:rFonts w:ascii="Times New Roman" w:hAnsi="Times New Roman"/>
          <w:lang w:val="en-US"/>
        </w:rPr>
        <w:t>'</w:t>
      </w:r>
      <w:r w:rsidR="00F9744B" w:rsidRPr="007D770B">
        <w:rPr>
          <w:rFonts w:ascii="Times New Roman" w:hAnsi="Times New Roman"/>
          <w:lang w:val="en-US"/>
        </w:rPr>
        <w:t xml:space="preserve">s </w:t>
      </w:r>
      <w:r w:rsidR="001B5FF7" w:rsidRPr="007D770B">
        <w:rPr>
          <w:rFonts w:ascii="Times New Roman" w:hAnsi="Times New Roman"/>
          <w:lang w:val="en-US"/>
        </w:rPr>
        <w:t>operations.</w:t>
      </w:r>
    </w:p>
    <w:p w14:paraId="057CD4F1" w14:textId="77777777" w:rsidR="009E2B77" w:rsidRPr="007D770B" w:rsidRDefault="009E2B77" w:rsidP="00F96B17">
      <w:pPr>
        <w:pStyle w:val="27"/>
        <w:spacing w:before="240" w:after="240" w:line="240" w:lineRule="auto"/>
        <w:ind w:left="0"/>
        <w:rPr>
          <w:rFonts w:ascii="Times New Roman" w:hAnsi="Times New Roman"/>
          <w:lang w:val="en-US"/>
        </w:rPr>
      </w:pPr>
      <w:r w:rsidRPr="007D770B">
        <w:rPr>
          <w:rFonts w:ascii="Times New Roman" w:hAnsi="Times New Roman"/>
          <w:lang w:val="en-US"/>
        </w:rPr>
        <w:t xml:space="preserve">Inventories are stated at the lower of cost and net realizable value. Cost includes expenditure incurred in bringing inventories to their present location and condition.  Net realizable value is the selling price in the ordinary course of business less estimated costs of completion and selling expenses. </w:t>
      </w:r>
    </w:p>
    <w:p w14:paraId="2101DD59" w14:textId="77777777" w:rsidR="009E2B77" w:rsidRPr="007D770B" w:rsidRDefault="009E2B77" w:rsidP="00F96B17">
      <w:pPr>
        <w:pStyle w:val="27"/>
        <w:spacing w:before="240" w:after="240" w:line="240" w:lineRule="auto"/>
        <w:ind w:left="0"/>
        <w:rPr>
          <w:rFonts w:ascii="Times New Roman" w:hAnsi="Times New Roman"/>
          <w:lang w:val="en-US"/>
        </w:rPr>
      </w:pPr>
      <w:r w:rsidRPr="007D770B">
        <w:rPr>
          <w:rFonts w:ascii="Times New Roman" w:hAnsi="Times New Roman"/>
          <w:lang w:val="en-US"/>
        </w:rPr>
        <w:t xml:space="preserve">The same costing formula is applied to all inventories of similar nature and purpose. All inventories are valued using the weighted average cost method. </w:t>
      </w:r>
    </w:p>
    <w:p w14:paraId="5F9550DC" w14:textId="5D778BB2" w:rsidR="00246F29" w:rsidRPr="007D770B" w:rsidRDefault="00056AA5" w:rsidP="00056AA5">
      <w:pPr>
        <w:spacing w:after="0" w:line="240" w:lineRule="auto"/>
        <w:ind w:left="0"/>
        <w:rPr>
          <w:rFonts w:ascii="Times New Roman" w:eastAsia="Times New Roman" w:hAnsi="Times New Roman"/>
          <w:lang w:val="en-US"/>
        </w:rPr>
      </w:pPr>
      <w:r w:rsidRPr="007D770B">
        <w:rPr>
          <w:rFonts w:ascii="Times New Roman" w:eastAsia="Times New Roman" w:hAnsi="Times New Roman"/>
          <w:lang w:val="en-US"/>
        </w:rPr>
        <w:t xml:space="preserve">Certain inventories that do not meet the definition of </w:t>
      </w:r>
      <w:r w:rsidR="00802136" w:rsidRPr="007D770B">
        <w:rPr>
          <w:rFonts w:ascii="Times New Roman" w:eastAsia="Times New Roman" w:hAnsi="Times New Roman"/>
          <w:lang w:val="en-US"/>
        </w:rPr>
        <w:t>"</w:t>
      </w:r>
      <w:r w:rsidRPr="007D770B">
        <w:rPr>
          <w:rFonts w:ascii="Times New Roman" w:eastAsia="Times New Roman" w:hAnsi="Times New Roman"/>
          <w:lang w:val="en-US"/>
        </w:rPr>
        <w:t>property</w:t>
      </w:r>
      <w:r w:rsidR="00802136" w:rsidRPr="007D770B">
        <w:rPr>
          <w:rFonts w:ascii="Times New Roman" w:eastAsia="Times New Roman" w:hAnsi="Times New Roman"/>
          <w:lang w:val="en-US"/>
        </w:rPr>
        <w:t>,</w:t>
      </w:r>
      <w:r w:rsidRPr="007D770B">
        <w:rPr>
          <w:rFonts w:ascii="Times New Roman" w:eastAsia="Times New Roman" w:hAnsi="Times New Roman"/>
          <w:lang w:val="en-US"/>
        </w:rPr>
        <w:t xml:space="preserve"> plant and equipment</w:t>
      </w:r>
      <w:r w:rsidR="00802136" w:rsidRPr="007D770B">
        <w:rPr>
          <w:rFonts w:ascii="Times New Roman" w:eastAsia="Times New Roman" w:hAnsi="Times New Roman"/>
          <w:lang w:val="en-US"/>
        </w:rPr>
        <w:t xml:space="preserve">" </w:t>
      </w:r>
      <w:r w:rsidRPr="007D770B">
        <w:rPr>
          <w:rFonts w:ascii="Times New Roman" w:eastAsia="Times New Roman" w:hAnsi="Times New Roman"/>
          <w:lang w:val="en-US"/>
        </w:rPr>
        <w:t>by their useful lives are included in the Bank's List of Tangible Assets to be recorded off-balance sheet</w:t>
      </w:r>
    </w:p>
    <w:p w14:paraId="7E4BE43B" w14:textId="77777777" w:rsidR="002F4791" w:rsidRPr="007D770B" w:rsidRDefault="002F4791" w:rsidP="00056AA5">
      <w:pPr>
        <w:spacing w:after="0" w:line="240" w:lineRule="auto"/>
        <w:ind w:left="0"/>
        <w:rPr>
          <w:rFonts w:ascii="Times New Roman" w:eastAsia="Times New Roman" w:hAnsi="Times New Roman"/>
          <w:lang w:val="en-US"/>
        </w:rPr>
      </w:pPr>
    </w:p>
    <w:p w14:paraId="407FA33F" w14:textId="34CDDC3D" w:rsidR="00056AA5" w:rsidRPr="007D770B" w:rsidRDefault="00056AA5" w:rsidP="00056AA5">
      <w:pPr>
        <w:spacing w:after="0" w:line="240" w:lineRule="auto"/>
        <w:ind w:left="0"/>
        <w:rPr>
          <w:rFonts w:ascii="Times New Roman" w:eastAsia="Times New Roman" w:hAnsi="Times New Roman"/>
          <w:lang w:val="en-US"/>
        </w:rPr>
      </w:pPr>
      <w:r w:rsidRPr="007D770B">
        <w:rPr>
          <w:rFonts w:ascii="Times New Roman" w:eastAsia="Times New Roman" w:hAnsi="Times New Roman"/>
          <w:lang w:val="en-US"/>
        </w:rPr>
        <w:t xml:space="preserve">Property previously used as collateral (pledge) for a bank loan issued by the Bank and transferred into the ownership of the Bank as a result of extrajudicial, judicial realization in accordance with the legislation of the Republic of Kazakhstan for debt repayment </w:t>
      </w:r>
      <w:r w:rsidR="00EE3CCF" w:rsidRPr="007D770B">
        <w:rPr>
          <w:rFonts w:ascii="Times New Roman" w:eastAsia="Times New Roman" w:hAnsi="Times New Roman"/>
          <w:lang w:val="en-US"/>
        </w:rPr>
        <w:t xml:space="preserve">is accounted </w:t>
      </w:r>
      <w:r w:rsidRPr="007D770B">
        <w:rPr>
          <w:rFonts w:ascii="Times New Roman" w:eastAsia="Times New Roman" w:hAnsi="Times New Roman"/>
          <w:lang w:val="en-US"/>
        </w:rPr>
        <w:t>for as inventories.</w:t>
      </w:r>
    </w:p>
    <w:p w14:paraId="7BA66C71" w14:textId="77777777" w:rsidR="00056AA5" w:rsidRPr="007D770B" w:rsidRDefault="00056AA5" w:rsidP="00056AA5">
      <w:pPr>
        <w:spacing w:after="0" w:line="240" w:lineRule="auto"/>
        <w:ind w:left="0"/>
        <w:rPr>
          <w:rFonts w:ascii="Times New Roman" w:eastAsia="Times New Roman" w:hAnsi="Times New Roman"/>
          <w:lang w:val="en-US"/>
        </w:rPr>
      </w:pPr>
    </w:p>
    <w:p w14:paraId="3A9B32F9" w14:textId="7562DD39" w:rsidR="00056AA5" w:rsidRPr="007D770B" w:rsidRDefault="00EE3CCF" w:rsidP="00056AA5">
      <w:pPr>
        <w:pStyle w:val="affff3"/>
        <w:ind w:right="43"/>
        <w:jc w:val="both"/>
        <w:rPr>
          <w:sz w:val="20"/>
          <w:szCs w:val="20"/>
          <w:lang w:val="en-US"/>
        </w:rPr>
      </w:pPr>
      <w:r w:rsidRPr="007D770B">
        <w:rPr>
          <w:sz w:val="20"/>
          <w:szCs w:val="20"/>
          <w:lang w:val="en-US"/>
        </w:rPr>
        <w:t xml:space="preserve">Fuel </w:t>
      </w:r>
      <w:r w:rsidR="00056AA5" w:rsidRPr="007D770B">
        <w:rPr>
          <w:sz w:val="20"/>
          <w:szCs w:val="20"/>
          <w:lang w:val="en-US"/>
        </w:rPr>
        <w:t xml:space="preserve">and </w:t>
      </w:r>
      <w:r w:rsidRPr="007D770B">
        <w:rPr>
          <w:sz w:val="20"/>
          <w:szCs w:val="20"/>
          <w:lang w:val="en-US"/>
        </w:rPr>
        <w:t xml:space="preserve">lubricants </w:t>
      </w:r>
      <w:r w:rsidR="00056AA5" w:rsidRPr="007D770B">
        <w:rPr>
          <w:sz w:val="20"/>
          <w:szCs w:val="20"/>
          <w:lang w:val="en-US"/>
        </w:rPr>
        <w:t xml:space="preserve">are accounted </w:t>
      </w:r>
      <w:r w:rsidRPr="007D770B">
        <w:rPr>
          <w:sz w:val="20"/>
          <w:szCs w:val="20"/>
          <w:lang w:val="en-US"/>
        </w:rPr>
        <w:t xml:space="preserve">for and written off in </w:t>
      </w:r>
      <w:r w:rsidR="00056AA5" w:rsidRPr="007D770B">
        <w:rPr>
          <w:sz w:val="20"/>
          <w:szCs w:val="20"/>
          <w:lang w:val="en-US"/>
        </w:rPr>
        <w:t xml:space="preserve">accordance with </w:t>
      </w:r>
      <w:r w:rsidRPr="007D770B">
        <w:rPr>
          <w:sz w:val="20"/>
          <w:szCs w:val="20"/>
          <w:lang w:val="en-US"/>
        </w:rPr>
        <w:t>the Bank's internal documents</w:t>
      </w:r>
      <w:r w:rsidR="00056AA5" w:rsidRPr="007D770B">
        <w:rPr>
          <w:sz w:val="20"/>
          <w:szCs w:val="20"/>
          <w:lang w:val="en-US"/>
        </w:rPr>
        <w:t>.</w:t>
      </w:r>
    </w:p>
    <w:p w14:paraId="6EFF411D" w14:textId="77777777" w:rsidR="00246F29" w:rsidRPr="007D770B" w:rsidRDefault="00246F29" w:rsidP="00246F29">
      <w:pPr>
        <w:pStyle w:val="affff3"/>
        <w:ind w:right="45"/>
        <w:jc w:val="both"/>
        <w:rPr>
          <w:sz w:val="20"/>
          <w:szCs w:val="20"/>
          <w:lang w:val="en-US"/>
        </w:rPr>
      </w:pPr>
    </w:p>
    <w:p w14:paraId="5171DA63" w14:textId="7FE0A8E6" w:rsidR="00246F29" w:rsidRPr="007D770B" w:rsidRDefault="00246F29" w:rsidP="00246F29">
      <w:pPr>
        <w:pStyle w:val="affff3"/>
        <w:ind w:right="45"/>
        <w:jc w:val="both"/>
        <w:rPr>
          <w:sz w:val="20"/>
          <w:szCs w:val="20"/>
          <w:lang w:val="en-US"/>
        </w:rPr>
      </w:pPr>
      <w:r w:rsidRPr="007D770B">
        <w:rPr>
          <w:sz w:val="20"/>
          <w:szCs w:val="20"/>
          <w:lang w:val="en-US"/>
        </w:rPr>
        <w:t xml:space="preserve">Stocks are released from the warehouse on the basis of a </w:t>
      </w:r>
      <w:r w:rsidR="00BD3222" w:rsidRPr="007D770B">
        <w:rPr>
          <w:sz w:val="20"/>
          <w:szCs w:val="20"/>
          <w:lang w:val="en-US"/>
        </w:rPr>
        <w:t>stock</w:t>
      </w:r>
      <w:r w:rsidRPr="007D770B">
        <w:rPr>
          <w:sz w:val="20"/>
          <w:szCs w:val="20"/>
          <w:lang w:val="en-US"/>
        </w:rPr>
        <w:t xml:space="preserve"> release request and/or order in the following cases: </w:t>
      </w:r>
    </w:p>
    <w:p w14:paraId="17D3F4B0" w14:textId="77777777" w:rsidR="00246F29" w:rsidRPr="007D770B" w:rsidRDefault="00246F29" w:rsidP="00246F29">
      <w:pPr>
        <w:pStyle w:val="affff3"/>
        <w:ind w:right="45" w:firstLine="720"/>
        <w:jc w:val="both"/>
        <w:rPr>
          <w:sz w:val="20"/>
          <w:szCs w:val="20"/>
          <w:lang w:val="en-US"/>
        </w:rPr>
      </w:pPr>
      <w:r w:rsidRPr="007D770B">
        <w:rPr>
          <w:sz w:val="20"/>
          <w:szCs w:val="20"/>
          <w:lang w:val="en-US"/>
        </w:rPr>
        <w:t>- into operation to meet current needs;</w:t>
      </w:r>
    </w:p>
    <w:p w14:paraId="395ECCEB" w14:textId="77777777" w:rsidR="00246F29" w:rsidRPr="007D770B" w:rsidRDefault="00246F29" w:rsidP="00246F29">
      <w:pPr>
        <w:pStyle w:val="affff3"/>
        <w:ind w:right="45" w:firstLine="720"/>
        <w:jc w:val="both"/>
        <w:rPr>
          <w:sz w:val="20"/>
          <w:szCs w:val="20"/>
          <w:lang w:val="en-US"/>
        </w:rPr>
      </w:pPr>
      <w:r w:rsidRPr="007D770B">
        <w:rPr>
          <w:sz w:val="20"/>
          <w:szCs w:val="20"/>
          <w:lang w:val="en-US"/>
        </w:rPr>
        <w:t>- on account for subsequent transfer into operation (after installation, delivery by the employee to the place of destination);</w:t>
      </w:r>
    </w:p>
    <w:p w14:paraId="04E82A11" w14:textId="77777777" w:rsidR="00246F29" w:rsidRPr="007D770B" w:rsidRDefault="00246F29" w:rsidP="00246F29">
      <w:pPr>
        <w:pStyle w:val="affff3"/>
        <w:ind w:right="45" w:firstLine="720"/>
        <w:jc w:val="both"/>
        <w:rPr>
          <w:sz w:val="20"/>
          <w:szCs w:val="20"/>
          <w:lang w:val="en-US"/>
        </w:rPr>
      </w:pPr>
      <w:r w:rsidRPr="007D770B">
        <w:rPr>
          <w:sz w:val="20"/>
          <w:szCs w:val="20"/>
          <w:lang w:val="en-US"/>
        </w:rPr>
        <w:t xml:space="preserve">- when </w:t>
      </w:r>
      <w:r w:rsidR="002F4791" w:rsidRPr="007D770B">
        <w:rPr>
          <w:sz w:val="20"/>
          <w:szCs w:val="20"/>
          <w:lang w:val="en-US"/>
        </w:rPr>
        <w:t xml:space="preserve">stock is </w:t>
      </w:r>
      <w:r w:rsidRPr="007D770B">
        <w:rPr>
          <w:sz w:val="20"/>
          <w:szCs w:val="20"/>
          <w:lang w:val="en-US"/>
        </w:rPr>
        <w:t xml:space="preserve">released to the Bank's branches on a centralized basis. </w:t>
      </w:r>
    </w:p>
    <w:p w14:paraId="59A287B8" w14:textId="77777777" w:rsidR="008A597B" w:rsidRPr="007D770B" w:rsidRDefault="008A597B" w:rsidP="00246F29">
      <w:pPr>
        <w:pStyle w:val="affff3"/>
        <w:ind w:right="45" w:firstLine="720"/>
        <w:jc w:val="both"/>
        <w:rPr>
          <w:sz w:val="20"/>
          <w:szCs w:val="20"/>
          <w:lang w:val="en-US"/>
        </w:rPr>
      </w:pPr>
    </w:p>
    <w:p w14:paraId="4B3D8ADD" w14:textId="77777777" w:rsidR="00246F29" w:rsidRPr="007D770B" w:rsidRDefault="00246F29" w:rsidP="008A597B">
      <w:pPr>
        <w:pStyle w:val="affff3"/>
        <w:ind w:right="45"/>
        <w:jc w:val="both"/>
        <w:rPr>
          <w:sz w:val="20"/>
          <w:szCs w:val="20"/>
          <w:lang w:val="en-US"/>
        </w:rPr>
      </w:pPr>
      <w:r w:rsidRPr="007D770B">
        <w:rPr>
          <w:sz w:val="20"/>
          <w:szCs w:val="20"/>
          <w:lang w:val="en-US"/>
        </w:rPr>
        <w:t xml:space="preserve">The Bank's order defines materially responsible persons who are authorized to authorize the release of materials from the warehouse. </w:t>
      </w:r>
    </w:p>
    <w:p w14:paraId="13052524" w14:textId="77777777" w:rsidR="008A597B" w:rsidRPr="007D770B" w:rsidRDefault="008A597B" w:rsidP="00246F29">
      <w:pPr>
        <w:pStyle w:val="affff3"/>
        <w:ind w:right="45" w:firstLine="720"/>
        <w:jc w:val="both"/>
        <w:rPr>
          <w:sz w:val="20"/>
          <w:szCs w:val="20"/>
          <w:lang w:val="en-US"/>
        </w:rPr>
      </w:pPr>
    </w:p>
    <w:p w14:paraId="476E9C49" w14:textId="1D76CFAF" w:rsidR="009E2B77" w:rsidRPr="007D770B" w:rsidRDefault="009E2B77" w:rsidP="00E61D21">
      <w:pPr>
        <w:pStyle w:val="3"/>
        <w:rPr>
          <w:lang w:val="en-US"/>
        </w:rPr>
      </w:pPr>
      <w:bookmarkStart w:id="150" w:name="_Toc249285615"/>
      <w:bookmarkStart w:id="151" w:name="_Toc271032483"/>
      <w:bookmarkStart w:id="152" w:name="_Toc168502046"/>
      <w:r w:rsidRPr="007D770B">
        <w:rPr>
          <w:lang w:val="en-US"/>
        </w:rPr>
        <w:t>4.2 Definitions</w:t>
      </w:r>
      <w:bookmarkEnd w:id="150"/>
      <w:bookmarkEnd w:id="151"/>
      <w:bookmarkEnd w:id="152"/>
    </w:p>
    <w:p w14:paraId="796E7DEC" w14:textId="2DEE72E9" w:rsidR="009E2B77" w:rsidRPr="007D770B" w:rsidRDefault="009E2B77" w:rsidP="00834C0F">
      <w:pPr>
        <w:spacing w:before="240" w:line="240" w:lineRule="auto"/>
        <w:ind w:left="0"/>
        <w:rPr>
          <w:rFonts w:ascii="Times New Roman" w:hAnsi="Times New Roman"/>
          <w:snapToGrid w:val="0"/>
          <w:lang w:val="en-US"/>
        </w:rPr>
      </w:pPr>
      <w:r w:rsidRPr="007D770B">
        <w:rPr>
          <w:rFonts w:ascii="Times New Roman" w:hAnsi="Times New Roman"/>
          <w:b/>
          <w:snapToGrid w:val="0"/>
          <w:lang w:val="en-US"/>
        </w:rPr>
        <w:t xml:space="preserve">Inventories </w:t>
      </w:r>
      <w:r w:rsidR="00834C0F" w:rsidRPr="007D770B">
        <w:rPr>
          <w:rFonts w:ascii="Times New Roman" w:hAnsi="Times New Roman"/>
          <w:snapToGrid w:val="0"/>
          <w:lang w:val="en-US"/>
        </w:rPr>
        <w:t xml:space="preserve">are assets in the form of materials intended for use and support of the </w:t>
      </w:r>
      <w:r w:rsidR="00F9744B" w:rsidRPr="007D770B">
        <w:rPr>
          <w:rFonts w:ascii="Times New Roman" w:hAnsi="Times New Roman"/>
          <w:snapToGrid w:val="0"/>
          <w:lang w:val="en-US"/>
        </w:rPr>
        <w:t xml:space="preserve">Bank's </w:t>
      </w:r>
      <w:r w:rsidR="00834C0F" w:rsidRPr="007D770B">
        <w:rPr>
          <w:rFonts w:ascii="Times New Roman" w:hAnsi="Times New Roman"/>
          <w:snapToGrid w:val="0"/>
          <w:lang w:val="en-US"/>
        </w:rPr>
        <w:t>operations.</w:t>
      </w:r>
    </w:p>
    <w:p w14:paraId="1EE1CC09" w14:textId="77777777" w:rsidR="009E2B77" w:rsidRPr="007D770B" w:rsidRDefault="009E2B77" w:rsidP="00F96B17">
      <w:pPr>
        <w:spacing w:before="240" w:line="240" w:lineRule="auto"/>
        <w:ind w:left="0"/>
        <w:rPr>
          <w:rFonts w:ascii="Times New Roman" w:hAnsi="Times New Roman"/>
          <w:lang w:val="en-US"/>
        </w:rPr>
      </w:pPr>
      <w:r w:rsidRPr="007D770B">
        <w:rPr>
          <w:rFonts w:ascii="Times New Roman" w:hAnsi="Times New Roman"/>
          <w:b/>
          <w:lang w:val="en-US"/>
        </w:rPr>
        <w:t xml:space="preserve">Fair value </w:t>
      </w:r>
      <w:r w:rsidRPr="007D770B">
        <w:rPr>
          <w:rFonts w:ascii="Times New Roman" w:hAnsi="Times New Roman"/>
          <w:lang w:val="en-US"/>
        </w:rPr>
        <w:t>is the price that would be received to sell an asset or paid to transfer a liability in an orderly transaction between market participants at the measurement date.</w:t>
      </w:r>
    </w:p>
    <w:p w14:paraId="575D2E24" w14:textId="77777777" w:rsidR="009E2B77" w:rsidRPr="007D770B" w:rsidRDefault="009E2B77" w:rsidP="00F96B17">
      <w:pPr>
        <w:spacing w:before="240" w:line="240" w:lineRule="auto"/>
        <w:ind w:left="0"/>
        <w:rPr>
          <w:rFonts w:ascii="Times New Roman" w:hAnsi="Times New Roman"/>
          <w:lang w:val="en-US"/>
        </w:rPr>
      </w:pPr>
      <w:r w:rsidRPr="007D770B">
        <w:rPr>
          <w:rFonts w:ascii="Times New Roman" w:hAnsi="Times New Roman"/>
          <w:b/>
          <w:lang w:val="en-US"/>
        </w:rPr>
        <w:t xml:space="preserve">Net realizable </w:t>
      </w:r>
      <w:r w:rsidRPr="007D770B">
        <w:rPr>
          <w:rFonts w:ascii="Times New Roman" w:hAnsi="Times New Roman"/>
          <w:lang w:val="en-US"/>
        </w:rPr>
        <w:t>value is the estimated selling price in the ordinary course of business less the estimated costs of completion and the estimated costs necessary to make the sale.</w:t>
      </w:r>
    </w:p>
    <w:p w14:paraId="2CBFEFC0" w14:textId="77777777" w:rsidR="009E2B77" w:rsidRPr="007D770B" w:rsidRDefault="009E2B77" w:rsidP="00F96B17">
      <w:pPr>
        <w:spacing w:before="240" w:line="240" w:lineRule="auto"/>
        <w:ind w:left="0"/>
        <w:rPr>
          <w:rFonts w:ascii="Times New Roman" w:hAnsi="Times New Roman"/>
          <w:lang w:val="en-US"/>
        </w:rPr>
      </w:pPr>
      <w:r w:rsidRPr="007D770B">
        <w:rPr>
          <w:rFonts w:ascii="Times New Roman" w:hAnsi="Times New Roman"/>
          <w:lang w:val="en-US"/>
        </w:rPr>
        <w:t>The same costing formula is applied to all inventories of similar nature and purpose. All inventories are valued using the weighted average cost method. The weighted average cost of inventories in use is calculated by determining the average cost of similar items at the beginning of the reporting period and those acquired or produced during the period.</w:t>
      </w:r>
    </w:p>
    <w:p w14:paraId="5A5D55F7" w14:textId="4A65967C" w:rsidR="009E2B77" w:rsidRPr="007D770B" w:rsidRDefault="009E2B77" w:rsidP="00E61D21">
      <w:pPr>
        <w:pStyle w:val="3"/>
        <w:rPr>
          <w:lang w:val="en-US"/>
        </w:rPr>
      </w:pPr>
      <w:bookmarkStart w:id="153" w:name="_Toc249285616"/>
      <w:bookmarkStart w:id="154" w:name="_Toc271032484"/>
      <w:bookmarkStart w:id="155" w:name="_Toc168502047"/>
      <w:r w:rsidRPr="007D770B">
        <w:rPr>
          <w:lang w:val="en-US"/>
        </w:rPr>
        <w:t xml:space="preserve">4.3 Classification </w:t>
      </w:r>
      <w:bookmarkEnd w:id="153"/>
      <w:bookmarkEnd w:id="154"/>
      <w:bookmarkEnd w:id="155"/>
    </w:p>
    <w:p w14:paraId="49B7CDEE" w14:textId="77777777" w:rsidR="009E2B77" w:rsidRPr="007D770B" w:rsidRDefault="00E019CF" w:rsidP="00F96B17">
      <w:pPr>
        <w:pStyle w:val="37"/>
        <w:spacing w:before="240" w:after="240" w:line="240" w:lineRule="auto"/>
        <w:ind w:left="0"/>
        <w:rPr>
          <w:rFonts w:ascii="Times New Roman" w:hAnsi="Times New Roman"/>
          <w:sz w:val="20"/>
          <w:szCs w:val="20"/>
          <w:lang w:val="en-US"/>
        </w:rPr>
      </w:pPr>
      <w:r w:rsidRPr="007D770B">
        <w:rPr>
          <w:rFonts w:ascii="Times New Roman" w:hAnsi="Times New Roman"/>
          <w:sz w:val="20"/>
          <w:szCs w:val="20"/>
          <w:lang w:val="en-US"/>
        </w:rPr>
        <w:t xml:space="preserve">Inventories </w:t>
      </w:r>
      <w:r w:rsidR="008327D1" w:rsidRPr="007D770B">
        <w:rPr>
          <w:rFonts w:ascii="Times New Roman" w:hAnsi="Times New Roman"/>
          <w:sz w:val="20"/>
          <w:szCs w:val="20"/>
          <w:lang w:val="en-US"/>
        </w:rPr>
        <w:t xml:space="preserve">are classified as </w:t>
      </w:r>
      <w:r w:rsidR="00C80138" w:rsidRPr="007D770B">
        <w:rPr>
          <w:rFonts w:ascii="Times New Roman" w:hAnsi="Times New Roman"/>
          <w:sz w:val="20"/>
          <w:szCs w:val="20"/>
          <w:lang w:val="en-US"/>
        </w:rPr>
        <w:t xml:space="preserve">other </w:t>
      </w:r>
      <w:r w:rsidR="008327D1" w:rsidRPr="007D770B">
        <w:rPr>
          <w:rFonts w:ascii="Times New Roman" w:hAnsi="Times New Roman"/>
          <w:sz w:val="20"/>
          <w:szCs w:val="20"/>
          <w:lang w:val="en-US"/>
        </w:rPr>
        <w:t>assets</w:t>
      </w:r>
      <w:r w:rsidRPr="007D770B">
        <w:rPr>
          <w:rFonts w:ascii="Times New Roman" w:hAnsi="Times New Roman"/>
          <w:sz w:val="20"/>
          <w:szCs w:val="20"/>
          <w:lang w:val="en-US"/>
        </w:rPr>
        <w:t>.</w:t>
      </w:r>
    </w:p>
    <w:p w14:paraId="2B63FE33" w14:textId="1EC89160" w:rsidR="009E2B77" w:rsidRPr="007D770B" w:rsidRDefault="009E2B77" w:rsidP="00E61D21">
      <w:pPr>
        <w:pStyle w:val="3"/>
        <w:rPr>
          <w:lang w:val="en-US"/>
        </w:rPr>
      </w:pPr>
      <w:bookmarkStart w:id="156" w:name="_Toc249285617"/>
      <w:bookmarkStart w:id="157" w:name="_Toc271032485"/>
      <w:bookmarkStart w:id="158" w:name="_Toc168502048"/>
      <w:r w:rsidRPr="007D770B">
        <w:rPr>
          <w:lang w:val="en-US"/>
        </w:rPr>
        <w:t>4.4 Accounting policies</w:t>
      </w:r>
      <w:bookmarkEnd w:id="156"/>
      <w:bookmarkEnd w:id="157"/>
      <w:bookmarkEnd w:id="158"/>
    </w:p>
    <w:p w14:paraId="429E4F64" w14:textId="77777777" w:rsidR="00706B0F" w:rsidRPr="007D770B" w:rsidRDefault="009E2B77" w:rsidP="00F96B17">
      <w:pPr>
        <w:pStyle w:val="afffc"/>
        <w:spacing w:before="240" w:beforeAutospacing="0" w:after="240" w:afterAutospacing="0"/>
        <w:jc w:val="both"/>
        <w:rPr>
          <w:rFonts w:ascii="Times New Roman" w:hAnsi="Times New Roman"/>
          <w:color w:val="auto"/>
          <w:sz w:val="20"/>
          <w:szCs w:val="20"/>
        </w:rPr>
        <w:sectPr w:rsidR="00706B0F" w:rsidRPr="007D770B" w:rsidSect="00F41B25">
          <w:headerReference w:type="first" r:id="rId37"/>
          <w:pgSz w:w="11906" w:h="16838" w:code="9"/>
          <w:pgMar w:top="1267" w:right="677" w:bottom="562" w:left="1138" w:header="504" w:footer="590" w:gutter="0"/>
          <w:cols w:space="708"/>
          <w:titlePg/>
          <w:docGrid w:linePitch="360"/>
        </w:sectPr>
      </w:pPr>
      <w:r w:rsidRPr="007D770B">
        <w:rPr>
          <w:rFonts w:ascii="Times New Roman" w:hAnsi="Times New Roman"/>
          <w:color w:val="auto"/>
          <w:sz w:val="20"/>
          <w:szCs w:val="20"/>
        </w:rPr>
        <w:t xml:space="preserve">Inventories are recognized as an asset only when the recognition criteria are met (i.e. when it is probable that future economic benefits associated with the asset will flow to the Bank and the actual costs of acquisition or production of the asset can be measured). The </w:t>
      </w:r>
      <w:r w:rsidR="00F9744B" w:rsidRPr="007D770B">
        <w:rPr>
          <w:rFonts w:ascii="Times New Roman" w:hAnsi="Times New Roman"/>
          <w:color w:val="auto"/>
          <w:sz w:val="20"/>
          <w:szCs w:val="20"/>
        </w:rPr>
        <w:t xml:space="preserve">Bank </w:t>
      </w:r>
      <w:r w:rsidRPr="007D770B">
        <w:rPr>
          <w:rFonts w:ascii="Times New Roman" w:hAnsi="Times New Roman"/>
          <w:color w:val="auto"/>
          <w:sz w:val="20"/>
          <w:szCs w:val="20"/>
        </w:rPr>
        <w:t>measures inventories at the lower of cost and net realizable value</w:t>
      </w:r>
    </w:p>
    <w:p w14:paraId="62183E04" w14:textId="77777777" w:rsidR="009E2B77" w:rsidRPr="007D770B" w:rsidRDefault="009E2B77" w:rsidP="00F96B17">
      <w:pPr>
        <w:pStyle w:val="afffc"/>
        <w:spacing w:before="240" w:beforeAutospacing="0" w:after="240" w:afterAutospacing="0"/>
        <w:jc w:val="both"/>
        <w:rPr>
          <w:rFonts w:ascii="Times New Roman" w:hAnsi="Times New Roman"/>
          <w:color w:val="auto"/>
          <w:sz w:val="20"/>
          <w:szCs w:val="20"/>
        </w:rPr>
      </w:pPr>
      <w:r w:rsidRPr="007D770B">
        <w:rPr>
          <w:rFonts w:ascii="Times New Roman" w:hAnsi="Times New Roman"/>
          <w:color w:val="auto"/>
          <w:sz w:val="20"/>
          <w:szCs w:val="20"/>
        </w:rPr>
        <w:t>The cost of inventories includes all costs of acquisition, conversion costs and other costs incurred in bringing the inventories to their present condition and location.</w:t>
      </w:r>
    </w:p>
    <w:p w14:paraId="57101889" w14:textId="77777777" w:rsidR="009E2B77" w:rsidRPr="007D770B" w:rsidRDefault="009E2B77" w:rsidP="00F96B17">
      <w:pPr>
        <w:pStyle w:val="afffc"/>
        <w:spacing w:before="240" w:beforeAutospacing="0" w:after="240" w:afterAutospacing="0"/>
        <w:jc w:val="both"/>
        <w:rPr>
          <w:rFonts w:ascii="Times New Roman" w:hAnsi="Times New Roman"/>
          <w:color w:val="auto"/>
          <w:sz w:val="20"/>
          <w:szCs w:val="20"/>
        </w:rPr>
      </w:pPr>
      <w:r w:rsidRPr="007D770B">
        <w:rPr>
          <w:rFonts w:ascii="Times New Roman" w:hAnsi="Times New Roman"/>
          <w:color w:val="auto"/>
          <w:sz w:val="20"/>
          <w:szCs w:val="20"/>
        </w:rPr>
        <w:t>Acquisition costs of inventories include purchase price, import duties, excise and other non-refundable taxes, transportation, freight forwarding and other costs directly attributable to the acquisition of finished goods, materials and services. Trade discounts, returns and other similar items received are deducted in determining the cost of acquisition.</w:t>
      </w:r>
    </w:p>
    <w:p w14:paraId="1F8A2DFE" w14:textId="77777777" w:rsidR="009E2B77" w:rsidRPr="007D770B" w:rsidRDefault="009E2B77" w:rsidP="00F96B17">
      <w:pPr>
        <w:pStyle w:val="afffc"/>
        <w:spacing w:before="240" w:beforeAutospacing="0" w:after="240" w:afterAutospacing="0"/>
        <w:jc w:val="both"/>
        <w:rPr>
          <w:rFonts w:ascii="Times New Roman" w:hAnsi="Times New Roman"/>
          <w:color w:val="auto"/>
          <w:sz w:val="20"/>
          <w:szCs w:val="20"/>
        </w:rPr>
      </w:pPr>
      <w:r w:rsidRPr="007D770B">
        <w:rPr>
          <w:rFonts w:ascii="Times New Roman" w:hAnsi="Times New Roman"/>
          <w:color w:val="auto"/>
          <w:sz w:val="20"/>
          <w:szCs w:val="20"/>
        </w:rPr>
        <w:lastRenderedPageBreak/>
        <w:t xml:space="preserve">If the actual cost of an inventory item exceeds its net realizable value, a provision is made </w:t>
      </w:r>
      <w:r w:rsidRPr="007D770B">
        <w:rPr>
          <w:rFonts w:ascii="Times New Roman" w:hAnsi="Times New Roman"/>
          <w:color w:val="auto"/>
          <w:spacing w:val="-2"/>
          <w:sz w:val="20"/>
          <w:szCs w:val="20"/>
        </w:rPr>
        <w:t xml:space="preserve">at the end of the reporting period </w:t>
      </w:r>
      <w:r w:rsidRPr="007D770B">
        <w:rPr>
          <w:rFonts w:ascii="Times New Roman" w:hAnsi="Times New Roman"/>
          <w:color w:val="auto"/>
          <w:sz w:val="20"/>
          <w:szCs w:val="20"/>
        </w:rPr>
        <w:t>to write down the respective inventory item to its net realizable value.</w:t>
      </w:r>
    </w:p>
    <w:p w14:paraId="1313242C" w14:textId="77777777" w:rsidR="009E2B77" w:rsidRPr="007D770B" w:rsidRDefault="009E2B77" w:rsidP="00F96B17">
      <w:pPr>
        <w:pStyle w:val="afffc"/>
        <w:spacing w:before="240" w:beforeAutospacing="0" w:after="240" w:afterAutospacing="0"/>
        <w:jc w:val="both"/>
        <w:rPr>
          <w:rFonts w:ascii="Times New Roman" w:hAnsi="Times New Roman"/>
          <w:color w:val="auto"/>
          <w:sz w:val="20"/>
          <w:szCs w:val="20"/>
        </w:rPr>
      </w:pPr>
      <w:r w:rsidRPr="007D770B">
        <w:rPr>
          <w:rFonts w:ascii="Times New Roman" w:hAnsi="Times New Roman"/>
          <w:color w:val="auto"/>
          <w:sz w:val="20"/>
          <w:szCs w:val="20"/>
        </w:rPr>
        <w:t xml:space="preserve">If the </w:t>
      </w:r>
      <w:r w:rsidR="00F9744B" w:rsidRPr="007D770B">
        <w:rPr>
          <w:rFonts w:ascii="Times New Roman" w:hAnsi="Times New Roman"/>
          <w:color w:val="auto"/>
          <w:sz w:val="20"/>
          <w:szCs w:val="20"/>
        </w:rPr>
        <w:t xml:space="preserve">Bank </w:t>
      </w:r>
      <w:r w:rsidRPr="007D770B">
        <w:rPr>
          <w:rFonts w:ascii="Times New Roman" w:hAnsi="Times New Roman"/>
          <w:color w:val="auto"/>
          <w:sz w:val="20"/>
          <w:szCs w:val="20"/>
        </w:rPr>
        <w:t>incurred costs to acquire inventories but such inventories cannot be used or sold (for example, inventories that have lost their consumer properties, inventories disposed of as a result of theft and embezzlement for which the perpetrators have not been identified), the costs incurred should be reported as an expense depending on the intended use of the inventories.</w:t>
      </w:r>
    </w:p>
    <w:p w14:paraId="605F569E" w14:textId="77777777" w:rsidR="009E2B77" w:rsidRPr="007D770B" w:rsidRDefault="009E2B77" w:rsidP="00F96B17">
      <w:pPr>
        <w:spacing w:before="240" w:line="240" w:lineRule="auto"/>
        <w:ind w:left="0"/>
        <w:rPr>
          <w:rFonts w:ascii="Times New Roman" w:hAnsi="Times New Roman"/>
          <w:b/>
          <w:snapToGrid w:val="0"/>
          <w:lang w:val="en-US"/>
        </w:rPr>
      </w:pPr>
      <w:r w:rsidRPr="007D770B">
        <w:rPr>
          <w:rFonts w:ascii="Times New Roman" w:hAnsi="Times New Roman"/>
          <w:b/>
          <w:snapToGrid w:val="0"/>
          <w:lang w:val="en-US"/>
        </w:rPr>
        <w:t>Accounting for receipt of inventories</w:t>
      </w:r>
    </w:p>
    <w:p w14:paraId="448AD2CD" w14:textId="77777777" w:rsidR="009E2B77" w:rsidRPr="007D770B" w:rsidRDefault="009E2B77" w:rsidP="00F96B17">
      <w:pPr>
        <w:spacing w:before="240" w:line="240" w:lineRule="auto"/>
        <w:ind w:left="0"/>
        <w:rPr>
          <w:rFonts w:ascii="Times New Roman" w:hAnsi="Times New Roman"/>
          <w:b/>
          <w:snapToGrid w:val="0"/>
          <w:lang w:val="en-US"/>
        </w:rPr>
      </w:pPr>
      <w:r w:rsidRPr="007D770B">
        <w:rPr>
          <w:rFonts w:ascii="Times New Roman" w:hAnsi="Times New Roman"/>
          <w:b/>
          <w:snapToGrid w:val="0"/>
          <w:lang w:val="en-US"/>
        </w:rPr>
        <w:t>Peculiarities of accounting for inventories acquired on a reimbursable basis</w:t>
      </w:r>
    </w:p>
    <w:p w14:paraId="1CC5CF6D" w14:textId="77777777" w:rsidR="009E2B77" w:rsidRPr="007D770B" w:rsidRDefault="009E2B77" w:rsidP="00F96B17">
      <w:pPr>
        <w:spacing w:before="240" w:line="240" w:lineRule="auto"/>
        <w:ind w:left="0"/>
        <w:rPr>
          <w:rFonts w:ascii="Times New Roman" w:hAnsi="Times New Roman"/>
          <w:snapToGrid w:val="0"/>
          <w:lang w:val="en-US"/>
        </w:rPr>
      </w:pPr>
      <w:r w:rsidRPr="007D770B">
        <w:rPr>
          <w:rFonts w:ascii="Times New Roman" w:hAnsi="Times New Roman"/>
          <w:snapToGrid w:val="0"/>
          <w:lang w:val="en-US"/>
        </w:rPr>
        <w:t>When inventories are acquired on a reimbursable basis, the actual costs of inventory acquisition include:</w:t>
      </w:r>
    </w:p>
    <w:p w14:paraId="6BB350FA" w14:textId="77777777" w:rsidR="009E2B77" w:rsidRPr="007D770B" w:rsidRDefault="009E2B77" w:rsidP="00AE698A">
      <w:pPr>
        <w:numPr>
          <w:ilvl w:val="0"/>
          <w:numId w:val="218"/>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amounts payable under the contract to the supplier (net of discounts);</w:t>
      </w:r>
    </w:p>
    <w:p w14:paraId="5936727E" w14:textId="77777777" w:rsidR="009E2B77" w:rsidRPr="007D770B" w:rsidRDefault="009E2B77" w:rsidP="00AE698A">
      <w:pPr>
        <w:numPr>
          <w:ilvl w:val="0"/>
          <w:numId w:val="218"/>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amounts paid to companies for information and consulting services if directly related to the acquisition of inventories;</w:t>
      </w:r>
    </w:p>
    <w:p w14:paraId="18D3265D" w14:textId="77777777" w:rsidR="009E2B77" w:rsidRPr="002D4EA3" w:rsidRDefault="009E2B77" w:rsidP="00AE698A">
      <w:pPr>
        <w:numPr>
          <w:ilvl w:val="0"/>
          <w:numId w:val="218"/>
        </w:numPr>
        <w:autoSpaceDE w:val="0"/>
        <w:autoSpaceDN w:val="0"/>
        <w:adjustRightInd w:val="0"/>
        <w:spacing w:before="240" w:line="240" w:lineRule="auto"/>
        <w:rPr>
          <w:rFonts w:ascii="Times New Roman" w:hAnsi="Times New Roman"/>
        </w:rPr>
      </w:pPr>
      <w:r w:rsidRPr="002D4EA3">
        <w:rPr>
          <w:rFonts w:ascii="Times New Roman" w:hAnsi="Times New Roman"/>
        </w:rPr>
        <w:t>customs duties;</w:t>
      </w:r>
    </w:p>
    <w:p w14:paraId="77738869" w14:textId="77777777" w:rsidR="009E2B77" w:rsidRPr="007D770B" w:rsidRDefault="009E2B77" w:rsidP="00AE698A">
      <w:pPr>
        <w:numPr>
          <w:ilvl w:val="0"/>
          <w:numId w:val="218"/>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non-refundable taxes paid in connection with the acquisition of a unit of inventory;</w:t>
      </w:r>
    </w:p>
    <w:p w14:paraId="2645210D" w14:textId="77777777" w:rsidR="009E2B77" w:rsidRPr="007D770B" w:rsidRDefault="009E2B77" w:rsidP="00AE698A">
      <w:pPr>
        <w:numPr>
          <w:ilvl w:val="0"/>
          <w:numId w:val="218"/>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fees paid to the intermediary organization through which inventory is acquired;</w:t>
      </w:r>
    </w:p>
    <w:p w14:paraId="4511C1C5" w14:textId="77777777" w:rsidR="009E2B77" w:rsidRPr="007D770B" w:rsidRDefault="009E2B77" w:rsidP="00AE698A">
      <w:pPr>
        <w:numPr>
          <w:ilvl w:val="0"/>
          <w:numId w:val="218"/>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costs of transportation services for delivery of inventories to the place of their use;</w:t>
      </w:r>
    </w:p>
    <w:p w14:paraId="5543786F" w14:textId="77777777" w:rsidR="009E2B77" w:rsidRPr="007D770B" w:rsidRDefault="009E2B77" w:rsidP="00AE698A">
      <w:pPr>
        <w:numPr>
          <w:ilvl w:val="0"/>
          <w:numId w:val="218"/>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the cost of bringing inventories to a condition in which they are suitable for their intended use;</w:t>
      </w:r>
    </w:p>
    <w:p w14:paraId="18701A4F" w14:textId="77777777" w:rsidR="009E2B77" w:rsidRPr="007D770B" w:rsidRDefault="009E2B77" w:rsidP="00AE698A">
      <w:pPr>
        <w:numPr>
          <w:ilvl w:val="0"/>
          <w:numId w:val="218"/>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other costs directly related to the acquisition of inventories.</w:t>
      </w:r>
    </w:p>
    <w:p w14:paraId="1FAE1654" w14:textId="77777777" w:rsidR="009E2B77" w:rsidRPr="007D770B" w:rsidRDefault="009E2B77" w:rsidP="00F96B17">
      <w:pPr>
        <w:tabs>
          <w:tab w:val="num" w:pos="535"/>
        </w:tabs>
        <w:spacing w:before="240" w:line="240" w:lineRule="auto"/>
        <w:ind w:left="0"/>
        <w:rPr>
          <w:rFonts w:ascii="Times New Roman" w:hAnsi="Times New Roman"/>
          <w:spacing w:val="-2"/>
          <w:lang w:val="en-US"/>
        </w:rPr>
      </w:pPr>
      <w:r w:rsidRPr="007D770B">
        <w:rPr>
          <w:rFonts w:ascii="Times New Roman" w:hAnsi="Times New Roman"/>
          <w:spacing w:val="-2"/>
          <w:lang w:val="en-US"/>
        </w:rPr>
        <w:t>On acquisition of inventories whose cost is determined in foreign currency, they are measured in KZT by translating the foreign currency amount at the exchange rate prevailing on the date of transfer of all benefits and risks on these inventories.</w:t>
      </w:r>
    </w:p>
    <w:p w14:paraId="749B4EE2" w14:textId="77777777" w:rsidR="009E2B77" w:rsidRPr="007D770B" w:rsidRDefault="009E2B77" w:rsidP="00F96B17">
      <w:pPr>
        <w:tabs>
          <w:tab w:val="num" w:pos="535"/>
        </w:tabs>
        <w:spacing w:before="240" w:line="240" w:lineRule="auto"/>
        <w:ind w:left="0"/>
        <w:rPr>
          <w:rFonts w:ascii="Times New Roman" w:hAnsi="Times New Roman"/>
          <w:lang w:val="en-US"/>
        </w:rPr>
      </w:pPr>
      <w:r w:rsidRPr="007D770B">
        <w:rPr>
          <w:rFonts w:ascii="Times New Roman" w:hAnsi="Times New Roman"/>
          <w:lang w:val="en-US"/>
        </w:rPr>
        <w:t>Subsequently, the actual cost of acquiring such inventories is not adjusted for exchange differences arising from the initial recognition of the inventories until the corresponding liabilities are settled.</w:t>
      </w:r>
    </w:p>
    <w:p w14:paraId="052E210D" w14:textId="77777777" w:rsidR="009E2B77" w:rsidRPr="007D770B" w:rsidRDefault="009E2B77" w:rsidP="00F96B17">
      <w:pPr>
        <w:tabs>
          <w:tab w:val="num" w:pos="535"/>
        </w:tabs>
        <w:spacing w:before="240" w:line="240" w:lineRule="auto"/>
        <w:ind w:left="0"/>
        <w:rPr>
          <w:rFonts w:ascii="Times New Roman" w:hAnsi="Times New Roman"/>
          <w:b/>
          <w:snapToGrid w:val="0"/>
          <w:lang w:val="en-US"/>
        </w:rPr>
      </w:pPr>
      <w:r w:rsidRPr="007D770B">
        <w:rPr>
          <w:rFonts w:ascii="Times New Roman" w:hAnsi="Times New Roman"/>
          <w:b/>
          <w:snapToGrid w:val="0"/>
          <w:lang w:val="en-US"/>
        </w:rPr>
        <w:t>Peculiarities of accounting for inventories paid by non-monetary means</w:t>
      </w:r>
    </w:p>
    <w:p w14:paraId="55B6A765" w14:textId="77777777" w:rsidR="009E2B77" w:rsidRPr="007D770B" w:rsidRDefault="009E2B77" w:rsidP="00F96B17">
      <w:pPr>
        <w:tabs>
          <w:tab w:val="num" w:pos="535"/>
        </w:tabs>
        <w:spacing w:before="240" w:line="240" w:lineRule="auto"/>
        <w:ind w:left="0"/>
        <w:rPr>
          <w:rFonts w:ascii="Times New Roman" w:hAnsi="Times New Roman"/>
          <w:snapToGrid w:val="0"/>
          <w:lang w:val="en-US"/>
        </w:rPr>
      </w:pPr>
      <w:r w:rsidRPr="007D770B">
        <w:rPr>
          <w:rFonts w:ascii="Times New Roman" w:hAnsi="Times New Roman"/>
          <w:snapToGrid w:val="0"/>
          <w:lang w:val="en-US"/>
        </w:rPr>
        <w:t>When inventories are contributed to share capital, their cost is determined by reference to their fair value.</w:t>
      </w:r>
    </w:p>
    <w:p w14:paraId="68528CB0" w14:textId="44BA72B0" w:rsidR="00F90771" w:rsidRPr="007D770B" w:rsidRDefault="009E2B77" w:rsidP="00AA73A7">
      <w:pPr>
        <w:tabs>
          <w:tab w:val="num" w:pos="535"/>
        </w:tabs>
        <w:spacing w:before="240" w:line="240" w:lineRule="auto"/>
        <w:ind w:left="0"/>
        <w:rPr>
          <w:rFonts w:ascii="Times New Roman" w:hAnsi="Times New Roman"/>
          <w:b/>
          <w:lang w:val="en-US"/>
        </w:rPr>
      </w:pPr>
      <w:r w:rsidRPr="007D770B">
        <w:rPr>
          <w:rFonts w:ascii="Times New Roman" w:hAnsi="Times New Roman"/>
          <w:snapToGrid w:val="0"/>
          <w:lang w:val="en-US"/>
        </w:rPr>
        <w:t>When receiving inventories under a gift agreement or free of charge, remaining from the disposal of fixed assets and other property (if they fall under the definition of inventories), as well as those identified as a result of inventory, the cost is determined as the lower of cost and net realizable value as of the date of acceptance for accounting purposes.</w:t>
      </w:r>
    </w:p>
    <w:p w14:paraId="5A2B80CB" w14:textId="77777777" w:rsidR="009E2B77" w:rsidRPr="007D770B" w:rsidRDefault="009E2B77" w:rsidP="00F96B17">
      <w:pPr>
        <w:pStyle w:val="27"/>
        <w:spacing w:before="240" w:after="240" w:line="240" w:lineRule="auto"/>
        <w:ind w:left="0"/>
        <w:rPr>
          <w:rFonts w:ascii="Times New Roman" w:hAnsi="Times New Roman"/>
          <w:b/>
          <w:lang w:val="en-US"/>
        </w:rPr>
      </w:pPr>
      <w:r w:rsidRPr="007D770B">
        <w:rPr>
          <w:rFonts w:ascii="Times New Roman" w:hAnsi="Times New Roman"/>
          <w:b/>
          <w:lang w:val="en-US"/>
        </w:rPr>
        <w:t>Peculiarities of accounting for inventories in transit</w:t>
      </w:r>
    </w:p>
    <w:p w14:paraId="51F8CEF3" w14:textId="22390A54" w:rsidR="009E2B77" w:rsidRPr="007D770B" w:rsidRDefault="009E2B77" w:rsidP="00F96B17">
      <w:pPr>
        <w:shd w:val="clear" w:color="auto" w:fill="FFFFFF"/>
        <w:spacing w:before="240" w:line="240" w:lineRule="auto"/>
        <w:ind w:left="0"/>
        <w:rPr>
          <w:rFonts w:ascii="Times New Roman" w:hAnsi="Times New Roman"/>
          <w:lang w:val="en-US"/>
        </w:rPr>
      </w:pPr>
      <w:r w:rsidRPr="007D770B">
        <w:rPr>
          <w:rFonts w:ascii="Times New Roman" w:hAnsi="Times New Roman"/>
          <w:snapToGrid w:val="0"/>
          <w:lang w:val="en-US"/>
        </w:rPr>
        <w:t xml:space="preserve">Inventories in transit mean inventories that have not yet been received by the </w:t>
      </w:r>
      <w:r w:rsidR="00084443" w:rsidRPr="007D770B">
        <w:rPr>
          <w:rFonts w:ascii="Times New Roman" w:hAnsi="Times New Roman"/>
          <w:snapToGrid w:val="0"/>
          <w:lang w:val="en-US"/>
        </w:rPr>
        <w:t xml:space="preserve">Bank </w:t>
      </w:r>
      <w:r w:rsidRPr="007D770B">
        <w:rPr>
          <w:rFonts w:ascii="Times New Roman" w:hAnsi="Times New Roman"/>
          <w:snapToGrid w:val="0"/>
          <w:lang w:val="en-US"/>
        </w:rPr>
        <w:t xml:space="preserve">but the benefits and risks associated with which have already been transferred to the </w:t>
      </w:r>
      <w:r w:rsidR="00084443" w:rsidRPr="007D770B">
        <w:rPr>
          <w:rFonts w:ascii="Times New Roman" w:hAnsi="Times New Roman"/>
          <w:snapToGrid w:val="0"/>
          <w:lang w:val="en-US"/>
        </w:rPr>
        <w:t xml:space="preserve">Bank in </w:t>
      </w:r>
      <w:r w:rsidRPr="007D770B">
        <w:rPr>
          <w:rFonts w:ascii="Times New Roman" w:hAnsi="Times New Roman"/>
          <w:snapToGrid w:val="0"/>
          <w:lang w:val="en-US"/>
        </w:rPr>
        <w:t xml:space="preserve">accordance with the terms of the contract. </w:t>
      </w:r>
      <w:r w:rsidRPr="007D770B">
        <w:rPr>
          <w:rFonts w:ascii="Times New Roman" w:hAnsi="Times New Roman"/>
          <w:lang w:val="en-US"/>
        </w:rPr>
        <w:t xml:space="preserve">Inventories in transit should be accounted for within the </w:t>
      </w:r>
      <w:r w:rsidR="00802136" w:rsidRPr="007D770B">
        <w:rPr>
          <w:rFonts w:ascii="Times New Roman" w:hAnsi="Times New Roman"/>
          <w:lang w:val="en-US"/>
        </w:rPr>
        <w:t>"</w:t>
      </w:r>
      <w:r w:rsidRPr="007D770B">
        <w:rPr>
          <w:rFonts w:ascii="Times New Roman" w:hAnsi="Times New Roman"/>
          <w:lang w:val="en-US"/>
        </w:rPr>
        <w:t>Inventories in transit</w:t>
      </w:r>
      <w:r w:rsidR="00802136" w:rsidRPr="007D770B">
        <w:rPr>
          <w:rFonts w:ascii="Times New Roman" w:hAnsi="Times New Roman"/>
          <w:lang w:val="en-US"/>
        </w:rPr>
        <w:t xml:space="preserve">" </w:t>
      </w:r>
      <w:r w:rsidRPr="007D770B">
        <w:rPr>
          <w:rFonts w:ascii="Times New Roman" w:hAnsi="Times New Roman"/>
          <w:lang w:val="en-US"/>
        </w:rPr>
        <w:t>account.</w:t>
      </w:r>
    </w:p>
    <w:p w14:paraId="51282CFF" w14:textId="77777777" w:rsidR="009E2B77" w:rsidRPr="007D770B" w:rsidRDefault="009E2B77" w:rsidP="00F96B17">
      <w:pPr>
        <w:pStyle w:val="27"/>
        <w:spacing w:before="240" w:after="240" w:line="240" w:lineRule="auto"/>
        <w:ind w:left="0"/>
        <w:rPr>
          <w:rFonts w:ascii="Times New Roman" w:hAnsi="Times New Roman"/>
          <w:b/>
          <w:lang w:val="en-US"/>
        </w:rPr>
      </w:pPr>
      <w:r w:rsidRPr="007D770B">
        <w:rPr>
          <w:rFonts w:ascii="Times New Roman" w:hAnsi="Times New Roman"/>
          <w:b/>
          <w:lang w:val="en-US"/>
        </w:rPr>
        <w:t>Accounting for internal stock movements</w:t>
      </w:r>
    </w:p>
    <w:p w14:paraId="0D5321FC" w14:textId="77777777" w:rsidR="009E2B77" w:rsidRPr="007D770B" w:rsidRDefault="009E2B77" w:rsidP="00F96B17">
      <w:pPr>
        <w:spacing w:before="240" w:line="240" w:lineRule="auto"/>
        <w:ind w:left="0"/>
        <w:rPr>
          <w:rFonts w:ascii="Times New Roman" w:hAnsi="Times New Roman"/>
          <w:lang w:val="en-US"/>
        </w:rPr>
      </w:pPr>
      <w:r w:rsidRPr="007D770B">
        <w:rPr>
          <w:rFonts w:ascii="Times New Roman" w:hAnsi="Times New Roman"/>
          <w:lang w:val="en-US"/>
        </w:rPr>
        <w:t>Internal movement of inventories means their movement within one legal entity. For example: transfer within a unit from one materially responsible person to another; transfer from one unit to another; change of inventory category.</w:t>
      </w:r>
    </w:p>
    <w:p w14:paraId="494B70E0" w14:textId="77777777" w:rsidR="009E2B77" w:rsidRPr="007D770B" w:rsidRDefault="009E2B77" w:rsidP="00F96B17">
      <w:pPr>
        <w:spacing w:before="240" w:line="240" w:lineRule="auto"/>
        <w:ind w:left="0"/>
        <w:rPr>
          <w:rFonts w:ascii="Times New Roman" w:hAnsi="Times New Roman"/>
          <w:lang w:val="en-US"/>
        </w:rPr>
      </w:pPr>
      <w:r w:rsidRPr="007D770B">
        <w:rPr>
          <w:rFonts w:ascii="Times New Roman" w:hAnsi="Times New Roman"/>
          <w:snapToGrid w:val="0"/>
          <w:lang w:val="en-US"/>
        </w:rPr>
        <w:t xml:space="preserve">Reflection of operations of </w:t>
      </w:r>
      <w:r w:rsidRPr="007D770B">
        <w:rPr>
          <w:rFonts w:ascii="Times New Roman" w:hAnsi="Times New Roman"/>
          <w:lang w:val="en-US"/>
        </w:rPr>
        <w:t>moving inventories (raw materials and supplies, goods for resale) within one legal entity is reflected by entries on analytical accounts of inventories.</w:t>
      </w:r>
    </w:p>
    <w:p w14:paraId="6E362148" w14:textId="77777777" w:rsidR="009E2B77" w:rsidRPr="007D770B" w:rsidRDefault="009E2B77" w:rsidP="00F96B17">
      <w:pPr>
        <w:pStyle w:val="27"/>
        <w:spacing w:before="240" w:after="240" w:line="240" w:lineRule="auto"/>
        <w:ind w:left="0"/>
        <w:rPr>
          <w:rFonts w:ascii="Times New Roman" w:hAnsi="Times New Roman"/>
          <w:b/>
          <w:lang w:val="en-US"/>
        </w:rPr>
      </w:pPr>
      <w:r w:rsidRPr="007D770B">
        <w:rPr>
          <w:rFonts w:ascii="Times New Roman" w:hAnsi="Times New Roman"/>
          <w:b/>
          <w:lang w:val="en-US"/>
        </w:rPr>
        <w:t>Accounting for inventories received as a result of replacement or disposal of property, plant and equipment</w:t>
      </w:r>
    </w:p>
    <w:p w14:paraId="2DA7B42E" w14:textId="77777777" w:rsidR="009E2B77" w:rsidRPr="007D770B" w:rsidRDefault="009E2B77" w:rsidP="00F96B17">
      <w:pPr>
        <w:pStyle w:val="27"/>
        <w:spacing w:before="240" w:after="240" w:line="240" w:lineRule="auto"/>
        <w:ind w:left="0"/>
        <w:rPr>
          <w:rFonts w:ascii="Times New Roman" w:hAnsi="Times New Roman"/>
          <w:lang w:val="en-US"/>
        </w:rPr>
      </w:pPr>
      <w:r w:rsidRPr="007D770B">
        <w:rPr>
          <w:rFonts w:ascii="Times New Roman" w:hAnsi="Times New Roman"/>
          <w:lang w:val="en-US"/>
        </w:rPr>
        <w:t xml:space="preserve">Inventories received as a result of the replacement of components or disposal of an item of property, plant and equipment are recognized at cost. The cost of inventories is calculated from the carrying amount of the component replaced or the item of property, plant and equipment disposed of in proportion to the market value of the inventories received. If the carrying amount </w:t>
      </w:r>
      <w:r w:rsidRPr="007D770B">
        <w:rPr>
          <w:rFonts w:ascii="Times New Roman" w:hAnsi="Times New Roman"/>
          <w:lang w:val="en-US"/>
        </w:rPr>
        <w:lastRenderedPageBreak/>
        <w:t>of the replaced component or disposed of item of property, plant and equipment is zero, the cost of inventories received is also zero.</w:t>
      </w:r>
    </w:p>
    <w:p w14:paraId="15B80747" w14:textId="77777777" w:rsidR="009E2B77" w:rsidRPr="007D770B" w:rsidRDefault="009E2B77" w:rsidP="00E20FFE">
      <w:pPr>
        <w:pStyle w:val="27"/>
        <w:keepNext/>
        <w:spacing w:before="240" w:after="240" w:line="240" w:lineRule="auto"/>
        <w:ind w:left="0"/>
        <w:rPr>
          <w:rFonts w:ascii="Times New Roman" w:hAnsi="Times New Roman"/>
          <w:b/>
          <w:lang w:val="en-US"/>
        </w:rPr>
      </w:pPr>
      <w:r w:rsidRPr="007D770B">
        <w:rPr>
          <w:rFonts w:ascii="Times New Roman" w:hAnsi="Times New Roman"/>
          <w:b/>
          <w:lang w:val="en-US"/>
        </w:rPr>
        <w:t>Accounting for the disposal of inventories</w:t>
      </w:r>
    </w:p>
    <w:p w14:paraId="4FFBFBF8" w14:textId="77777777" w:rsidR="009E2B77" w:rsidRPr="007D770B" w:rsidRDefault="009E2B77" w:rsidP="00F96B17">
      <w:pPr>
        <w:shd w:val="clear" w:color="auto" w:fill="FFFFFF"/>
        <w:spacing w:before="240" w:line="240" w:lineRule="auto"/>
        <w:ind w:left="0"/>
        <w:rPr>
          <w:rFonts w:ascii="Times New Roman" w:hAnsi="Times New Roman"/>
          <w:lang w:val="en-US"/>
        </w:rPr>
      </w:pPr>
      <w:r w:rsidRPr="007D770B">
        <w:rPr>
          <w:rFonts w:ascii="Times New Roman" w:hAnsi="Times New Roman"/>
          <w:lang w:val="en-US"/>
        </w:rPr>
        <w:t xml:space="preserve">The </w:t>
      </w:r>
      <w:r w:rsidR="00084443" w:rsidRPr="007D770B">
        <w:rPr>
          <w:rFonts w:ascii="Times New Roman" w:hAnsi="Times New Roman"/>
          <w:lang w:val="en-US"/>
        </w:rPr>
        <w:t xml:space="preserve">Bank </w:t>
      </w:r>
      <w:r w:rsidRPr="007D770B">
        <w:rPr>
          <w:rFonts w:ascii="Times New Roman" w:hAnsi="Times New Roman"/>
          <w:lang w:val="en-US"/>
        </w:rPr>
        <w:t xml:space="preserve">distinguishes the following types of inventory disposal (raw materials and supplies, </w:t>
      </w:r>
      <w:r w:rsidR="00D62150" w:rsidRPr="007D770B">
        <w:rPr>
          <w:rFonts w:ascii="Times New Roman" w:hAnsi="Times New Roman"/>
          <w:lang w:val="en-US"/>
        </w:rPr>
        <w:t>other goods</w:t>
      </w:r>
      <w:r w:rsidRPr="007D770B">
        <w:rPr>
          <w:rFonts w:ascii="Times New Roman" w:hAnsi="Times New Roman"/>
          <w:lang w:val="en-US"/>
        </w:rPr>
        <w:t>):</w:t>
      </w:r>
    </w:p>
    <w:p w14:paraId="10FE3662" w14:textId="77777777" w:rsidR="009E2B77" w:rsidRPr="007D770B" w:rsidRDefault="009E2B77" w:rsidP="00AE698A">
      <w:pPr>
        <w:pStyle w:val="aa"/>
        <w:numPr>
          <w:ilvl w:val="0"/>
          <w:numId w:val="219"/>
        </w:numPr>
        <w:shd w:val="clear" w:color="auto" w:fill="FFFFFF"/>
        <w:spacing w:before="240" w:line="240" w:lineRule="auto"/>
        <w:rPr>
          <w:rFonts w:ascii="Times New Roman" w:hAnsi="Times New Roman"/>
          <w:lang w:val="en-US"/>
        </w:rPr>
      </w:pPr>
      <w:r w:rsidRPr="007D770B">
        <w:rPr>
          <w:rFonts w:ascii="Times New Roman" w:hAnsi="Times New Roman"/>
          <w:lang w:val="en-US"/>
        </w:rPr>
        <w:t xml:space="preserve">write-off of inventories </w:t>
      </w:r>
      <w:r w:rsidR="00C80138" w:rsidRPr="007D770B">
        <w:rPr>
          <w:rFonts w:ascii="Times New Roman" w:hAnsi="Times New Roman"/>
          <w:lang w:val="en-US"/>
        </w:rPr>
        <w:t>in use as other expenses</w:t>
      </w:r>
      <w:r w:rsidRPr="007D770B">
        <w:rPr>
          <w:rFonts w:ascii="Times New Roman" w:hAnsi="Times New Roman"/>
          <w:lang w:val="en-US"/>
        </w:rPr>
        <w:t>;</w:t>
      </w:r>
    </w:p>
    <w:p w14:paraId="0379068D" w14:textId="77777777" w:rsidR="009E2B77" w:rsidRPr="007D770B" w:rsidRDefault="009E2B77" w:rsidP="00AE698A">
      <w:pPr>
        <w:pStyle w:val="27"/>
        <w:numPr>
          <w:ilvl w:val="0"/>
          <w:numId w:val="220"/>
        </w:numPr>
        <w:tabs>
          <w:tab w:val="left" w:pos="360"/>
        </w:tabs>
        <w:spacing w:before="240" w:after="240" w:line="240" w:lineRule="auto"/>
        <w:rPr>
          <w:rFonts w:ascii="Times New Roman" w:hAnsi="Times New Roman"/>
          <w:lang w:val="en-US"/>
        </w:rPr>
      </w:pPr>
      <w:r w:rsidRPr="007D770B">
        <w:rPr>
          <w:rFonts w:ascii="Times New Roman" w:hAnsi="Times New Roman"/>
          <w:lang w:val="en-US"/>
        </w:rPr>
        <w:t>other disposal of inventories as a result:</w:t>
      </w:r>
    </w:p>
    <w:p w14:paraId="54FD047F" w14:textId="77777777" w:rsidR="009E2B77" w:rsidRPr="007D770B" w:rsidRDefault="009E2B77" w:rsidP="002D72FD">
      <w:pPr>
        <w:pStyle w:val="27"/>
        <w:numPr>
          <w:ilvl w:val="0"/>
          <w:numId w:val="17"/>
        </w:numPr>
        <w:tabs>
          <w:tab w:val="left" w:pos="1080"/>
        </w:tabs>
        <w:spacing w:before="240" w:after="240" w:line="240" w:lineRule="auto"/>
        <w:ind w:left="1080"/>
        <w:rPr>
          <w:rFonts w:ascii="Times New Roman" w:hAnsi="Times New Roman"/>
          <w:lang w:val="en-US"/>
        </w:rPr>
      </w:pPr>
      <w:r w:rsidRPr="007D770B">
        <w:rPr>
          <w:rFonts w:ascii="Times New Roman" w:hAnsi="Times New Roman"/>
          <w:lang w:val="en-US"/>
        </w:rPr>
        <w:t>expiration of storage periods, moral obsolescence, other cases of loss of consumer properties;</w:t>
      </w:r>
    </w:p>
    <w:p w14:paraId="09A25B99" w14:textId="77777777" w:rsidR="009E2B77" w:rsidRPr="007D770B" w:rsidRDefault="009E2B77" w:rsidP="002D72FD">
      <w:pPr>
        <w:pStyle w:val="27"/>
        <w:numPr>
          <w:ilvl w:val="0"/>
          <w:numId w:val="17"/>
        </w:numPr>
        <w:tabs>
          <w:tab w:val="left" w:pos="1080"/>
        </w:tabs>
        <w:spacing w:before="240" w:after="240" w:line="240" w:lineRule="auto"/>
        <w:ind w:left="1080"/>
        <w:rPr>
          <w:rFonts w:ascii="Times New Roman" w:hAnsi="Times New Roman"/>
          <w:lang w:val="en-US"/>
        </w:rPr>
      </w:pPr>
      <w:r w:rsidRPr="007D770B">
        <w:rPr>
          <w:rFonts w:ascii="Times New Roman" w:hAnsi="Times New Roman"/>
          <w:lang w:val="en-US"/>
        </w:rPr>
        <w:t>to identify shortages in inventory;</w:t>
      </w:r>
    </w:p>
    <w:p w14:paraId="34A0BFCB" w14:textId="77777777" w:rsidR="009E2B77" w:rsidRPr="002D4EA3" w:rsidRDefault="009E2B77" w:rsidP="002D72FD">
      <w:pPr>
        <w:pStyle w:val="27"/>
        <w:numPr>
          <w:ilvl w:val="0"/>
          <w:numId w:val="17"/>
        </w:numPr>
        <w:tabs>
          <w:tab w:val="left" w:pos="1080"/>
        </w:tabs>
        <w:spacing w:before="240" w:after="240" w:line="240" w:lineRule="auto"/>
        <w:ind w:left="1080"/>
        <w:rPr>
          <w:rFonts w:ascii="Times New Roman" w:hAnsi="Times New Roman"/>
        </w:rPr>
      </w:pPr>
      <w:r w:rsidRPr="002D4EA3">
        <w:rPr>
          <w:rFonts w:ascii="Times New Roman" w:hAnsi="Times New Roman"/>
        </w:rPr>
        <w:t>embezzlement;</w:t>
      </w:r>
    </w:p>
    <w:p w14:paraId="15EAA5F7" w14:textId="77777777" w:rsidR="009E2B77" w:rsidRPr="007D770B" w:rsidRDefault="009E2B77" w:rsidP="002D72FD">
      <w:pPr>
        <w:pStyle w:val="27"/>
        <w:numPr>
          <w:ilvl w:val="0"/>
          <w:numId w:val="17"/>
        </w:numPr>
        <w:tabs>
          <w:tab w:val="left" w:pos="1080"/>
        </w:tabs>
        <w:spacing w:before="240" w:after="240" w:line="240" w:lineRule="auto"/>
        <w:ind w:left="1080"/>
        <w:rPr>
          <w:rFonts w:ascii="Times New Roman" w:hAnsi="Times New Roman"/>
          <w:lang w:val="en-US"/>
        </w:rPr>
      </w:pPr>
      <w:r w:rsidRPr="007D770B">
        <w:rPr>
          <w:rFonts w:ascii="Times New Roman" w:hAnsi="Times New Roman"/>
          <w:lang w:val="en-US"/>
        </w:rPr>
        <w:t>contributions to the authorized capital;</w:t>
      </w:r>
    </w:p>
    <w:p w14:paraId="65EDB8B0" w14:textId="77777777" w:rsidR="009E2B77" w:rsidRPr="007D770B" w:rsidRDefault="009E2B77" w:rsidP="002D72FD">
      <w:pPr>
        <w:pStyle w:val="27"/>
        <w:numPr>
          <w:ilvl w:val="0"/>
          <w:numId w:val="17"/>
        </w:numPr>
        <w:tabs>
          <w:tab w:val="left" w:pos="1080"/>
        </w:tabs>
        <w:spacing w:before="240" w:after="240" w:line="240" w:lineRule="auto"/>
        <w:ind w:left="1080"/>
        <w:rPr>
          <w:rFonts w:ascii="Times New Roman" w:hAnsi="Times New Roman"/>
          <w:lang w:val="en-US"/>
        </w:rPr>
      </w:pPr>
      <w:r w:rsidRPr="007D770B">
        <w:rPr>
          <w:rFonts w:ascii="Times New Roman" w:hAnsi="Times New Roman"/>
          <w:lang w:val="en-US"/>
        </w:rPr>
        <w:t>property damage in case of accidents, fires, natural disasters.</w:t>
      </w:r>
    </w:p>
    <w:p w14:paraId="6BD32E79" w14:textId="77777777" w:rsidR="009E2B77" w:rsidRPr="007D770B" w:rsidRDefault="009E2B77" w:rsidP="00F96B17">
      <w:pPr>
        <w:shd w:val="clear" w:color="auto" w:fill="FFFFFF"/>
        <w:spacing w:before="240" w:line="240" w:lineRule="auto"/>
        <w:ind w:left="0"/>
        <w:rPr>
          <w:rFonts w:ascii="Times New Roman" w:hAnsi="Times New Roman"/>
          <w:b/>
          <w:lang w:val="en-US"/>
        </w:rPr>
      </w:pPr>
      <w:r w:rsidRPr="007D770B">
        <w:rPr>
          <w:rFonts w:ascii="Times New Roman" w:hAnsi="Times New Roman"/>
          <w:b/>
          <w:lang w:val="en-US"/>
        </w:rPr>
        <w:t>Methodology for estimating the disposal of inventories</w:t>
      </w:r>
    </w:p>
    <w:p w14:paraId="1FAABF6F" w14:textId="3B4F1895" w:rsidR="009E2B77" w:rsidRPr="007D770B" w:rsidRDefault="009E2B77" w:rsidP="00F96B17">
      <w:pPr>
        <w:pStyle w:val="27"/>
        <w:spacing w:before="240" w:after="240" w:line="240" w:lineRule="auto"/>
        <w:ind w:left="0"/>
        <w:rPr>
          <w:rFonts w:ascii="Times New Roman" w:hAnsi="Times New Roman"/>
          <w:lang w:val="en-US"/>
        </w:rPr>
      </w:pPr>
      <w:r w:rsidRPr="007D770B">
        <w:rPr>
          <w:rFonts w:ascii="Times New Roman" w:hAnsi="Times New Roman"/>
          <w:lang w:val="en-US"/>
        </w:rPr>
        <w:t xml:space="preserve">For write-downs and outsourced sales, the valuation of inventories disposed of and the closing balance is based on the </w:t>
      </w:r>
      <w:r w:rsidR="00EE3CCF" w:rsidRPr="007D770B">
        <w:rPr>
          <w:rFonts w:ascii="Times New Roman" w:hAnsi="Times New Roman"/>
          <w:lang w:val="en-US"/>
        </w:rPr>
        <w:t xml:space="preserve">weighted average </w:t>
      </w:r>
      <w:r w:rsidRPr="007D770B">
        <w:rPr>
          <w:rFonts w:ascii="Times New Roman" w:hAnsi="Times New Roman"/>
          <w:lang w:val="en-US"/>
        </w:rPr>
        <w:t>cost</w:t>
      </w:r>
      <w:r w:rsidR="00EE3CCF" w:rsidRPr="007D770B">
        <w:rPr>
          <w:rFonts w:ascii="Times New Roman" w:hAnsi="Times New Roman"/>
          <w:lang w:val="en-US"/>
        </w:rPr>
        <w:t xml:space="preserve"> method.</w:t>
      </w:r>
      <w:r w:rsidRPr="007D770B">
        <w:rPr>
          <w:rFonts w:ascii="Times New Roman" w:hAnsi="Times New Roman"/>
          <w:lang w:val="en-US"/>
        </w:rPr>
        <w:t xml:space="preserve"> The amount of any write-downs to net realizable value and all inventory losses are recognized as an expense in the accounting period in which the write-down occurs.</w:t>
      </w:r>
    </w:p>
    <w:p w14:paraId="747ED951" w14:textId="77777777" w:rsidR="000120B9" w:rsidRPr="007D770B" w:rsidRDefault="000120B9" w:rsidP="00E61D21">
      <w:pPr>
        <w:pStyle w:val="3"/>
        <w:rPr>
          <w:lang w:val="en-US"/>
        </w:rPr>
      </w:pPr>
      <w:bookmarkStart w:id="159" w:name="_Toc168502049"/>
      <w:bookmarkStart w:id="160" w:name="_Toc249285618"/>
      <w:bookmarkStart w:id="161" w:name="_Toc271032486"/>
      <w:r w:rsidRPr="007D770B">
        <w:rPr>
          <w:lang w:val="en-US"/>
        </w:rPr>
        <w:t>4.5 Disclosure of information</w:t>
      </w:r>
      <w:bookmarkEnd w:id="159"/>
    </w:p>
    <w:p w14:paraId="4163EA04" w14:textId="77777777" w:rsidR="000120B9" w:rsidRPr="007D770B" w:rsidRDefault="000120B9" w:rsidP="00C43712">
      <w:pPr>
        <w:pStyle w:val="27"/>
        <w:spacing w:before="240" w:after="240" w:line="240" w:lineRule="auto"/>
        <w:ind w:left="0"/>
        <w:rPr>
          <w:rFonts w:ascii="Times New Roman" w:hAnsi="Times New Roman"/>
          <w:lang w:val="en-US"/>
        </w:rPr>
      </w:pPr>
      <w:r w:rsidRPr="007D770B">
        <w:rPr>
          <w:rFonts w:ascii="Times New Roman" w:hAnsi="Times New Roman"/>
          <w:lang w:val="en-US"/>
        </w:rPr>
        <w:t>The Bank discloses the following information in its financial statements:</w:t>
      </w:r>
    </w:p>
    <w:p w14:paraId="31158361" w14:textId="77777777" w:rsidR="000120B9" w:rsidRPr="007D770B" w:rsidRDefault="000120B9" w:rsidP="00AE698A">
      <w:pPr>
        <w:pStyle w:val="aa"/>
        <w:numPr>
          <w:ilvl w:val="0"/>
          <w:numId w:val="219"/>
        </w:numPr>
        <w:shd w:val="clear" w:color="auto" w:fill="FFFFFF"/>
        <w:spacing w:before="240" w:line="240" w:lineRule="auto"/>
        <w:rPr>
          <w:rFonts w:ascii="Times New Roman" w:hAnsi="Times New Roman"/>
          <w:lang w:val="en-US"/>
        </w:rPr>
      </w:pPr>
      <w:r w:rsidRPr="007D770B">
        <w:rPr>
          <w:rFonts w:ascii="Times New Roman" w:hAnsi="Times New Roman"/>
          <w:lang w:val="en-US"/>
        </w:rPr>
        <w:t>the accounting policies adopted for the valuation of inventories, including the method used to calculate their cost;</w:t>
      </w:r>
    </w:p>
    <w:p w14:paraId="215DF79B" w14:textId="77777777" w:rsidR="000120B9" w:rsidRPr="007D770B" w:rsidRDefault="000120B9" w:rsidP="000120B9">
      <w:pPr>
        <w:pStyle w:val="aa"/>
        <w:shd w:val="clear" w:color="auto" w:fill="FFFFFF"/>
        <w:spacing w:before="240" w:line="240" w:lineRule="auto"/>
        <w:ind w:left="0"/>
        <w:rPr>
          <w:rFonts w:ascii="Times New Roman" w:hAnsi="Times New Roman"/>
          <w:lang w:val="en-US"/>
        </w:rPr>
      </w:pPr>
    </w:p>
    <w:p w14:paraId="2CF0C735" w14:textId="77777777" w:rsidR="000120B9" w:rsidRPr="007D770B" w:rsidRDefault="000120B9" w:rsidP="00AE698A">
      <w:pPr>
        <w:pStyle w:val="aa"/>
        <w:numPr>
          <w:ilvl w:val="0"/>
          <w:numId w:val="219"/>
        </w:numPr>
        <w:shd w:val="clear" w:color="auto" w:fill="FFFFFF"/>
        <w:spacing w:before="240" w:line="240" w:lineRule="auto"/>
        <w:rPr>
          <w:rFonts w:ascii="Times New Roman" w:hAnsi="Times New Roman"/>
          <w:lang w:val="en-US"/>
        </w:rPr>
      </w:pPr>
      <w:r w:rsidRPr="007D770B">
        <w:rPr>
          <w:rFonts w:ascii="Times New Roman" w:hAnsi="Times New Roman"/>
          <w:lang w:val="en-US"/>
        </w:rPr>
        <w:t>the total carrying amount of inventories and the carrying amount of inventories in the Bank's classification;</w:t>
      </w:r>
    </w:p>
    <w:p w14:paraId="2C170430" w14:textId="77777777" w:rsidR="000120B9" w:rsidRPr="007D770B" w:rsidRDefault="000120B9" w:rsidP="000120B9">
      <w:pPr>
        <w:pStyle w:val="aa"/>
        <w:shd w:val="clear" w:color="auto" w:fill="FFFFFF"/>
        <w:spacing w:before="240" w:line="240" w:lineRule="auto"/>
        <w:ind w:left="0"/>
        <w:rPr>
          <w:rFonts w:ascii="Times New Roman" w:hAnsi="Times New Roman"/>
          <w:lang w:val="en-US"/>
        </w:rPr>
      </w:pPr>
    </w:p>
    <w:p w14:paraId="0A08674E" w14:textId="77777777" w:rsidR="000120B9" w:rsidRPr="007D770B" w:rsidRDefault="000120B9" w:rsidP="00AE698A">
      <w:pPr>
        <w:pStyle w:val="aa"/>
        <w:numPr>
          <w:ilvl w:val="0"/>
          <w:numId w:val="219"/>
        </w:numPr>
        <w:shd w:val="clear" w:color="auto" w:fill="FFFFFF"/>
        <w:spacing w:before="240" w:line="240" w:lineRule="auto"/>
        <w:rPr>
          <w:rFonts w:ascii="Times New Roman" w:hAnsi="Times New Roman"/>
          <w:lang w:val="en-US"/>
        </w:rPr>
      </w:pPr>
      <w:r w:rsidRPr="007D770B">
        <w:rPr>
          <w:rFonts w:ascii="Times New Roman" w:hAnsi="Times New Roman"/>
          <w:lang w:val="en-US"/>
        </w:rPr>
        <w:t>the carrying amount of inventories carried at fair value less costs to sell;</w:t>
      </w:r>
    </w:p>
    <w:p w14:paraId="7F6FC1D8" w14:textId="77777777" w:rsidR="000120B9" w:rsidRPr="007D770B" w:rsidRDefault="000120B9" w:rsidP="000120B9">
      <w:pPr>
        <w:pStyle w:val="aa"/>
        <w:rPr>
          <w:rFonts w:ascii="Times New Roman" w:hAnsi="Times New Roman"/>
          <w:lang w:val="en-US"/>
        </w:rPr>
      </w:pPr>
    </w:p>
    <w:p w14:paraId="7D6C899B" w14:textId="77777777" w:rsidR="000120B9" w:rsidRPr="007D770B" w:rsidRDefault="000120B9" w:rsidP="00AE698A">
      <w:pPr>
        <w:pStyle w:val="aa"/>
        <w:numPr>
          <w:ilvl w:val="0"/>
          <w:numId w:val="219"/>
        </w:numPr>
        <w:shd w:val="clear" w:color="auto" w:fill="FFFFFF"/>
        <w:spacing w:before="240" w:line="240" w:lineRule="auto"/>
        <w:rPr>
          <w:rFonts w:ascii="Times New Roman" w:hAnsi="Times New Roman"/>
          <w:lang w:val="en-US"/>
        </w:rPr>
      </w:pPr>
      <w:r w:rsidRPr="007D770B">
        <w:rPr>
          <w:rFonts w:ascii="Times New Roman" w:hAnsi="Times New Roman"/>
          <w:lang w:val="en-US"/>
        </w:rPr>
        <w:t>the amount of inventories recognized as an expense during the reporting period.</w:t>
      </w:r>
    </w:p>
    <w:p w14:paraId="5996AED8" w14:textId="748577D4" w:rsidR="009E2B77" w:rsidRPr="007D770B" w:rsidRDefault="009E2B77" w:rsidP="009B369C">
      <w:pPr>
        <w:pStyle w:val="2"/>
        <w:keepNext w:val="0"/>
        <w:keepLines w:val="0"/>
        <w:pageBreakBefore/>
        <w:spacing w:before="240"/>
        <w:jc w:val="both"/>
        <w:rPr>
          <w:rFonts w:ascii="Times New Roman" w:hAnsi="Times New Roman"/>
          <w:szCs w:val="20"/>
          <w:lang w:val="en-US"/>
        </w:rPr>
      </w:pPr>
      <w:bookmarkStart w:id="162" w:name="_Toc168502050"/>
      <w:bookmarkEnd w:id="160"/>
      <w:bookmarkEnd w:id="161"/>
      <w:r w:rsidRPr="007D770B">
        <w:rPr>
          <w:rFonts w:ascii="Times New Roman" w:hAnsi="Times New Roman"/>
          <w:szCs w:val="20"/>
          <w:lang w:val="en-US"/>
        </w:rPr>
        <w:lastRenderedPageBreak/>
        <w:t xml:space="preserve">Section 5. Cash and Cash Equivalents (IAS 7) </w:t>
      </w:r>
      <w:bookmarkEnd w:id="162"/>
    </w:p>
    <w:p w14:paraId="04BE876A" w14:textId="77777777" w:rsidR="009E2B77" w:rsidRPr="007D770B" w:rsidRDefault="009E2B77" w:rsidP="00F96B17">
      <w:pPr>
        <w:spacing w:before="240" w:line="240" w:lineRule="auto"/>
        <w:ind w:left="0"/>
        <w:rPr>
          <w:rFonts w:ascii="Times New Roman" w:hAnsi="Times New Roman"/>
          <w:lang w:val="en-US"/>
        </w:rPr>
      </w:pPr>
      <w:r w:rsidRPr="007D770B">
        <w:rPr>
          <w:rFonts w:ascii="Times New Roman" w:hAnsi="Times New Roman"/>
          <w:lang w:val="en-US"/>
        </w:rPr>
        <w:t xml:space="preserve">The </w:t>
      </w:r>
      <w:r w:rsidR="00F9744B" w:rsidRPr="007D770B">
        <w:rPr>
          <w:rFonts w:ascii="Times New Roman" w:hAnsi="Times New Roman"/>
          <w:lang w:val="en-US"/>
        </w:rPr>
        <w:t xml:space="preserve">Bank </w:t>
      </w:r>
      <w:r w:rsidRPr="007D770B">
        <w:rPr>
          <w:rFonts w:ascii="Times New Roman" w:hAnsi="Times New Roman"/>
          <w:lang w:val="en-US"/>
        </w:rPr>
        <w:t>applies this section of the Accounting Policy to the preparation of the statement of cash flows in accordance with IFRS and presents it as an integral part of its financial statements for each period presented.</w:t>
      </w:r>
    </w:p>
    <w:p w14:paraId="1C5D930D" w14:textId="77777777" w:rsidR="009E2B77" w:rsidRPr="007D770B" w:rsidRDefault="009E2B77" w:rsidP="00E61D21">
      <w:pPr>
        <w:pStyle w:val="3"/>
        <w:rPr>
          <w:lang w:val="en-US"/>
        </w:rPr>
      </w:pPr>
      <w:bookmarkStart w:id="163" w:name="_Toc248730778"/>
      <w:bookmarkStart w:id="164" w:name="_Toc271279839"/>
      <w:bookmarkStart w:id="165" w:name="_Toc168502051"/>
      <w:bookmarkStart w:id="166" w:name="_Toc248586849"/>
      <w:r w:rsidRPr="007D770B">
        <w:rPr>
          <w:lang w:val="en-US"/>
        </w:rPr>
        <w:t>5.1 General provisions</w:t>
      </w:r>
      <w:bookmarkEnd w:id="163"/>
      <w:bookmarkEnd w:id="164"/>
      <w:bookmarkEnd w:id="165"/>
    </w:p>
    <w:p w14:paraId="4CDF0D46" w14:textId="77777777" w:rsidR="00B87299" w:rsidRPr="007D770B" w:rsidRDefault="00B87299" w:rsidP="00B87299">
      <w:pPr>
        <w:pStyle w:val="afff1"/>
        <w:spacing w:before="240" w:line="240" w:lineRule="auto"/>
        <w:rPr>
          <w:rFonts w:ascii="Times New Roman" w:hAnsi="Times New Roman"/>
          <w:lang w:val="en-US"/>
        </w:rPr>
      </w:pPr>
      <w:r w:rsidRPr="007D770B">
        <w:rPr>
          <w:rFonts w:ascii="Times New Roman" w:hAnsi="Times New Roman"/>
          <w:lang w:val="en-US"/>
        </w:rPr>
        <w:t xml:space="preserve">Cash and cash equivalents are items which are readily convertible to known amounts of cash and are subject to insignificant changes in value. Cash and cash equivalents include obligatory reserve deposits with the National Bank of the Republic of Kazakhstan and all interbank deposits and reverse repurchase agreements with banks with original maturities of less than three months. Amounts that are restricted for a period greater than three months at the time of origination are excluded from cash and cash equivalents. Cash and cash equivalents are carried at amortized cost. </w:t>
      </w:r>
    </w:p>
    <w:p w14:paraId="240D0F12" w14:textId="77777777" w:rsidR="00B87299" w:rsidRPr="007D770B" w:rsidRDefault="00B87299" w:rsidP="00B87299">
      <w:pPr>
        <w:pStyle w:val="afff1"/>
        <w:spacing w:before="240" w:after="240" w:line="240" w:lineRule="auto"/>
        <w:rPr>
          <w:rFonts w:ascii="Times New Roman" w:hAnsi="Times New Roman"/>
          <w:lang w:val="en-US"/>
        </w:rPr>
      </w:pPr>
      <w:r w:rsidRPr="007D770B">
        <w:rPr>
          <w:rFonts w:ascii="Times New Roman" w:hAnsi="Times New Roman"/>
          <w:lang w:val="en-US"/>
        </w:rPr>
        <w:t>Distributions or receipts of cash presented in the statement of cash flows represent transfers of cash and cash equivalents by the Group, including amounts charged or credited to current accounts of the Group's counterparties held with the Group, amounts such as loan interest income or principal collected by debiting a customer's current account, interest payments, or loans issued credited to a customer's current account, which represent cash or cash equivalents from the customer's perspective.</w:t>
      </w:r>
    </w:p>
    <w:p w14:paraId="2407FACF" w14:textId="0DE7E00A" w:rsidR="009E2B77" w:rsidRPr="007D770B" w:rsidRDefault="009E2B77" w:rsidP="00E61D21">
      <w:pPr>
        <w:pStyle w:val="3"/>
        <w:rPr>
          <w:lang w:val="en-US"/>
        </w:rPr>
      </w:pPr>
      <w:bookmarkStart w:id="167" w:name="_Toc271279840"/>
      <w:bookmarkStart w:id="168" w:name="_Toc168502052"/>
      <w:bookmarkEnd w:id="166"/>
      <w:r w:rsidRPr="007D770B">
        <w:rPr>
          <w:lang w:val="en-US"/>
        </w:rPr>
        <w:t>5.2 Definitions</w:t>
      </w:r>
      <w:bookmarkEnd w:id="167"/>
      <w:bookmarkEnd w:id="168"/>
    </w:p>
    <w:p w14:paraId="612DA5CC" w14:textId="77777777" w:rsidR="009E2B77" w:rsidRPr="007D770B" w:rsidRDefault="009E2B77" w:rsidP="00F96B17">
      <w:pPr>
        <w:spacing w:before="240" w:line="240" w:lineRule="auto"/>
        <w:ind w:left="0" w:right="-5"/>
        <w:rPr>
          <w:rFonts w:ascii="Times New Roman" w:hAnsi="Times New Roman"/>
          <w:lang w:val="en-US"/>
        </w:rPr>
      </w:pPr>
      <w:r w:rsidRPr="007D770B">
        <w:rPr>
          <w:rFonts w:ascii="Times New Roman" w:hAnsi="Times New Roman"/>
          <w:lang w:val="en-US"/>
        </w:rPr>
        <w:t xml:space="preserve">Cash - Cash includes cash on hand, current accounts and demand deposits. </w:t>
      </w:r>
    </w:p>
    <w:p w14:paraId="2F3E71B4" w14:textId="77777777" w:rsidR="009E2B77" w:rsidRPr="007D770B" w:rsidRDefault="009E2B77" w:rsidP="00F96B17">
      <w:pPr>
        <w:spacing w:before="240" w:line="240" w:lineRule="auto"/>
        <w:ind w:left="0" w:right="-5"/>
        <w:rPr>
          <w:rFonts w:ascii="Times New Roman" w:hAnsi="Times New Roman"/>
          <w:lang w:val="en-US"/>
        </w:rPr>
      </w:pPr>
      <w:r w:rsidRPr="007D770B">
        <w:rPr>
          <w:rFonts w:ascii="Times New Roman" w:hAnsi="Times New Roman"/>
          <w:b/>
          <w:lang w:val="en-US"/>
        </w:rPr>
        <w:t xml:space="preserve">Cash flows </w:t>
      </w:r>
      <w:r w:rsidRPr="007D770B">
        <w:rPr>
          <w:rFonts w:ascii="Times New Roman" w:hAnsi="Times New Roman"/>
          <w:lang w:val="en-US"/>
        </w:rPr>
        <w:t>are receipts and payments of cash and cash equivalents.</w:t>
      </w:r>
    </w:p>
    <w:p w14:paraId="099CE421" w14:textId="77777777" w:rsidR="009E2B77" w:rsidRPr="007D770B" w:rsidRDefault="009E2B77" w:rsidP="00F96B17">
      <w:pPr>
        <w:tabs>
          <w:tab w:val="left" w:pos="9355"/>
        </w:tabs>
        <w:spacing w:before="240" w:line="240" w:lineRule="auto"/>
        <w:ind w:left="0" w:right="-5"/>
        <w:rPr>
          <w:rFonts w:ascii="Times New Roman" w:hAnsi="Times New Roman"/>
          <w:lang w:val="en-US"/>
        </w:rPr>
      </w:pPr>
      <w:r w:rsidRPr="007D770B">
        <w:rPr>
          <w:rFonts w:ascii="Times New Roman" w:hAnsi="Times New Roman"/>
          <w:b/>
          <w:lang w:val="en-US"/>
        </w:rPr>
        <w:t xml:space="preserve">Investing activities </w:t>
      </w:r>
      <w:r w:rsidRPr="007D770B">
        <w:rPr>
          <w:rFonts w:ascii="Times New Roman" w:hAnsi="Times New Roman"/>
          <w:lang w:val="en-US"/>
        </w:rPr>
        <w:t xml:space="preserve">include the purchase and sale of </w:t>
      </w:r>
      <w:r w:rsidR="00B87299" w:rsidRPr="007D770B">
        <w:rPr>
          <w:rFonts w:ascii="Times New Roman" w:hAnsi="Times New Roman"/>
          <w:lang w:val="en-US"/>
        </w:rPr>
        <w:t xml:space="preserve">financial instruments as well as </w:t>
      </w:r>
      <w:r w:rsidR="00BE6B32" w:rsidRPr="007D770B">
        <w:rPr>
          <w:rFonts w:ascii="Times New Roman" w:hAnsi="Times New Roman"/>
          <w:lang w:val="en-US"/>
        </w:rPr>
        <w:t>property</w:t>
      </w:r>
      <w:r w:rsidR="00193137" w:rsidRPr="007D770B">
        <w:rPr>
          <w:rFonts w:ascii="Times New Roman" w:hAnsi="Times New Roman"/>
          <w:lang w:val="en-US"/>
        </w:rPr>
        <w:t xml:space="preserve">, </w:t>
      </w:r>
      <w:r w:rsidR="00B87299" w:rsidRPr="007D770B">
        <w:rPr>
          <w:rFonts w:ascii="Times New Roman" w:hAnsi="Times New Roman"/>
          <w:lang w:val="en-US"/>
        </w:rPr>
        <w:t xml:space="preserve">plant and </w:t>
      </w:r>
      <w:r w:rsidR="00D8678B" w:rsidRPr="007D770B">
        <w:rPr>
          <w:rFonts w:ascii="Times New Roman" w:hAnsi="Times New Roman"/>
          <w:lang w:val="en-US"/>
        </w:rPr>
        <w:t>equipment</w:t>
      </w:r>
      <w:r w:rsidR="00193137" w:rsidRPr="007D770B">
        <w:rPr>
          <w:rFonts w:ascii="Times New Roman" w:hAnsi="Times New Roman"/>
          <w:lang w:val="en-US"/>
        </w:rPr>
        <w:t>, intangible assets</w:t>
      </w:r>
      <w:r w:rsidR="00B87299" w:rsidRPr="007D770B">
        <w:rPr>
          <w:rFonts w:ascii="Times New Roman" w:hAnsi="Times New Roman"/>
          <w:lang w:val="en-US"/>
        </w:rPr>
        <w:t xml:space="preserve">, </w:t>
      </w:r>
      <w:r w:rsidR="00193137" w:rsidRPr="007D770B">
        <w:rPr>
          <w:rFonts w:ascii="Times New Roman" w:hAnsi="Times New Roman"/>
          <w:lang w:val="en-US"/>
        </w:rPr>
        <w:t xml:space="preserve">investments in subsidiaries and associates and </w:t>
      </w:r>
      <w:r w:rsidR="00B87299" w:rsidRPr="007D770B">
        <w:rPr>
          <w:rFonts w:ascii="Times New Roman" w:hAnsi="Times New Roman"/>
          <w:lang w:val="en-US"/>
        </w:rPr>
        <w:t xml:space="preserve">investment </w:t>
      </w:r>
      <w:r w:rsidR="00BE6B32" w:rsidRPr="007D770B">
        <w:rPr>
          <w:rFonts w:ascii="Times New Roman" w:hAnsi="Times New Roman"/>
          <w:lang w:val="en-US"/>
        </w:rPr>
        <w:t>property</w:t>
      </w:r>
      <w:r w:rsidRPr="007D770B">
        <w:rPr>
          <w:rFonts w:ascii="Times New Roman" w:hAnsi="Times New Roman"/>
          <w:lang w:val="en-US"/>
        </w:rPr>
        <w:t>.</w:t>
      </w:r>
    </w:p>
    <w:p w14:paraId="62E88261" w14:textId="77777777" w:rsidR="009E2B77" w:rsidRPr="007D770B" w:rsidRDefault="009E2B77" w:rsidP="00F96B17">
      <w:pPr>
        <w:spacing w:before="240" w:line="240" w:lineRule="auto"/>
        <w:ind w:left="0" w:right="-5"/>
        <w:rPr>
          <w:rFonts w:ascii="Times New Roman" w:hAnsi="Times New Roman"/>
          <w:lang w:val="en-US"/>
        </w:rPr>
      </w:pPr>
      <w:r w:rsidRPr="007D770B">
        <w:rPr>
          <w:rFonts w:ascii="Times New Roman" w:hAnsi="Times New Roman"/>
          <w:b/>
          <w:lang w:val="en-US"/>
        </w:rPr>
        <w:t xml:space="preserve">Operating activities </w:t>
      </w:r>
      <w:r w:rsidRPr="007D770B">
        <w:rPr>
          <w:rFonts w:ascii="Times New Roman" w:hAnsi="Times New Roman"/>
          <w:lang w:val="en-US"/>
        </w:rPr>
        <w:t xml:space="preserve">are the </w:t>
      </w:r>
      <w:r w:rsidR="00F9744B" w:rsidRPr="007D770B">
        <w:rPr>
          <w:rFonts w:ascii="Times New Roman" w:hAnsi="Times New Roman"/>
          <w:lang w:val="en-US"/>
        </w:rPr>
        <w:t xml:space="preserve">Bank's </w:t>
      </w:r>
      <w:r w:rsidRPr="007D770B">
        <w:rPr>
          <w:rFonts w:ascii="Times New Roman" w:hAnsi="Times New Roman"/>
          <w:lang w:val="en-US"/>
        </w:rPr>
        <w:t xml:space="preserve">principal </w:t>
      </w:r>
      <w:r w:rsidR="00193137" w:rsidRPr="007D770B">
        <w:rPr>
          <w:rFonts w:ascii="Times New Roman" w:hAnsi="Times New Roman"/>
          <w:lang w:val="en-US"/>
        </w:rPr>
        <w:t xml:space="preserve">revenue-generating </w:t>
      </w:r>
      <w:r w:rsidRPr="007D770B">
        <w:rPr>
          <w:rFonts w:ascii="Times New Roman" w:hAnsi="Times New Roman"/>
          <w:lang w:val="en-US"/>
        </w:rPr>
        <w:t>activities and other activities, other than investing and financing activities.</w:t>
      </w:r>
    </w:p>
    <w:p w14:paraId="0CDEAC84" w14:textId="77777777" w:rsidR="009E2B77" w:rsidRPr="007D770B" w:rsidRDefault="009E2B77" w:rsidP="00F96B17">
      <w:pPr>
        <w:pStyle w:val="afff1"/>
        <w:spacing w:before="240" w:after="240" w:line="240" w:lineRule="auto"/>
        <w:rPr>
          <w:rFonts w:ascii="Times New Roman" w:hAnsi="Times New Roman"/>
          <w:lang w:val="en-US"/>
        </w:rPr>
      </w:pPr>
      <w:r w:rsidRPr="007D770B">
        <w:rPr>
          <w:rFonts w:ascii="Times New Roman" w:hAnsi="Times New Roman"/>
          <w:b/>
          <w:lang w:val="en-US"/>
        </w:rPr>
        <w:t xml:space="preserve">Financing </w:t>
      </w:r>
      <w:r w:rsidRPr="007D770B">
        <w:rPr>
          <w:rFonts w:ascii="Times New Roman" w:hAnsi="Times New Roman"/>
          <w:lang w:val="en-US"/>
        </w:rPr>
        <w:t xml:space="preserve">activities are those activities that result in changes in the amount and composition of the </w:t>
      </w:r>
      <w:r w:rsidR="00F9744B" w:rsidRPr="007D770B">
        <w:rPr>
          <w:rFonts w:ascii="Times New Roman" w:hAnsi="Times New Roman"/>
          <w:lang w:val="en-US"/>
        </w:rPr>
        <w:t xml:space="preserve">Bank's </w:t>
      </w:r>
      <w:r w:rsidRPr="007D770B">
        <w:rPr>
          <w:rFonts w:ascii="Times New Roman" w:hAnsi="Times New Roman"/>
          <w:lang w:val="en-US"/>
        </w:rPr>
        <w:t>capital and borrowings.</w:t>
      </w:r>
    </w:p>
    <w:p w14:paraId="558CFF4C" w14:textId="77777777" w:rsidR="009E2B77" w:rsidRPr="007D770B" w:rsidRDefault="009E2B77" w:rsidP="00F96B17">
      <w:pPr>
        <w:spacing w:before="240" w:line="240" w:lineRule="auto"/>
        <w:ind w:left="0" w:right="-5"/>
        <w:rPr>
          <w:rFonts w:ascii="Times New Roman" w:hAnsi="Times New Roman"/>
          <w:lang w:val="en-US"/>
        </w:rPr>
      </w:pPr>
      <w:r w:rsidRPr="007D770B">
        <w:rPr>
          <w:rFonts w:ascii="Times New Roman" w:hAnsi="Times New Roman"/>
          <w:b/>
          <w:lang w:val="en-US"/>
        </w:rPr>
        <w:t xml:space="preserve">Cash equivalents </w:t>
      </w:r>
      <w:r w:rsidRPr="007D770B">
        <w:rPr>
          <w:rFonts w:ascii="Times New Roman" w:hAnsi="Times New Roman"/>
          <w:lang w:val="en-US"/>
        </w:rPr>
        <w:t xml:space="preserve">are short-term, highly liquid investments that are readily convertible to known amounts of cash and are subject to an insignificant risk of changes in value, with original maturities of less than </w:t>
      </w:r>
      <w:r w:rsidR="00FF0499" w:rsidRPr="007D770B">
        <w:rPr>
          <w:rFonts w:ascii="Times New Roman" w:hAnsi="Times New Roman"/>
          <w:lang w:val="en-US"/>
        </w:rPr>
        <w:t xml:space="preserve">three </w:t>
      </w:r>
      <w:r w:rsidRPr="007D770B">
        <w:rPr>
          <w:rFonts w:ascii="Times New Roman" w:hAnsi="Times New Roman"/>
          <w:lang w:val="en-US"/>
        </w:rPr>
        <w:t>months.</w:t>
      </w:r>
    </w:p>
    <w:p w14:paraId="1D2ADB0E" w14:textId="372F3EA6" w:rsidR="009E2B77" w:rsidRPr="007D770B" w:rsidRDefault="009E2B77" w:rsidP="00E61D21">
      <w:pPr>
        <w:pStyle w:val="3"/>
        <w:rPr>
          <w:lang w:val="en-US"/>
        </w:rPr>
      </w:pPr>
      <w:bookmarkStart w:id="169" w:name="_Toc187313940"/>
      <w:bookmarkStart w:id="170" w:name="_Toc248586851"/>
      <w:bookmarkStart w:id="171" w:name="_Toc248730779"/>
      <w:bookmarkStart w:id="172" w:name="_Toc271279841"/>
      <w:bookmarkStart w:id="173" w:name="_Toc168502053"/>
      <w:r w:rsidRPr="007D770B">
        <w:rPr>
          <w:lang w:val="en-US"/>
        </w:rPr>
        <w:t>5.3 Accounting policies</w:t>
      </w:r>
      <w:bookmarkEnd w:id="169"/>
      <w:bookmarkEnd w:id="170"/>
      <w:bookmarkEnd w:id="171"/>
      <w:bookmarkEnd w:id="172"/>
      <w:bookmarkEnd w:id="173"/>
    </w:p>
    <w:p w14:paraId="102276C4" w14:textId="77777777" w:rsidR="009E2B77" w:rsidRPr="007D770B" w:rsidRDefault="009E2B77" w:rsidP="00F96B17">
      <w:pPr>
        <w:pStyle w:val="afff1"/>
        <w:spacing w:before="240" w:after="240" w:line="240" w:lineRule="auto"/>
        <w:rPr>
          <w:rFonts w:ascii="Times New Roman" w:hAnsi="Times New Roman"/>
          <w:lang w:val="en-US"/>
        </w:rPr>
      </w:pPr>
      <w:bookmarkStart w:id="174" w:name="_Toc187313941"/>
      <w:r w:rsidRPr="007D770B">
        <w:rPr>
          <w:rFonts w:ascii="Times New Roman" w:hAnsi="Times New Roman"/>
          <w:lang w:val="en-US"/>
        </w:rPr>
        <w:t>Cash and cash equivalents include:</w:t>
      </w:r>
    </w:p>
    <w:p w14:paraId="1532E60B" w14:textId="77777777" w:rsidR="009E2B77" w:rsidRPr="007D770B" w:rsidRDefault="009E2B77" w:rsidP="00AE698A">
      <w:pPr>
        <w:pStyle w:val="afffc"/>
        <w:numPr>
          <w:ilvl w:val="0"/>
          <w:numId w:val="38"/>
        </w:numPr>
        <w:tabs>
          <w:tab w:val="left" w:pos="360"/>
        </w:tabs>
        <w:spacing w:before="240" w:beforeAutospacing="0" w:after="240" w:afterAutospacing="0"/>
        <w:jc w:val="both"/>
        <w:rPr>
          <w:rFonts w:ascii="Times New Roman" w:hAnsi="Times New Roman"/>
          <w:color w:val="auto"/>
          <w:sz w:val="20"/>
          <w:szCs w:val="20"/>
        </w:rPr>
      </w:pPr>
      <w:r w:rsidRPr="007D770B">
        <w:rPr>
          <w:rFonts w:ascii="Times New Roman" w:hAnsi="Times New Roman"/>
          <w:color w:val="auto"/>
          <w:sz w:val="20"/>
          <w:szCs w:val="20"/>
        </w:rPr>
        <w:t xml:space="preserve">Cash on hand in local currency: used to record information on the availability and movement of cash on hand of the </w:t>
      </w:r>
      <w:r w:rsidR="00F9744B" w:rsidRPr="007D770B">
        <w:rPr>
          <w:rFonts w:ascii="Times New Roman" w:hAnsi="Times New Roman"/>
          <w:color w:val="auto"/>
          <w:sz w:val="20"/>
          <w:szCs w:val="20"/>
        </w:rPr>
        <w:t xml:space="preserve">Bank </w:t>
      </w:r>
      <w:r w:rsidRPr="007D770B">
        <w:rPr>
          <w:rFonts w:ascii="Times New Roman" w:hAnsi="Times New Roman"/>
          <w:color w:val="auto"/>
          <w:sz w:val="20"/>
          <w:szCs w:val="20"/>
        </w:rPr>
        <w:t>in KZT;</w:t>
      </w:r>
    </w:p>
    <w:p w14:paraId="5CAFE73F" w14:textId="77777777" w:rsidR="009E2B77" w:rsidRPr="007D770B" w:rsidRDefault="009E2B77" w:rsidP="00AE698A">
      <w:pPr>
        <w:pStyle w:val="afffc"/>
        <w:numPr>
          <w:ilvl w:val="0"/>
          <w:numId w:val="38"/>
        </w:numPr>
        <w:tabs>
          <w:tab w:val="left" w:pos="360"/>
        </w:tabs>
        <w:spacing w:before="240" w:beforeAutospacing="0" w:after="240" w:afterAutospacing="0"/>
        <w:jc w:val="both"/>
        <w:rPr>
          <w:rFonts w:ascii="Times New Roman" w:hAnsi="Times New Roman"/>
          <w:color w:val="auto"/>
          <w:sz w:val="20"/>
          <w:szCs w:val="20"/>
        </w:rPr>
      </w:pPr>
      <w:r w:rsidRPr="007D770B">
        <w:rPr>
          <w:rFonts w:ascii="Times New Roman" w:hAnsi="Times New Roman"/>
          <w:color w:val="auto"/>
          <w:sz w:val="20"/>
          <w:szCs w:val="20"/>
        </w:rPr>
        <w:t xml:space="preserve">cash on hand in foreign currency: used to record information on the availability and movement of cash on hand of the </w:t>
      </w:r>
      <w:r w:rsidR="00F9744B" w:rsidRPr="007D770B">
        <w:rPr>
          <w:rFonts w:ascii="Times New Roman" w:hAnsi="Times New Roman"/>
          <w:color w:val="auto"/>
          <w:sz w:val="20"/>
          <w:szCs w:val="20"/>
        </w:rPr>
        <w:t xml:space="preserve">Bank </w:t>
      </w:r>
      <w:r w:rsidRPr="007D770B">
        <w:rPr>
          <w:rFonts w:ascii="Times New Roman" w:hAnsi="Times New Roman"/>
          <w:color w:val="auto"/>
          <w:sz w:val="20"/>
          <w:szCs w:val="20"/>
        </w:rPr>
        <w:t>in foreign currency;</w:t>
      </w:r>
    </w:p>
    <w:p w14:paraId="63473F04" w14:textId="77777777" w:rsidR="009E2B77" w:rsidRPr="007D770B" w:rsidRDefault="009E2B77" w:rsidP="00AE698A">
      <w:pPr>
        <w:pStyle w:val="afffc"/>
        <w:numPr>
          <w:ilvl w:val="0"/>
          <w:numId w:val="38"/>
        </w:numPr>
        <w:tabs>
          <w:tab w:val="left" w:pos="360"/>
        </w:tabs>
        <w:spacing w:before="240" w:beforeAutospacing="0" w:after="240" w:afterAutospacing="0"/>
        <w:jc w:val="both"/>
        <w:rPr>
          <w:rFonts w:ascii="Times New Roman" w:hAnsi="Times New Roman"/>
          <w:color w:val="auto"/>
          <w:sz w:val="20"/>
          <w:szCs w:val="20"/>
        </w:rPr>
      </w:pPr>
      <w:r w:rsidRPr="007D770B">
        <w:rPr>
          <w:rFonts w:ascii="Times New Roman" w:hAnsi="Times New Roman"/>
          <w:color w:val="auto"/>
          <w:sz w:val="20"/>
          <w:szCs w:val="20"/>
        </w:rPr>
        <w:t xml:space="preserve">cash on </w:t>
      </w:r>
      <w:r w:rsidR="00E33D08" w:rsidRPr="007D770B">
        <w:rPr>
          <w:rFonts w:ascii="Times New Roman" w:hAnsi="Times New Roman"/>
          <w:color w:val="auto"/>
          <w:sz w:val="20"/>
          <w:szCs w:val="20"/>
        </w:rPr>
        <w:t xml:space="preserve">correspondent </w:t>
      </w:r>
      <w:r w:rsidRPr="007D770B">
        <w:rPr>
          <w:rFonts w:ascii="Times New Roman" w:hAnsi="Times New Roman"/>
          <w:color w:val="auto"/>
          <w:sz w:val="20"/>
          <w:szCs w:val="20"/>
        </w:rPr>
        <w:t xml:space="preserve">accounts in KZT: used to reflect information on the availability and movement of cash in KZT on </w:t>
      </w:r>
      <w:r w:rsidR="00E33D08" w:rsidRPr="007D770B">
        <w:rPr>
          <w:rFonts w:ascii="Times New Roman" w:hAnsi="Times New Roman"/>
          <w:color w:val="auto"/>
          <w:sz w:val="20"/>
          <w:szCs w:val="20"/>
        </w:rPr>
        <w:t xml:space="preserve">correspondent </w:t>
      </w:r>
      <w:r w:rsidRPr="007D770B">
        <w:rPr>
          <w:rFonts w:ascii="Times New Roman" w:hAnsi="Times New Roman"/>
          <w:color w:val="auto"/>
          <w:sz w:val="20"/>
          <w:szCs w:val="20"/>
        </w:rPr>
        <w:t xml:space="preserve">accounts of the </w:t>
      </w:r>
      <w:r w:rsidR="00F9744B" w:rsidRPr="007D770B">
        <w:rPr>
          <w:rFonts w:ascii="Times New Roman" w:hAnsi="Times New Roman"/>
          <w:color w:val="auto"/>
          <w:sz w:val="20"/>
          <w:szCs w:val="20"/>
        </w:rPr>
        <w:t>Bank</w:t>
      </w:r>
      <w:r w:rsidRPr="007D770B">
        <w:rPr>
          <w:rFonts w:ascii="Times New Roman" w:hAnsi="Times New Roman"/>
          <w:color w:val="auto"/>
          <w:sz w:val="20"/>
          <w:szCs w:val="20"/>
        </w:rPr>
        <w:t>, to reflect overdraft in KZT;</w:t>
      </w:r>
    </w:p>
    <w:p w14:paraId="3F496235" w14:textId="77777777" w:rsidR="009E2B77" w:rsidRPr="007D770B" w:rsidRDefault="009E2B77" w:rsidP="00AE698A">
      <w:pPr>
        <w:pStyle w:val="afffc"/>
        <w:numPr>
          <w:ilvl w:val="0"/>
          <w:numId w:val="38"/>
        </w:numPr>
        <w:tabs>
          <w:tab w:val="left" w:pos="360"/>
        </w:tabs>
        <w:spacing w:before="240" w:beforeAutospacing="0" w:after="240" w:afterAutospacing="0"/>
        <w:jc w:val="both"/>
        <w:rPr>
          <w:rFonts w:ascii="Times New Roman" w:hAnsi="Times New Roman"/>
          <w:color w:val="auto"/>
          <w:sz w:val="20"/>
          <w:szCs w:val="20"/>
        </w:rPr>
      </w:pPr>
      <w:r w:rsidRPr="007D770B">
        <w:rPr>
          <w:rFonts w:ascii="Times New Roman" w:hAnsi="Times New Roman"/>
          <w:color w:val="auto"/>
          <w:sz w:val="20"/>
          <w:szCs w:val="20"/>
        </w:rPr>
        <w:t xml:space="preserve">cash in foreign currency accounts: used to reflect information on the availability and movement of cash in foreign currency on the </w:t>
      </w:r>
      <w:r w:rsidR="00F9744B" w:rsidRPr="007D770B">
        <w:rPr>
          <w:rFonts w:ascii="Times New Roman" w:hAnsi="Times New Roman"/>
          <w:color w:val="auto"/>
          <w:sz w:val="20"/>
          <w:szCs w:val="20"/>
        </w:rPr>
        <w:t xml:space="preserve">Bank's </w:t>
      </w:r>
      <w:r w:rsidR="00E33D08" w:rsidRPr="007D770B">
        <w:rPr>
          <w:rFonts w:ascii="Times New Roman" w:hAnsi="Times New Roman"/>
          <w:color w:val="auto"/>
          <w:sz w:val="20"/>
          <w:szCs w:val="20"/>
        </w:rPr>
        <w:t xml:space="preserve">correspondent </w:t>
      </w:r>
      <w:r w:rsidRPr="007D770B">
        <w:rPr>
          <w:rFonts w:ascii="Times New Roman" w:hAnsi="Times New Roman"/>
          <w:color w:val="auto"/>
          <w:sz w:val="20"/>
          <w:szCs w:val="20"/>
        </w:rPr>
        <w:t>accounts, as well as to reflect the overdraft in currency;</w:t>
      </w:r>
    </w:p>
    <w:p w14:paraId="7D49585A" w14:textId="77777777" w:rsidR="009E2B77" w:rsidRPr="007D770B" w:rsidRDefault="009E2B77" w:rsidP="00AE698A">
      <w:pPr>
        <w:pStyle w:val="afffc"/>
        <w:numPr>
          <w:ilvl w:val="0"/>
          <w:numId w:val="38"/>
        </w:numPr>
        <w:tabs>
          <w:tab w:val="left" w:pos="360"/>
        </w:tabs>
        <w:spacing w:before="240" w:beforeAutospacing="0" w:after="240" w:afterAutospacing="0"/>
        <w:jc w:val="both"/>
        <w:rPr>
          <w:rFonts w:ascii="Times New Roman" w:hAnsi="Times New Roman"/>
          <w:color w:val="auto"/>
          <w:sz w:val="20"/>
          <w:szCs w:val="20"/>
        </w:rPr>
      </w:pPr>
      <w:r w:rsidRPr="007D770B">
        <w:rPr>
          <w:rFonts w:ascii="Times New Roman" w:hAnsi="Times New Roman"/>
          <w:color w:val="auto"/>
          <w:sz w:val="20"/>
          <w:szCs w:val="20"/>
        </w:rPr>
        <w:t>cash on deposit accounts in KZT: used to record information on the presence and movement of funds in KZT on deposit accounts with a restricted period of up to three months;</w:t>
      </w:r>
    </w:p>
    <w:p w14:paraId="01CF7161" w14:textId="77777777" w:rsidR="009E2B77" w:rsidRPr="007D770B" w:rsidRDefault="009E2B77" w:rsidP="00AE698A">
      <w:pPr>
        <w:pStyle w:val="afffc"/>
        <w:numPr>
          <w:ilvl w:val="0"/>
          <w:numId w:val="38"/>
        </w:numPr>
        <w:tabs>
          <w:tab w:val="left" w:pos="360"/>
        </w:tabs>
        <w:spacing w:before="240" w:beforeAutospacing="0" w:after="240" w:afterAutospacing="0"/>
        <w:jc w:val="both"/>
        <w:rPr>
          <w:rFonts w:ascii="Times New Roman" w:hAnsi="Times New Roman"/>
          <w:color w:val="auto"/>
          <w:sz w:val="20"/>
          <w:szCs w:val="20"/>
        </w:rPr>
      </w:pPr>
      <w:r w:rsidRPr="007D770B">
        <w:rPr>
          <w:rFonts w:ascii="Times New Roman" w:hAnsi="Times New Roman"/>
          <w:color w:val="auto"/>
          <w:sz w:val="20"/>
          <w:szCs w:val="20"/>
        </w:rPr>
        <w:t>Cash in foreign currency deposit accounts: used to record information on the availability and movement of funds in foreign currency on deposit accounts for a period of up to three months;</w:t>
      </w:r>
    </w:p>
    <w:p w14:paraId="0E3D534F" w14:textId="77777777" w:rsidR="008B3C9F" w:rsidRPr="002D4EA3" w:rsidRDefault="008B3C9F" w:rsidP="00AE698A">
      <w:pPr>
        <w:pStyle w:val="afffc"/>
        <w:numPr>
          <w:ilvl w:val="0"/>
          <w:numId w:val="38"/>
        </w:numPr>
        <w:tabs>
          <w:tab w:val="left" w:pos="360"/>
        </w:tabs>
        <w:spacing w:before="240" w:beforeAutospacing="0" w:after="240" w:afterAutospacing="0"/>
        <w:jc w:val="both"/>
        <w:rPr>
          <w:rFonts w:ascii="Times New Roman" w:hAnsi="Times New Roman"/>
          <w:color w:val="auto"/>
          <w:sz w:val="20"/>
          <w:szCs w:val="20"/>
          <w:lang w:val="ru-RU"/>
        </w:rPr>
      </w:pPr>
      <w:r w:rsidRPr="002D4EA3">
        <w:rPr>
          <w:rFonts w:ascii="Times New Roman" w:hAnsi="Times New Roman"/>
          <w:color w:val="auto"/>
          <w:sz w:val="20"/>
          <w:szCs w:val="20"/>
          <w:lang w:val="ru-RU"/>
        </w:rPr>
        <w:t>reverse repurchase agreements;</w:t>
      </w:r>
    </w:p>
    <w:p w14:paraId="61B1B299" w14:textId="77777777" w:rsidR="009E2B77" w:rsidRPr="002D4EA3" w:rsidRDefault="009E2B77" w:rsidP="00AE698A">
      <w:pPr>
        <w:pStyle w:val="afffc"/>
        <w:numPr>
          <w:ilvl w:val="0"/>
          <w:numId w:val="38"/>
        </w:numPr>
        <w:tabs>
          <w:tab w:val="left" w:pos="360"/>
        </w:tabs>
        <w:spacing w:before="240" w:beforeAutospacing="0" w:after="240" w:afterAutospacing="0"/>
        <w:jc w:val="both"/>
        <w:rPr>
          <w:rFonts w:ascii="Times New Roman" w:hAnsi="Times New Roman"/>
          <w:color w:val="auto"/>
          <w:sz w:val="20"/>
          <w:szCs w:val="20"/>
          <w:lang w:val="ru-RU"/>
        </w:rPr>
      </w:pPr>
      <w:r w:rsidRPr="002D4EA3">
        <w:rPr>
          <w:rFonts w:ascii="Times New Roman" w:hAnsi="Times New Roman"/>
          <w:color w:val="auto"/>
          <w:sz w:val="20"/>
          <w:szCs w:val="20"/>
          <w:lang w:val="ru-RU"/>
        </w:rPr>
        <w:t>others.</w:t>
      </w:r>
    </w:p>
    <w:p w14:paraId="791D9190" w14:textId="4F9E728E" w:rsidR="009E2B77" w:rsidRPr="002D4EA3" w:rsidRDefault="009E2B77" w:rsidP="00F96B17">
      <w:pPr>
        <w:spacing w:before="240" w:line="240" w:lineRule="auto"/>
        <w:ind w:left="0"/>
        <w:rPr>
          <w:rFonts w:ascii="Times New Roman" w:hAnsi="Times New Roman"/>
          <w:b/>
          <w:lang w:eastAsia="ru-RU"/>
        </w:rPr>
      </w:pPr>
      <w:r w:rsidRPr="002D4EA3">
        <w:rPr>
          <w:rFonts w:ascii="Times New Roman" w:hAnsi="Times New Roman"/>
          <w:b/>
          <w:lang w:eastAsia="ru-RU"/>
        </w:rPr>
        <w:lastRenderedPageBreak/>
        <w:t xml:space="preserve">Cash accounting </w:t>
      </w:r>
      <w:bookmarkEnd w:id="174"/>
    </w:p>
    <w:p w14:paraId="7E66366C" w14:textId="536696AA" w:rsidR="009E2B77" w:rsidRPr="007D770B" w:rsidRDefault="009E2B77" w:rsidP="00F96B17">
      <w:pPr>
        <w:pStyle w:val="afff1"/>
        <w:spacing w:before="240" w:after="240" w:line="240" w:lineRule="auto"/>
        <w:rPr>
          <w:rFonts w:ascii="Times New Roman" w:hAnsi="Times New Roman"/>
          <w:lang w:val="en-US"/>
        </w:rPr>
      </w:pPr>
      <w:r w:rsidRPr="007D770B">
        <w:rPr>
          <w:rFonts w:ascii="Times New Roman" w:hAnsi="Times New Roman"/>
          <w:lang w:val="en-US"/>
        </w:rPr>
        <w:t xml:space="preserve">Cash means cash on hand, on </w:t>
      </w:r>
      <w:r w:rsidR="00AA360B" w:rsidRPr="007D770B">
        <w:rPr>
          <w:rFonts w:ascii="Times New Roman" w:hAnsi="Times New Roman"/>
          <w:lang w:val="en-US"/>
        </w:rPr>
        <w:t xml:space="preserve">correspondent </w:t>
      </w:r>
      <w:r w:rsidR="00EE3CCF" w:rsidRPr="007D770B">
        <w:rPr>
          <w:rFonts w:ascii="Times New Roman" w:hAnsi="Times New Roman"/>
          <w:lang w:val="en-US"/>
        </w:rPr>
        <w:t xml:space="preserve">accounts with </w:t>
      </w:r>
      <w:r w:rsidRPr="007D770B">
        <w:rPr>
          <w:rFonts w:ascii="Times New Roman" w:hAnsi="Times New Roman"/>
          <w:lang w:val="en-US"/>
        </w:rPr>
        <w:t xml:space="preserve">the </w:t>
      </w:r>
      <w:r w:rsidR="00AA360B" w:rsidRPr="007D770B">
        <w:rPr>
          <w:rFonts w:ascii="Times New Roman" w:hAnsi="Times New Roman"/>
          <w:lang w:val="en-US"/>
        </w:rPr>
        <w:t xml:space="preserve">NBRK </w:t>
      </w:r>
      <w:r w:rsidR="00EE3CCF" w:rsidRPr="007D770B">
        <w:rPr>
          <w:rFonts w:ascii="Times New Roman" w:hAnsi="Times New Roman"/>
          <w:lang w:val="en-US"/>
        </w:rPr>
        <w:t>and other banks (</w:t>
      </w:r>
      <w:r w:rsidRPr="007D770B">
        <w:rPr>
          <w:rFonts w:ascii="Times New Roman" w:hAnsi="Times New Roman"/>
          <w:lang w:val="en-US"/>
        </w:rPr>
        <w:t xml:space="preserve">cash that can be used in turnover without time limitation). </w:t>
      </w:r>
    </w:p>
    <w:p w14:paraId="3242C9D7" w14:textId="77777777" w:rsidR="009E2B77" w:rsidRPr="007D770B" w:rsidRDefault="009E2B77" w:rsidP="00F96B17">
      <w:pPr>
        <w:autoSpaceDE w:val="0"/>
        <w:autoSpaceDN w:val="0"/>
        <w:adjustRightInd w:val="0"/>
        <w:spacing w:before="240" w:line="240" w:lineRule="auto"/>
        <w:ind w:left="0"/>
        <w:rPr>
          <w:rFonts w:ascii="Times New Roman" w:hAnsi="Times New Roman"/>
          <w:b/>
          <w:lang w:val="en-US" w:eastAsia="ru-RU"/>
        </w:rPr>
      </w:pPr>
      <w:bookmarkStart w:id="175" w:name="_Toc187313942"/>
      <w:r w:rsidRPr="007D770B">
        <w:rPr>
          <w:rFonts w:ascii="Times New Roman" w:hAnsi="Times New Roman"/>
          <w:b/>
          <w:lang w:val="en-US" w:eastAsia="ru-RU"/>
        </w:rPr>
        <w:t>Accounting for cash equivalents</w:t>
      </w:r>
      <w:bookmarkEnd w:id="175"/>
    </w:p>
    <w:p w14:paraId="474619A4" w14:textId="77777777" w:rsidR="009E2B77" w:rsidRPr="007D770B" w:rsidRDefault="009E2B77" w:rsidP="00F96B17">
      <w:pPr>
        <w:tabs>
          <w:tab w:val="left" w:pos="257"/>
          <w:tab w:val="left" w:pos="554"/>
          <w:tab w:val="left" w:pos="890"/>
          <w:tab w:val="left" w:pos="1188"/>
          <w:tab w:val="left" w:pos="7440"/>
        </w:tabs>
        <w:spacing w:before="240" w:line="240" w:lineRule="auto"/>
        <w:ind w:left="0"/>
        <w:rPr>
          <w:rFonts w:ascii="Times New Roman" w:hAnsi="Times New Roman"/>
          <w:snapToGrid w:val="0"/>
          <w:lang w:val="en-US"/>
        </w:rPr>
      </w:pPr>
      <w:r w:rsidRPr="007D770B">
        <w:rPr>
          <w:rFonts w:ascii="Times New Roman" w:hAnsi="Times New Roman"/>
          <w:snapToGrid w:val="0"/>
          <w:lang w:val="en-US"/>
        </w:rPr>
        <w:t xml:space="preserve">Other cash and cash equivalents e includes short-term deposits with original maturities of three months or less, as well as funds placed in deposit accounts that are readily convertible to known amounts of cash and are subject to an insignificant risk of changes in value. </w:t>
      </w:r>
    </w:p>
    <w:p w14:paraId="67528EEE" w14:textId="77777777" w:rsidR="009E2B77" w:rsidRPr="007D770B" w:rsidRDefault="009E2B77" w:rsidP="00F96B17">
      <w:pPr>
        <w:tabs>
          <w:tab w:val="left" w:pos="257"/>
          <w:tab w:val="left" w:pos="554"/>
          <w:tab w:val="left" w:pos="890"/>
          <w:tab w:val="left" w:pos="1188"/>
          <w:tab w:val="left" w:pos="7440"/>
        </w:tabs>
        <w:spacing w:before="240" w:line="240" w:lineRule="auto"/>
        <w:ind w:left="0"/>
        <w:rPr>
          <w:rFonts w:ascii="Times New Roman" w:hAnsi="Times New Roman"/>
          <w:snapToGrid w:val="0"/>
          <w:lang w:val="en-US"/>
        </w:rPr>
      </w:pPr>
      <w:r w:rsidRPr="007D770B">
        <w:rPr>
          <w:rFonts w:ascii="Times New Roman" w:hAnsi="Times New Roman"/>
          <w:snapToGrid w:val="0"/>
          <w:lang w:val="en-US"/>
        </w:rPr>
        <w:t>They are used to account for them:</w:t>
      </w:r>
    </w:p>
    <w:p w14:paraId="65421EF2" w14:textId="77777777" w:rsidR="009E2B77" w:rsidRPr="007D770B" w:rsidRDefault="009E2B77" w:rsidP="00AE698A">
      <w:pPr>
        <w:pStyle w:val="afffc"/>
        <w:numPr>
          <w:ilvl w:val="0"/>
          <w:numId w:val="38"/>
        </w:numPr>
        <w:tabs>
          <w:tab w:val="left" w:pos="360"/>
        </w:tabs>
        <w:spacing w:before="240" w:beforeAutospacing="0" w:after="240" w:afterAutospacing="0"/>
        <w:jc w:val="both"/>
        <w:rPr>
          <w:rFonts w:ascii="Times New Roman" w:hAnsi="Times New Roman"/>
          <w:color w:val="auto"/>
          <w:sz w:val="20"/>
          <w:szCs w:val="20"/>
        </w:rPr>
      </w:pPr>
      <w:r w:rsidRPr="007D770B">
        <w:rPr>
          <w:rFonts w:ascii="Times New Roman" w:hAnsi="Times New Roman"/>
          <w:color w:val="auto"/>
          <w:sz w:val="20"/>
          <w:szCs w:val="20"/>
        </w:rPr>
        <w:t>deposit accounts in KZT (not more than three months), as well as funds placed on deposit accounts that are readily convertible into a specific amount of cash and are subject to an insignificant risk of changes in value;</w:t>
      </w:r>
    </w:p>
    <w:p w14:paraId="34AA05A1" w14:textId="77777777" w:rsidR="009E2B77" w:rsidRPr="007D770B" w:rsidRDefault="009E2B77" w:rsidP="00AE698A">
      <w:pPr>
        <w:pStyle w:val="afffc"/>
        <w:numPr>
          <w:ilvl w:val="0"/>
          <w:numId w:val="38"/>
        </w:numPr>
        <w:tabs>
          <w:tab w:val="left" w:pos="360"/>
        </w:tabs>
        <w:spacing w:before="240" w:beforeAutospacing="0" w:after="240" w:afterAutospacing="0"/>
        <w:jc w:val="both"/>
        <w:rPr>
          <w:rFonts w:ascii="Times New Roman" w:hAnsi="Times New Roman"/>
          <w:snapToGrid w:val="0"/>
          <w:sz w:val="20"/>
          <w:szCs w:val="20"/>
        </w:rPr>
      </w:pPr>
      <w:r w:rsidRPr="007D770B">
        <w:rPr>
          <w:rFonts w:ascii="Times New Roman" w:hAnsi="Times New Roman"/>
          <w:color w:val="auto"/>
          <w:sz w:val="20"/>
          <w:szCs w:val="20"/>
        </w:rPr>
        <w:t xml:space="preserve">deposit accounts in currency (not more than three months) as well as funds placed on deposit accounts that are readily convertible into a specific amount of cash and are subject to an insignificant </w:t>
      </w:r>
      <w:r w:rsidRPr="007D770B">
        <w:rPr>
          <w:rFonts w:ascii="Times New Roman" w:hAnsi="Times New Roman"/>
          <w:snapToGrid w:val="0"/>
          <w:sz w:val="20"/>
          <w:szCs w:val="20"/>
        </w:rPr>
        <w:t>risk of changes in value;</w:t>
      </w:r>
    </w:p>
    <w:p w14:paraId="79A6B18C" w14:textId="77777777" w:rsidR="009E2B77" w:rsidRPr="007D770B" w:rsidRDefault="009E2B77" w:rsidP="00F96B17">
      <w:pPr>
        <w:spacing w:before="240" w:line="240" w:lineRule="auto"/>
        <w:ind w:left="0"/>
        <w:rPr>
          <w:rFonts w:ascii="Times New Roman" w:hAnsi="Times New Roman"/>
          <w:lang w:val="en-US"/>
        </w:rPr>
      </w:pPr>
      <w:r w:rsidRPr="007D770B">
        <w:rPr>
          <w:rFonts w:ascii="Times New Roman" w:hAnsi="Times New Roman"/>
          <w:lang w:val="en-US"/>
        </w:rPr>
        <w:t xml:space="preserve">The </w:t>
      </w:r>
      <w:r w:rsidR="00F9744B" w:rsidRPr="007D770B">
        <w:rPr>
          <w:rFonts w:ascii="Times New Roman" w:hAnsi="Times New Roman"/>
          <w:lang w:val="en-US"/>
        </w:rPr>
        <w:t xml:space="preserve">Bank </w:t>
      </w:r>
      <w:r w:rsidRPr="007D770B">
        <w:rPr>
          <w:rFonts w:ascii="Times New Roman" w:hAnsi="Times New Roman"/>
          <w:lang w:val="en-US"/>
        </w:rPr>
        <w:t>reviews deposits and other bank accounts restricted for use due to contractual or other legal conditions (e.g. the account is pledged as collateral, or the account is subject to seizure by tax or other government authorities, or the deposits have a specific purpose) to determine whether they meet the definition of cash and cash equivalents. If these deposits and other bank accounts do not meet the definition of cash and cash equivalents, they are reported as other financial assets or other assets depending on their intended use.</w:t>
      </w:r>
    </w:p>
    <w:p w14:paraId="0AF653AE" w14:textId="77777777" w:rsidR="009E2B77" w:rsidRPr="007D770B" w:rsidRDefault="009E2B77" w:rsidP="00F96B17">
      <w:pPr>
        <w:spacing w:before="240" w:line="240" w:lineRule="auto"/>
        <w:ind w:left="0"/>
        <w:rPr>
          <w:rFonts w:ascii="Times New Roman" w:hAnsi="Times New Roman"/>
          <w:lang w:val="en-US"/>
        </w:rPr>
      </w:pPr>
      <w:r w:rsidRPr="007D770B">
        <w:rPr>
          <w:rFonts w:ascii="Times New Roman" w:hAnsi="Times New Roman"/>
          <w:lang w:val="en-US"/>
        </w:rPr>
        <w:t xml:space="preserve">Amounts of cash and cash equivalents restricted for use for a period of less than </w:t>
      </w:r>
      <w:r w:rsidR="00900ECF" w:rsidRPr="007D770B">
        <w:rPr>
          <w:rFonts w:ascii="Times New Roman" w:hAnsi="Times New Roman"/>
          <w:lang w:val="en-US"/>
        </w:rPr>
        <w:t xml:space="preserve">twelve </w:t>
      </w:r>
      <w:r w:rsidRPr="007D770B">
        <w:rPr>
          <w:rFonts w:ascii="Times New Roman" w:hAnsi="Times New Roman"/>
          <w:lang w:val="en-US"/>
        </w:rPr>
        <w:t xml:space="preserve">months after the statement of financial position date are recognized as current assets. </w:t>
      </w:r>
    </w:p>
    <w:p w14:paraId="26F4EB97" w14:textId="77777777" w:rsidR="009E2B77" w:rsidRPr="007D770B" w:rsidRDefault="009E2B77" w:rsidP="00F96B17">
      <w:pPr>
        <w:spacing w:before="240" w:line="240" w:lineRule="auto"/>
        <w:ind w:left="0"/>
        <w:rPr>
          <w:rFonts w:ascii="Times New Roman" w:hAnsi="Times New Roman"/>
          <w:lang w:val="en-US"/>
        </w:rPr>
      </w:pPr>
      <w:r w:rsidRPr="007D770B">
        <w:rPr>
          <w:rFonts w:ascii="Times New Roman" w:hAnsi="Times New Roman"/>
          <w:lang w:val="en-US"/>
        </w:rPr>
        <w:t xml:space="preserve">Deposits with original maturities greater than </w:t>
      </w:r>
      <w:r w:rsidR="00900ECF" w:rsidRPr="007D770B">
        <w:rPr>
          <w:rFonts w:ascii="Times New Roman" w:hAnsi="Times New Roman"/>
          <w:lang w:val="en-US"/>
        </w:rPr>
        <w:t xml:space="preserve">three </w:t>
      </w:r>
      <w:r w:rsidRPr="007D770B">
        <w:rPr>
          <w:rFonts w:ascii="Times New Roman" w:hAnsi="Times New Roman"/>
          <w:lang w:val="en-US"/>
        </w:rPr>
        <w:t xml:space="preserve">months, which the </w:t>
      </w:r>
      <w:r w:rsidR="00F9744B" w:rsidRPr="007D770B">
        <w:rPr>
          <w:rFonts w:ascii="Times New Roman" w:hAnsi="Times New Roman"/>
          <w:lang w:val="en-US"/>
        </w:rPr>
        <w:t xml:space="preserve">Bank </w:t>
      </w:r>
      <w:r w:rsidRPr="007D770B">
        <w:rPr>
          <w:rFonts w:ascii="Times New Roman" w:hAnsi="Times New Roman"/>
          <w:lang w:val="en-US"/>
        </w:rPr>
        <w:t>may withdraw at any time while retaining the right to receive substantially all of the previously accrued interest, are also recognized as cash equivalents, as such deposits are readily convertible to known amounts of cash with insignificant risk of changes in value.</w:t>
      </w:r>
    </w:p>
    <w:p w14:paraId="1CFECE3C" w14:textId="77777777" w:rsidR="009E2B77" w:rsidRPr="007D770B" w:rsidRDefault="009E2B77" w:rsidP="00F96B17">
      <w:pPr>
        <w:spacing w:before="240" w:line="240" w:lineRule="auto"/>
        <w:ind w:left="0"/>
        <w:rPr>
          <w:rFonts w:ascii="Times New Roman" w:hAnsi="Times New Roman"/>
          <w:lang w:val="en-US"/>
        </w:rPr>
      </w:pPr>
      <w:r w:rsidRPr="007D770B">
        <w:rPr>
          <w:rFonts w:ascii="Times New Roman" w:hAnsi="Times New Roman"/>
          <w:lang w:val="en-US"/>
        </w:rPr>
        <w:t xml:space="preserve">Transactions in foreign currencies are accounted </w:t>
      </w:r>
      <w:r w:rsidRPr="007D770B">
        <w:rPr>
          <w:rFonts w:ascii="Times New Roman" w:hAnsi="Times New Roman"/>
          <w:snapToGrid w:val="0"/>
          <w:lang w:val="en-US"/>
        </w:rPr>
        <w:t xml:space="preserve">for at the market exchange rate </w:t>
      </w:r>
      <w:r w:rsidRPr="007D770B">
        <w:rPr>
          <w:rFonts w:ascii="Times New Roman" w:hAnsi="Times New Roman"/>
          <w:lang w:val="en-US"/>
        </w:rPr>
        <w:t>on the date of the transaction.</w:t>
      </w:r>
    </w:p>
    <w:p w14:paraId="763A871F" w14:textId="77777777" w:rsidR="009E2B77" w:rsidRPr="007D770B" w:rsidRDefault="009E2B77" w:rsidP="00F96B17">
      <w:pPr>
        <w:spacing w:before="240" w:line="240" w:lineRule="auto"/>
        <w:ind w:left="0"/>
        <w:rPr>
          <w:rFonts w:ascii="Times New Roman" w:hAnsi="Times New Roman"/>
          <w:lang w:val="en-US"/>
        </w:rPr>
      </w:pPr>
      <w:r w:rsidRPr="007D770B">
        <w:rPr>
          <w:rFonts w:ascii="Times New Roman" w:hAnsi="Times New Roman"/>
          <w:lang w:val="en-US"/>
        </w:rPr>
        <w:t>Foreign currency balances are subject to revaluation at the market exchange rate at the balance sheet date.</w:t>
      </w:r>
    </w:p>
    <w:p w14:paraId="3E5E9A5C" w14:textId="77777777" w:rsidR="009E2B77" w:rsidRPr="007D770B" w:rsidRDefault="009E2B77" w:rsidP="00F96B17">
      <w:pPr>
        <w:spacing w:before="240" w:line="240" w:lineRule="auto"/>
        <w:ind w:left="0"/>
        <w:rPr>
          <w:rFonts w:ascii="Times New Roman" w:hAnsi="Times New Roman"/>
          <w:lang w:val="en-US"/>
        </w:rPr>
      </w:pPr>
      <w:r w:rsidRPr="007D770B">
        <w:rPr>
          <w:rFonts w:ascii="Times New Roman" w:hAnsi="Times New Roman"/>
          <w:lang w:val="en-US"/>
        </w:rPr>
        <w:t>Exchange differences arising from the revaluation of foreign currency cash balances at the reporting date should be recognized as income or expense in the period in which they arise in the statement of comprehensive income. This exchange difference is to be recognized in the foreign exchange loss/gain accounts.</w:t>
      </w:r>
    </w:p>
    <w:p w14:paraId="1F19EF90" w14:textId="25B7DD6B" w:rsidR="009E2B77" w:rsidRPr="007D770B" w:rsidRDefault="009E2B77" w:rsidP="00E61D21">
      <w:pPr>
        <w:pStyle w:val="3"/>
        <w:rPr>
          <w:lang w:val="en-US"/>
        </w:rPr>
      </w:pPr>
      <w:bookmarkStart w:id="176" w:name="_Toc248730780"/>
      <w:bookmarkStart w:id="177" w:name="_Toc271279842"/>
      <w:bookmarkStart w:id="178" w:name="_Toc168502054"/>
      <w:r w:rsidRPr="007D770B">
        <w:rPr>
          <w:lang w:val="en-US"/>
        </w:rPr>
        <w:t>5.4 Statement of Cash Flows</w:t>
      </w:r>
      <w:bookmarkEnd w:id="176"/>
      <w:bookmarkEnd w:id="177"/>
      <w:bookmarkEnd w:id="178"/>
    </w:p>
    <w:p w14:paraId="41083A1C" w14:textId="77777777" w:rsidR="009E2B77" w:rsidRPr="007D770B" w:rsidRDefault="009E2B77" w:rsidP="00F96B17">
      <w:pPr>
        <w:pStyle w:val="afff1"/>
        <w:tabs>
          <w:tab w:val="left" w:pos="257"/>
          <w:tab w:val="left" w:pos="554"/>
          <w:tab w:val="left" w:pos="890"/>
          <w:tab w:val="left" w:pos="1188"/>
          <w:tab w:val="left" w:pos="7440"/>
        </w:tabs>
        <w:spacing w:before="240" w:after="240" w:line="240" w:lineRule="auto"/>
        <w:rPr>
          <w:rFonts w:ascii="Times New Roman" w:hAnsi="Times New Roman"/>
          <w:lang w:val="en-US"/>
        </w:rPr>
      </w:pPr>
      <w:r w:rsidRPr="007D770B">
        <w:rPr>
          <w:rFonts w:ascii="Times New Roman" w:hAnsi="Times New Roman"/>
          <w:lang w:val="en-US"/>
        </w:rPr>
        <w:t>The statement of cash flows presents the flows (inflows and outflows) of cash and cash equivalents for the period, categorizing them by operating, investing or financing activities.</w:t>
      </w:r>
    </w:p>
    <w:p w14:paraId="73AA12FE" w14:textId="77777777" w:rsidR="009E2B77" w:rsidRPr="007D770B" w:rsidRDefault="009E2B77" w:rsidP="000C1949">
      <w:pPr>
        <w:pStyle w:val="Default"/>
        <w:spacing w:before="240" w:after="240"/>
        <w:jc w:val="both"/>
        <w:rPr>
          <w:color w:val="auto"/>
          <w:sz w:val="20"/>
          <w:szCs w:val="20"/>
        </w:rPr>
      </w:pPr>
      <w:r w:rsidRPr="007D770B">
        <w:rPr>
          <w:color w:val="auto"/>
          <w:sz w:val="20"/>
          <w:szCs w:val="20"/>
        </w:rPr>
        <w:t xml:space="preserve">The </w:t>
      </w:r>
      <w:r w:rsidR="00F9744B" w:rsidRPr="007D770B">
        <w:rPr>
          <w:sz w:val="20"/>
          <w:szCs w:val="20"/>
        </w:rPr>
        <w:t xml:space="preserve">Bank </w:t>
      </w:r>
      <w:r w:rsidRPr="007D770B">
        <w:rPr>
          <w:color w:val="auto"/>
          <w:sz w:val="20"/>
          <w:szCs w:val="20"/>
        </w:rPr>
        <w:t>presents cash flows from operating activities using the direct method, which discloses the principal types of gross cash receipts and disbursements</w:t>
      </w:r>
      <w:r w:rsidR="009E38D2" w:rsidRPr="007D770B">
        <w:rPr>
          <w:color w:val="auto"/>
          <w:sz w:val="20"/>
          <w:szCs w:val="20"/>
        </w:rPr>
        <w:t>.</w:t>
      </w:r>
    </w:p>
    <w:p w14:paraId="5EA79DC5" w14:textId="77777777" w:rsidR="009E2B77" w:rsidRPr="007D770B" w:rsidRDefault="009E2B77" w:rsidP="00F96B17">
      <w:pPr>
        <w:spacing w:before="240" w:line="240" w:lineRule="auto"/>
        <w:ind w:left="0"/>
        <w:rPr>
          <w:rFonts w:ascii="Times New Roman" w:hAnsi="Times New Roman"/>
          <w:lang w:val="en-US"/>
        </w:rPr>
      </w:pPr>
      <w:r w:rsidRPr="007D770B">
        <w:rPr>
          <w:rFonts w:ascii="Times New Roman" w:hAnsi="Times New Roman"/>
          <w:lang w:val="en-US"/>
        </w:rPr>
        <w:t xml:space="preserve">The direct method provides information useful for estimating future cash flows that is not available when the indirect method is used. When using the direct method, information about the main types of gross cash receipts and gross cash payments is derived from the </w:t>
      </w:r>
      <w:r w:rsidR="00F9744B" w:rsidRPr="007D770B">
        <w:rPr>
          <w:rFonts w:ascii="Times New Roman" w:hAnsi="Times New Roman"/>
          <w:lang w:val="en-US"/>
        </w:rPr>
        <w:t xml:space="preserve">Bank's </w:t>
      </w:r>
      <w:r w:rsidRPr="007D770B">
        <w:rPr>
          <w:rFonts w:ascii="Times New Roman" w:hAnsi="Times New Roman"/>
          <w:lang w:val="en-US"/>
        </w:rPr>
        <w:t>accounting records.</w:t>
      </w:r>
    </w:p>
    <w:p w14:paraId="5F5C8660" w14:textId="77777777" w:rsidR="009E2B77" w:rsidRPr="007D770B" w:rsidRDefault="009E2B77" w:rsidP="00F96B17">
      <w:pPr>
        <w:pStyle w:val="35"/>
        <w:tabs>
          <w:tab w:val="left" w:pos="257"/>
          <w:tab w:val="left" w:pos="554"/>
          <w:tab w:val="left" w:pos="890"/>
          <w:tab w:val="left" w:pos="1188"/>
          <w:tab w:val="left" w:pos="7440"/>
        </w:tabs>
        <w:spacing w:before="240" w:after="240" w:line="240" w:lineRule="auto"/>
        <w:ind w:left="0"/>
        <w:rPr>
          <w:rFonts w:ascii="Times New Roman" w:hAnsi="Times New Roman"/>
          <w:sz w:val="20"/>
          <w:szCs w:val="20"/>
          <w:lang w:val="en-US"/>
        </w:rPr>
      </w:pPr>
      <w:r w:rsidRPr="007D770B">
        <w:rPr>
          <w:rFonts w:ascii="Times New Roman" w:hAnsi="Times New Roman"/>
          <w:b/>
          <w:sz w:val="20"/>
          <w:szCs w:val="20"/>
          <w:lang w:val="en-US"/>
        </w:rPr>
        <w:t xml:space="preserve">Operating activities </w:t>
      </w:r>
      <w:r w:rsidRPr="007D770B">
        <w:rPr>
          <w:rFonts w:ascii="Times New Roman" w:hAnsi="Times New Roman"/>
          <w:sz w:val="20"/>
          <w:szCs w:val="20"/>
          <w:lang w:val="en-US"/>
        </w:rPr>
        <w:t xml:space="preserve">are the </w:t>
      </w:r>
      <w:r w:rsidR="00F9744B" w:rsidRPr="007D770B">
        <w:rPr>
          <w:rFonts w:ascii="Times New Roman" w:hAnsi="Times New Roman"/>
          <w:sz w:val="20"/>
          <w:szCs w:val="20"/>
          <w:lang w:val="en-US"/>
        </w:rPr>
        <w:t xml:space="preserve">Bank's </w:t>
      </w:r>
      <w:r w:rsidRPr="007D770B">
        <w:rPr>
          <w:rFonts w:ascii="Times New Roman" w:hAnsi="Times New Roman"/>
          <w:sz w:val="20"/>
          <w:szCs w:val="20"/>
          <w:lang w:val="en-US"/>
        </w:rPr>
        <w:t xml:space="preserve">principal revenue-generating activities </w:t>
      </w:r>
      <w:r w:rsidR="00233A29" w:rsidRPr="007D770B">
        <w:rPr>
          <w:rFonts w:ascii="Times New Roman" w:hAnsi="Times New Roman"/>
          <w:sz w:val="20"/>
          <w:szCs w:val="20"/>
          <w:lang w:val="en-US"/>
        </w:rPr>
        <w:t xml:space="preserve">and </w:t>
      </w:r>
      <w:r w:rsidRPr="007D770B">
        <w:rPr>
          <w:rFonts w:ascii="Times New Roman" w:hAnsi="Times New Roman"/>
          <w:sz w:val="20"/>
          <w:szCs w:val="20"/>
          <w:lang w:val="en-US"/>
        </w:rPr>
        <w:t>other activities, other than investing activities and financing activities.</w:t>
      </w:r>
    </w:p>
    <w:p w14:paraId="7B9BFBB8" w14:textId="77777777" w:rsidR="009E2B77" w:rsidRPr="007D770B" w:rsidRDefault="009E2B77" w:rsidP="00513516">
      <w:pPr>
        <w:pStyle w:val="afff1"/>
        <w:tabs>
          <w:tab w:val="left" w:pos="257"/>
          <w:tab w:val="left" w:pos="554"/>
          <w:tab w:val="left" w:pos="890"/>
          <w:tab w:val="left" w:pos="1188"/>
          <w:tab w:val="left" w:pos="7440"/>
        </w:tabs>
        <w:spacing w:before="240" w:line="240" w:lineRule="auto"/>
        <w:rPr>
          <w:rFonts w:ascii="Times New Roman" w:hAnsi="Times New Roman"/>
          <w:lang w:val="en-US"/>
        </w:rPr>
      </w:pPr>
      <w:r w:rsidRPr="007D770B">
        <w:rPr>
          <w:rFonts w:ascii="Times New Roman" w:hAnsi="Times New Roman"/>
          <w:lang w:val="en-US"/>
        </w:rPr>
        <w:t xml:space="preserve">Examples of cash inflows from operating activities are </w:t>
      </w:r>
      <w:r w:rsidR="001A4745" w:rsidRPr="007D770B">
        <w:rPr>
          <w:rFonts w:ascii="Times New Roman" w:hAnsi="Times New Roman"/>
          <w:lang w:val="en-US"/>
        </w:rPr>
        <w:t>interest and commissions earned, income received from trading securities</w:t>
      </w:r>
      <w:r w:rsidR="00513516" w:rsidRPr="007D770B">
        <w:rPr>
          <w:rFonts w:ascii="Times New Roman" w:hAnsi="Times New Roman"/>
          <w:lang w:val="en-US"/>
        </w:rPr>
        <w:t xml:space="preserve">, </w:t>
      </w:r>
      <w:r w:rsidR="001A4745" w:rsidRPr="007D770B">
        <w:rPr>
          <w:rFonts w:ascii="Times New Roman" w:hAnsi="Times New Roman"/>
          <w:lang w:val="en-US"/>
        </w:rPr>
        <w:t>financial derivatives</w:t>
      </w:r>
      <w:r w:rsidR="00513516" w:rsidRPr="007D770B">
        <w:rPr>
          <w:rFonts w:ascii="Times New Roman" w:hAnsi="Times New Roman"/>
          <w:lang w:val="en-US"/>
        </w:rPr>
        <w:t xml:space="preserve">, </w:t>
      </w:r>
      <w:r w:rsidR="001A4745" w:rsidRPr="007D770B">
        <w:rPr>
          <w:rFonts w:ascii="Times New Roman" w:hAnsi="Times New Roman"/>
          <w:lang w:val="en-US"/>
        </w:rPr>
        <w:t xml:space="preserve">foreign exchange transactions </w:t>
      </w:r>
      <w:r w:rsidR="00513516" w:rsidRPr="007D770B">
        <w:rPr>
          <w:rFonts w:ascii="Times New Roman" w:hAnsi="Times New Roman"/>
          <w:lang w:val="en-US"/>
        </w:rPr>
        <w:t>and other operating income received</w:t>
      </w:r>
      <w:r w:rsidRPr="007D770B">
        <w:rPr>
          <w:rFonts w:ascii="Times New Roman" w:hAnsi="Times New Roman"/>
          <w:lang w:val="en-US"/>
        </w:rPr>
        <w:t>.</w:t>
      </w:r>
    </w:p>
    <w:p w14:paraId="2A14C2CC" w14:textId="77777777" w:rsidR="009E2B77" w:rsidRPr="007D770B" w:rsidRDefault="009E2B77" w:rsidP="00C964B9">
      <w:pPr>
        <w:pStyle w:val="afff1"/>
        <w:tabs>
          <w:tab w:val="left" w:pos="257"/>
          <w:tab w:val="left" w:pos="554"/>
          <w:tab w:val="left" w:pos="890"/>
          <w:tab w:val="left" w:pos="1188"/>
          <w:tab w:val="left" w:pos="7440"/>
        </w:tabs>
        <w:spacing w:before="240" w:after="240" w:line="240" w:lineRule="auto"/>
        <w:rPr>
          <w:rFonts w:ascii="Times New Roman" w:hAnsi="Times New Roman"/>
          <w:lang w:val="en-US"/>
        </w:rPr>
      </w:pPr>
      <w:r w:rsidRPr="007D770B">
        <w:rPr>
          <w:rFonts w:ascii="Times New Roman" w:hAnsi="Times New Roman"/>
          <w:lang w:val="en-US"/>
        </w:rPr>
        <w:t xml:space="preserve">The types of cash outflows from operating activities are </w:t>
      </w:r>
      <w:r w:rsidR="001A4745" w:rsidRPr="007D770B">
        <w:rPr>
          <w:rFonts w:ascii="Times New Roman" w:hAnsi="Times New Roman"/>
          <w:lang w:val="en-US"/>
        </w:rPr>
        <w:t>interest and commissions paid</w:t>
      </w:r>
      <w:r w:rsidR="00A320F7" w:rsidRPr="007D770B">
        <w:rPr>
          <w:rFonts w:ascii="Times New Roman" w:hAnsi="Times New Roman"/>
          <w:lang w:val="en-US"/>
        </w:rPr>
        <w:t xml:space="preserve">, </w:t>
      </w:r>
      <w:r w:rsidR="00C964B9" w:rsidRPr="007D770B">
        <w:rPr>
          <w:rFonts w:ascii="Times New Roman" w:hAnsi="Times New Roman"/>
          <w:lang w:val="en-US"/>
        </w:rPr>
        <w:t xml:space="preserve">as well as administrative and other operating expenses, </w:t>
      </w:r>
      <w:r w:rsidRPr="007D770B">
        <w:rPr>
          <w:rFonts w:ascii="Times New Roman" w:hAnsi="Times New Roman"/>
          <w:lang w:val="en-US"/>
        </w:rPr>
        <w:t xml:space="preserve">payments to the </w:t>
      </w:r>
      <w:r w:rsidR="00F9744B" w:rsidRPr="007D770B">
        <w:rPr>
          <w:rFonts w:ascii="Times New Roman" w:hAnsi="Times New Roman"/>
          <w:lang w:val="en-US"/>
        </w:rPr>
        <w:t xml:space="preserve">Bank's </w:t>
      </w:r>
      <w:r w:rsidRPr="007D770B">
        <w:rPr>
          <w:rFonts w:ascii="Times New Roman" w:hAnsi="Times New Roman"/>
          <w:lang w:val="en-US"/>
        </w:rPr>
        <w:t xml:space="preserve">employees, taxes, </w:t>
      </w:r>
      <w:r w:rsidR="00C964B9" w:rsidRPr="007D770B">
        <w:rPr>
          <w:rFonts w:ascii="Times New Roman" w:hAnsi="Times New Roman"/>
          <w:lang w:val="en-US"/>
        </w:rPr>
        <w:t xml:space="preserve">fines, penalties </w:t>
      </w:r>
      <w:r w:rsidRPr="007D770B">
        <w:rPr>
          <w:rFonts w:ascii="Times New Roman" w:hAnsi="Times New Roman"/>
          <w:lang w:val="en-US"/>
        </w:rPr>
        <w:t>and other mandatory payments.</w:t>
      </w:r>
    </w:p>
    <w:p w14:paraId="7981D6CF" w14:textId="77777777" w:rsidR="009E2B77" w:rsidRPr="007D770B" w:rsidRDefault="009E2B77" w:rsidP="00F96B17">
      <w:pPr>
        <w:pStyle w:val="afff1"/>
        <w:tabs>
          <w:tab w:val="left" w:pos="257"/>
          <w:tab w:val="left" w:pos="554"/>
          <w:tab w:val="left" w:pos="890"/>
          <w:tab w:val="left" w:pos="1188"/>
          <w:tab w:val="left" w:pos="7440"/>
        </w:tabs>
        <w:spacing w:before="240" w:after="240" w:line="240" w:lineRule="auto"/>
        <w:rPr>
          <w:rFonts w:ascii="Times New Roman" w:hAnsi="Times New Roman"/>
          <w:lang w:val="en-US"/>
        </w:rPr>
      </w:pPr>
      <w:r w:rsidRPr="007D770B">
        <w:rPr>
          <w:rFonts w:ascii="Times New Roman" w:hAnsi="Times New Roman"/>
          <w:lang w:val="en-US"/>
        </w:rPr>
        <w:lastRenderedPageBreak/>
        <w:t>All other significant cash inflows and outflows, other than investing and financing activities, are also classified as operating activities unless they are directly attributable to investing or financing activities.</w:t>
      </w:r>
    </w:p>
    <w:p w14:paraId="051AC714" w14:textId="77777777" w:rsidR="009E2B77" w:rsidRPr="007D770B" w:rsidRDefault="009E2B77" w:rsidP="00F96B17">
      <w:pPr>
        <w:spacing w:before="240" w:line="240" w:lineRule="auto"/>
        <w:ind w:left="0"/>
        <w:rPr>
          <w:rFonts w:ascii="Times New Roman" w:hAnsi="Times New Roman"/>
          <w:lang w:val="en-US"/>
        </w:rPr>
      </w:pPr>
      <w:r w:rsidRPr="007D770B">
        <w:rPr>
          <w:rFonts w:ascii="Times New Roman" w:hAnsi="Times New Roman"/>
          <w:b/>
          <w:lang w:val="en-US"/>
        </w:rPr>
        <w:t xml:space="preserve">Investing activities </w:t>
      </w:r>
      <w:r w:rsidRPr="007D770B">
        <w:rPr>
          <w:rFonts w:ascii="Times New Roman" w:hAnsi="Times New Roman"/>
          <w:lang w:val="en-US"/>
        </w:rPr>
        <w:t xml:space="preserve">include </w:t>
      </w:r>
      <w:r w:rsidR="00BE6B32" w:rsidRPr="007D770B">
        <w:rPr>
          <w:rFonts w:ascii="Times New Roman" w:hAnsi="Times New Roman"/>
          <w:lang w:val="en-US"/>
        </w:rPr>
        <w:t>the purchase and sale of financial instruments as well as property, plant and equipment, intangible assets, investments in subsidiaries and associates and investment property</w:t>
      </w:r>
      <w:r w:rsidRPr="007D770B">
        <w:rPr>
          <w:rFonts w:ascii="Times New Roman" w:hAnsi="Times New Roman"/>
          <w:lang w:val="en-US"/>
        </w:rPr>
        <w:t>.</w:t>
      </w:r>
    </w:p>
    <w:p w14:paraId="6F53F1C0" w14:textId="77777777" w:rsidR="009E2B77" w:rsidRPr="002D4EA3" w:rsidRDefault="009E2B77" w:rsidP="00F96B17">
      <w:pPr>
        <w:pStyle w:val="afffc"/>
        <w:spacing w:before="240" w:beforeAutospacing="0" w:after="240" w:afterAutospacing="0"/>
        <w:jc w:val="both"/>
        <w:rPr>
          <w:rFonts w:ascii="Times New Roman" w:hAnsi="Times New Roman"/>
          <w:color w:val="auto"/>
          <w:sz w:val="20"/>
          <w:szCs w:val="20"/>
          <w:lang w:val="ru-RU"/>
        </w:rPr>
      </w:pPr>
      <w:r w:rsidRPr="007D770B">
        <w:rPr>
          <w:rFonts w:ascii="Times New Roman" w:hAnsi="Times New Roman"/>
          <w:color w:val="auto"/>
          <w:sz w:val="20"/>
          <w:szCs w:val="20"/>
        </w:rPr>
        <w:t xml:space="preserve">Separate disclosure of cash flows arising from investing activities is important because these cash flows represent the extent to which payments made are directed to resources intended to generate future income and cash flows. </w:t>
      </w:r>
      <w:r w:rsidRPr="002D4EA3">
        <w:rPr>
          <w:rFonts w:ascii="Times New Roman" w:hAnsi="Times New Roman"/>
          <w:color w:val="auto"/>
          <w:sz w:val="20"/>
          <w:szCs w:val="20"/>
          <w:lang w:val="ru-RU"/>
        </w:rPr>
        <w:t>Examples of cash flows from investing activities are:</w:t>
      </w:r>
    </w:p>
    <w:p w14:paraId="026E4864" w14:textId="77777777" w:rsidR="00BE6B32" w:rsidRPr="007D770B" w:rsidRDefault="00DA2C67" w:rsidP="00AE698A">
      <w:pPr>
        <w:pStyle w:val="afffc"/>
        <w:numPr>
          <w:ilvl w:val="0"/>
          <w:numId w:val="38"/>
        </w:numPr>
        <w:tabs>
          <w:tab w:val="left" w:pos="360"/>
        </w:tabs>
        <w:spacing w:before="240" w:beforeAutospacing="0" w:after="240" w:afterAutospacing="0"/>
        <w:jc w:val="both"/>
        <w:rPr>
          <w:rFonts w:ascii="Times New Roman" w:hAnsi="Times New Roman"/>
          <w:color w:val="auto"/>
          <w:sz w:val="20"/>
          <w:szCs w:val="20"/>
        </w:rPr>
      </w:pPr>
      <w:r w:rsidRPr="007D770B">
        <w:rPr>
          <w:rFonts w:ascii="Times New Roman" w:hAnsi="Times New Roman"/>
          <w:color w:val="auto"/>
          <w:sz w:val="20"/>
          <w:szCs w:val="20"/>
        </w:rPr>
        <w:t xml:space="preserve">cash payments for the </w:t>
      </w:r>
      <w:r w:rsidR="00BE6B32" w:rsidRPr="007D770B">
        <w:rPr>
          <w:rFonts w:ascii="Times New Roman" w:hAnsi="Times New Roman"/>
          <w:color w:val="auto"/>
          <w:sz w:val="20"/>
          <w:szCs w:val="20"/>
        </w:rPr>
        <w:t>purchase of available-for-sale investment securities;</w:t>
      </w:r>
    </w:p>
    <w:p w14:paraId="5BDBDEB2" w14:textId="77777777" w:rsidR="00BE6B32" w:rsidRPr="007D770B" w:rsidRDefault="00DA2C67" w:rsidP="00AE698A">
      <w:pPr>
        <w:pStyle w:val="afffc"/>
        <w:numPr>
          <w:ilvl w:val="0"/>
          <w:numId w:val="38"/>
        </w:numPr>
        <w:tabs>
          <w:tab w:val="left" w:pos="360"/>
        </w:tabs>
        <w:spacing w:before="240" w:beforeAutospacing="0" w:after="240" w:afterAutospacing="0"/>
        <w:jc w:val="both"/>
        <w:rPr>
          <w:rFonts w:ascii="Times New Roman" w:hAnsi="Times New Roman"/>
          <w:color w:val="auto"/>
          <w:sz w:val="20"/>
          <w:szCs w:val="20"/>
        </w:rPr>
      </w:pPr>
      <w:r w:rsidRPr="007D770B">
        <w:rPr>
          <w:rFonts w:ascii="Times New Roman" w:hAnsi="Times New Roman"/>
          <w:color w:val="auto"/>
          <w:sz w:val="20"/>
          <w:szCs w:val="20"/>
        </w:rPr>
        <w:t xml:space="preserve">cash </w:t>
      </w:r>
      <w:r w:rsidR="00BE6B32" w:rsidRPr="007D770B">
        <w:rPr>
          <w:rFonts w:ascii="Times New Roman" w:hAnsi="Times New Roman"/>
          <w:color w:val="auto"/>
          <w:sz w:val="20"/>
          <w:szCs w:val="20"/>
        </w:rPr>
        <w:t>proceeds from the sale and redemption of available-for-sale investment securities;</w:t>
      </w:r>
    </w:p>
    <w:p w14:paraId="1CFB3F9D" w14:textId="77777777" w:rsidR="00834055" w:rsidRPr="007D770B" w:rsidRDefault="00834055" w:rsidP="00AE698A">
      <w:pPr>
        <w:pStyle w:val="afffc"/>
        <w:numPr>
          <w:ilvl w:val="0"/>
          <w:numId w:val="38"/>
        </w:numPr>
        <w:tabs>
          <w:tab w:val="left" w:pos="360"/>
        </w:tabs>
        <w:spacing w:before="240" w:beforeAutospacing="0" w:after="240" w:afterAutospacing="0"/>
        <w:jc w:val="both"/>
        <w:rPr>
          <w:rFonts w:ascii="Times New Roman" w:hAnsi="Times New Roman"/>
          <w:color w:val="auto"/>
          <w:sz w:val="20"/>
          <w:szCs w:val="20"/>
        </w:rPr>
      </w:pPr>
      <w:r w:rsidRPr="007D770B">
        <w:rPr>
          <w:rFonts w:ascii="Times New Roman" w:hAnsi="Times New Roman"/>
          <w:color w:val="auto"/>
          <w:sz w:val="20"/>
          <w:szCs w:val="20"/>
        </w:rPr>
        <w:t>cash purchases of held-to-maturity investment securities;</w:t>
      </w:r>
    </w:p>
    <w:p w14:paraId="6DC4388F" w14:textId="77777777" w:rsidR="00BE6B32" w:rsidRPr="007D770B" w:rsidRDefault="00DA2C67" w:rsidP="00AE698A">
      <w:pPr>
        <w:pStyle w:val="afffc"/>
        <w:numPr>
          <w:ilvl w:val="0"/>
          <w:numId w:val="38"/>
        </w:numPr>
        <w:tabs>
          <w:tab w:val="left" w:pos="360"/>
        </w:tabs>
        <w:spacing w:before="240" w:beforeAutospacing="0" w:after="240" w:afterAutospacing="0"/>
        <w:jc w:val="both"/>
        <w:rPr>
          <w:rFonts w:ascii="Times New Roman" w:hAnsi="Times New Roman"/>
          <w:color w:val="auto"/>
          <w:sz w:val="20"/>
          <w:szCs w:val="20"/>
        </w:rPr>
      </w:pPr>
      <w:r w:rsidRPr="007D770B">
        <w:rPr>
          <w:rFonts w:ascii="Times New Roman" w:hAnsi="Times New Roman"/>
          <w:color w:val="auto"/>
          <w:sz w:val="20"/>
          <w:szCs w:val="20"/>
        </w:rPr>
        <w:t xml:space="preserve">cash proceeds </w:t>
      </w:r>
      <w:r w:rsidR="00BE6B32" w:rsidRPr="007D770B">
        <w:rPr>
          <w:rFonts w:ascii="Times New Roman" w:hAnsi="Times New Roman"/>
          <w:color w:val="auto"/>
          <w:sz w:val="20"/>
          <w:szCs w:val="20"/>
        </w:rPr>
        <w:t>from redemption of investment securities held to maturity;</w:t>
      </w:r>
    </w:p>
    <w:p w14:paraId="1BBAAD94" w14:textId="77777777" w:rsidR="00BE6B32" w:rsidRPr="007D770B" w:rsidRDefault="00DA2C67" w:rsidP="00AE698A">
      <w:pPr>
        <w:pStyle w:val="afffc"/>
        <w:numPr>
          <w:ilvl w:val="0"/>
          <w:numId w:val="38"/>
        </w:numPr>
        <w:tabs>
          <w:tab w:val="left" w:pos="360"/>
        </w:tabs>
        <w:spacing w:before="240" w:beforeAutospacing="0" w:after="240" w:afterAutospacing="0"/>
        <w:rPr>
          <w:rFonts w:ascii="Times New Roman" w:hAnsi="Times New Roman"/>
          <w:color w:val="auto"/>
          <w:sz w:val="20"/>
          <w:szCs w:val="20"/>
        </w:rPr>
      </w:pPr>
      <w:r w:rsidRPr="007D770B">
        <w:rPr>
          <w:rFonts w:ascii="Times New Roman" w:hAnsi="Times New Roman"/>
          <w:color w:val="auto"/>
          <w:sz w:val="20"/>
          <w:szCs w:val="20"/>
        </w:rPr>
        <w:t xml:space="preserve">cash payments/receipts for acquisition and sale of </w:t>
      </w:r>
      <w:r w:rsidR="002E7D0A" w:rsidRPr="007D770B">
        <w:rPr>
          <w:rFonts w:ascii="Times New Roman" w:hAnsi="Times New Roman"/>
          <w:color w:val="auto"/>
          <w:sz w:val="20"/>
          <w:szCs w:val="20"/>
        </w:rPr>
        <w:t xml:space="preserve">fixed and </w:t>
      </w:r>
      <w:r w:rsidR="00BE6B32" w:rsidRPr="007D770B">
        <w:rPr>
          <w:rFonts w:ascii="Times New Roman" w:hAnsi="Times New Roman"/>
          <w:color w:val="auto"/>
          <w:sz w:val="20"/>
          <w:szCs w:val="20"/>
        </w:rPr>
        <w:t xml:space="preserve">intangible </w:t>
      </w:r>
      <w:r w:rsidR="002E7D0A" w:rsidRPr="007D770B">
        <w:rPr>
          <w:rFonts w:ascii="Times New Roman" w:hAnsi="Times New Roman"/>
          <w:color w:val="auto"/>
          <w:sz w:val="20"/>
          <w:szCs w:val="20"/>
        </w:rPr>
        <w:t>assets</w:t>
      </w:r>
    </w:p>
    <w:p w14:paraId="63A1C255" w14:textId="77777777" w:rsidR="00BE6B32" w:rsidRPr="002D4EA3" w:rsidRDefault="00BE6B32" w:rsidP="00AE698A">
      <w:pPr>
        <w:pStyle w:val="afffc"/>
        <w:numPr>
          <w:ilvl w:val="0"/>
          <w:numId w:val="38"/>
        </w:numPr>
        <w:tabs>
          <w:tab w:val="left" w:pos="360"/>
        </w:tabs>
        <w:spacing w:before="240" w:beforeAutospacing="0" w:after="240" w:afterAutospacing="0"/>
        <w:rPr>
          <w:rFonts w:ascii="Times New Roman" w:hAnsi="Times New Roman"/>
          <w:color w:val="auto"/>
          <w:sz w:val="20"/>
          <w:szCs w:val="20"/>
          <w:lang w:val="ru-RU"/>
        </w:rPr>
      </w:pPr>
      <w:r w:rsidRPr="002D4EA3">
        <w:rPr>
          <w:rFonts w:ascii="Times New Roman" w:hAnsi="Times New Roman"/>
          <w:color w:val="auto"/>
          <w:sz w:val="20"/>
          <w:szCs w:val="20"/>
          <w:lang w:val="ru-RU"/>
        </w:rPr>
        <w:t>dividends received</w:t>
      </w:r>
      <w:r w:rsidR="00B536F7" w:rsidRPr="002D4EA3">
        <w:rPr>
          <w:rFonts w:ascii="Times New Roman" w:hAnsi="Times New Roman"/>
          <w:color w:val="auto"/>
          <w:sz w:val="20"/>
          <w:szCs w:val="20"/>
          <w:lang w:val="ru-RU"/>
        </w:rPr>
        <w:t>;</w:t>
      </w:r>
    </w:p>
    <w:p w14:paraId="4FA9203A" w14:textId="77777777" w:rsidR="00BE6B32" w:rsidRPr="007D770B" w:rsidRDefault="00DA2C67" w:rsidP="00AE698A">
      <w:pPr>
        <w:pStyle w:val="afffc"/>
        <w:numPr>
          <w:ilvl w:val="0"/>
          <w:numId w:val="38"/>
        </w:numPr>
        <w:tabs>
          <w:tab w:val="left" w:pos="360"/>
        </w:tabs>
        <w:spacing w:before="240" w:beforeAutospacing="0" w:after="240" w:afterAutospacing="0"/>
        <w:rPr>
          <w:rFonts w:ascii="Times New Roman" w:hAnsi="Times New Roman"/>
          <w:color w:val="auto"/>
          <w:sz w:val="20"/>
          <w:szCs w:val="20"/>
        </w:rPr>
      </w:pPr>
      <w:r w:rsidRPr="007D770B">
        <w:rPr>
          <w:rFonts w:ascii="Times New Roman" w:hAnsi="Times New Roman"/>
          <w:color w:val="auto"/>
          <w:sz w:val="20"/>
          <w:szCs w:val="20"/>
        </w:rPr>
        <w:t xml:space="preserve">cash payments for </w:t>
      </w:r>
      <w:r w:rsidR="00BE6B32" w:rsidRPr="007D770B">
        <w:rPr>
          <w:rFonts w:ascii="Times New Roman" w:hAnsi="Times New Roman"/>
          <w:color w:val="auto"/>
          <w:sz w:val="20"/>
          <w:szCs w:val="20"/>
        </w:rPr>
        <w:t>the acquisition of subsidiaries, net of cash received</w:t>
      </w:r>
      <w:r w:rsidR="00B536F7" w:rsidRPr="007D770B">
        <w:rPr>
          <w:rFonts w:ascii="Times New Roman" w:hAnsi="Times New Roman"/>
          <w:color w:val="auto"/>
          <w:sz w:val="20"/>
          <w:szCs w:val="20"/>
        </w:rPr>
        <w:t>;</w:t>
      </w:r>
    </w:p>
    <w:p w14:paraId="264639BF" w14:textId="77777777" w:rsidR="009E2B77" w:rsidRPr="007D770B" w:rsidRDefault="009E2B77" w:rsidP="00F96B17">
      <w:pPr>
        <w:pStyle w:val="afff1"/>
        <w:tabs>
          <w:tab w:val="left" w:pos="0"/>
          <w:tab w:val="left" w:pos="257"/>
          <w:tab w:val="left" w:pos="720"/>
          <w:tab w:val="left" w:pos="1188"/>
          <w:tab w:val="left" w:pos="7440"/>
        </w:tabs>
        <w:spacing w:before="240" w:after="240" w:line="240" w:lineRule="auto"/>
        <w:rPr>
          <w:rFonts w:ascii="Times New Roman" w:hAnsi="Times New Roman"/>
          <w:lang w:val="en-US"/>
        </w:rPr>
      </w:pPr>
      <w:r w:rsidRPr="007D770B">
        <w:rPr>
          <w:rFonts w:ascii="Times New Roman" w:hAnsi="Times New Roman"/>
          <w:b/>
          <w:lang w:val="en-US"/>
        </w:rPr>
        <w:t xml:space="preserve">Financing </w:t>
      </w:r>
      <w:r w:rsidRPr="007D770B">
        <w:rPr>
          <w:rFonts w:ascii="Times New Roman" w:hAnsi="Times New Roman"/>
          <w:lang w:val="en-US"/>
        </w:rPr>
        <w:t xml:space="preserve">activities are those activities that result in changes in the amount and composition of the </w:t>
      </w:r>
      <w:r w:rsidR="00F9744B" w:rsidRPr="007D770B">
        <w:rPr>
          <w:rFonts w:ascii="Times New Roman" w:hAnsi="Times New Roman"/>
          <w:lang w:val="en-US"/>
        </w:rPr>
        <w:t xml:space="preserve">Bank's </w:t>
      </w:r>
      <w:r w:rsidRPr="007D770B">
        <w:rPr>
          <w:rFonts w:ascii="Times New Roman" w:hAnsi="Times New Roman"/>
          <w:lang w:val="en-US"/>
        </w:rPr>
        <w:t>equity and borrowings.</w:t>
      </w:r>
    </w:p>
    <w:p w14:paraId="6F2224B5" w14:textId="77777777" w:rsidR="009E2B77" w:rsidRPr="002D4EA3" w:rsidRDefault="009E2B77" w:rsidP="00F96B17">
      <w:pPr>
        <w:pStyle w:val="afffc"/>
        <w:spacing w:before="240" w:beforeAutospacing="0" w:after="240" w:afterAutospacing="0"/>
        <w:jc w:val="both"/>
        <w:rPr>
          <w:rFonts w:ascii="Times New Roman" w:hAnsi="Times New Roman"/>
          <w:color w:val="auto"/>
          <w:sz w:val="20"/>
          <w:szCs w:val="20"/>
          <w:lang w:val="ru-RU"/>
        </w:rPr>
      </w:pPr>
      <w:r w:rsidRPr="007D770B">
        <w:rPr>
          <w:rFonts w:ascii="Times New Roman" w:hAnsi="Times New Roman"/>
          <w:color w:val="auto"/>
          <w:sz w:val="20"/>
          <w:szCs w:val="20"/>
        </w:rPr>
        <w:t xml:space="preserve">Separate disclosure of cash flows arising from financing activities is important because of the need for this information to forecast future cash flow requirements from companies and financial institutions that provide capital to the </w:t>
      </w:r>
      <w:r w:rsidR="00F9744B" w:rsidRPr="007D770B">
        <w:rPr>
          <w:rFonts w:ascii="Times New Roman" w:hAnsi="Times New Roman"/>
          <w:sz w:val="20"/>
          <w:szCs w:val="20"/>
        </w:rPr>
        <w:t>Bank</w:t>
      </w:r>
      <w:r w:rsidRPr="007D770B">
        <w:rPr>
          <w:rFonts w:ascii="Times New Roman" w:hAnsi="Times New Roman"/>
          <w:color w:val="auto"/>
          <w:sz w:val="20"/>
          <w:szCs w:val="20"/>
        </w:rPr>
        <w:t xml:space="preserve">. </w:t>
      </w:r>
      <w:r w:rsidRPr="002D4EA3">
        <w:rPr>
          <w:rFonts w:ascii="Times New Roman" w:hAnsi="Times New Roman"/>
          <w:color w:val="auto"/>
          <w:sz w:val="20"/>
          <w:szCs w:val="20"/>
          <w:lang w:val="ru-RU"/>
        </w:rPr>
        <w:t>Examples of cash flows arising from financing activities are:</w:t>
      </w:r>
    </w:p>
    <w:p w14:paraId="0BE7292C" w14:textId="77777777" w:rsidR="00DA2C67" w:rsidRPr="002D4EA3" w:rsidRDefault="00A543FF" w:rsidP="00AE698A">
      <w:pPr>
        <w:pStyle w:val="afffc"/>
        <w:numPr>
          <w:ilvl w:val="0"/>
          <w:numId w:val="39"/>
        </w:numPr>
        <w:spacing w:before="240" w:beforeAutospacing="0" w:after="240" w:afterAutospacing="0"/>
        <w:rPr>
          <w:rFonts w:ascii="Times New Roman" w:hAnsi="Times New Roman"/>
          <w:color w:val="auto"/>
          <w:sz w:val="20"/>
          <w:szCs w:val="20"/>
          <w:lang w:val="ru-RU"/>
        </w:rPr>
      </w:pPr>
      <w:r w:rsidRPr="002D4EA3">
        <w:rPr>
          <w:rFonts w:ascii="Times New Roman" w:hAnsi="Times New Roman"/>
          <w:color w:val="auto"/>
          <w:sz w:val="20"/>
          <w:szCs w:val="20"/>
          <w:lang w:val="ru-RU"/>
        </w:rPr>
        <w:t xml:space="preserve">monetary </w:t>
      </w:r>
      <w:r w:rsidR="00DA2C67" w:rsidRPr="002D4EA3">
        <w:rPr>
          <w:rFonts w:ascii="Times New Roman" w:hAnsi="Times New Roman"/>
          <w:color w:val="auto"/>
          <w:sz w:val="20"/>
          <w:szCs w:val="20"/>
          <w:lang w:val="ru-RU"/>
        </w:rPr>
        <w:t>borrowings</w:t>
      </w:r>
      <w:r w:rsidRPr="002D4EA3">
        <w:rPr>
          <w:rFonts w:ascii="Times New Roman" w:hAnsi="Times New Roman"/>
          <w:color w:val="auto"/>
          <w:sz w:val="20"/>
          <w:szCs w:val="20"/>
          <w:lang w:val="ru-RU"/>
        </w:rPr>
        <w:t>;</w:t>
      </w:r>
    </w:p>
    <w:p w14:paraId="3E232260" w14:textId="77777777" w:rsidR="00DA2C67" w:rsidRPr="002D4EA3" w:rsidRDefault="00A543FF" w:rsidP="00AE698A">
      <w:pPr>
        <w:pStyle w:val="afffc"/>
        <w:numPr>
          <w:ilvl w:val="0"/>
          <w:numId w:val="39"/>
        </w:numPr>
        <w:spacing w:before="240" w:beforeAutospacing="0" w:after="240" w:afterAutospacing="0"/>
        <w:rPr>
          <w:rFonts w:ascii="Times New Roman" w:hAnsi="Times New Roman"/>
          <w:color w:val="auto"/>
          <w:sz w:val="20"/>
          <w:szCs w:val="20"/>
          <w:lang w:val="ru-RU"/>
        </w:rPr>
      </w:pPr>
      <w:r w:rsidRPr="002D4EA3">
        <w:rPr>
          <w:rFonts w:ascii="Times New Roman" w:hAnsi="Times New Roman"/>
          <w:color w:val="auto"/>
          <w:sz w:val="20"/>
          <w:szCs w:val="20"/>
          <w:lang w:val="ru-RU"/>
        </w:rPr>
        <w:t xml:space="preserve">cash repayments of </w:t>
      </w:r>
      <w:r w:rsidR="00DA2C67" w:rsidRPr="002D4EA3">
        <w:rPr>
          <w:rFonts w:ascii="Times New Roman" w:hAnsi="Times New Roman"/>
          <w:color w:val="auto"/>
          <w:sz w:val="20"/>
          <w:szCs w:val="20"/>
          <w:lang w:val="ru-RU"/>
        </w:rPr>
        <w:t>borrowings</w:t>
      </w:r>
      <w:r w:rsidRPr="002D4EA3">
        <w:rPr>
          <w:rFonts w:ascii="Times New Roman" w:hAnsi="Times New Roman"/>
          <w:color w:val="auto"/>
          <w:sz w:val="20"/>
          <w:szCs w:val="20"/>
          <w:lang w:val="ru-RU"/>
        </w:rPr>
        <w:t>;</w:t>
      </w:r>
    </w:p>
    <w:p w14:paraId="64EA88DA" w14:textId="77777777" w:rsidR="00DA2C67" w:rsidRPr="007D770B" w:rsidRDefault="00A543FF" w:rsidP="00AE698A">
      <w:pPr>
        <w:pStyle w:val="afffc"/>
        <w:numPr>
          <w:ilvl w:val="0"/>
          <w:numId w:val="39"/>
        </w:numPr>
        <w:spacing w:before="240" w:beforeAutospacing="0" w:after="240" w:afterAutospacing="0"/>
        <w:rPr>
          <w:rFonts w:ascii="Times New Roman" w:hAnsi="Times New Roman"/>
          <w:color w:val="auto"/>
          <w:sz w:val="20"/>
          <w:szCs w:val="20"/>
        </w:rPr>
      </w:pPr>
      <w:r w:rsidRPr="007D770B">
        <w:rPr>
          <w:rFonts w:ascii="Times New Roman" w:hAnsi="Times New Roman"/>
          <w:color w:val="auto"/>
          <w:sz w:val="20"/>
          <w:szCs w:val="20"/>
        </w:rPr>
        <w:t xml:space="preserve">monetary receipt of </w:t>
      </w:r>
      <w:r w:rsidR="00DA2C67" w:rsidRPr="007D770B">
        <w:rPr>
          <w:rFonts w:ascii="Times New Roman" w:hAnsi="Times New Roman"/>
          <w:color w:val="auto"/>
          <w:sz w:val="20"/>
          <w:szCs w:val="20"/>
        </w:rPr>
        <w:t>long-term borrowings from banks</w:t>
      </w:r>
      <w:r w:rsidR="00866E35" w:rsidRPr="007D770B">
        <w:rPr>
          <w:rFonts w:ascii="Times New Roman" w:hAnsi="Times New Roman"/>
          <w:color w:val="auto"/>
          <w:sz w:val="20"/>
          <w:szCs w:val="20"/>
        </w:rPr>
        <w:t>;</w:t>
      </w:r>
    </w:p>
    <w:p w14:paraId="1490F415" w14:textId="77777777" w:rsidR="00DA2C67" w:rsidRPr="007D770B" w:rsidRDefault="00A543FF" w:rsidP="00AE698A">
      <w:pPr>
        <w:pStyle w:val="afffc"/>
        <w:numPr>
          <w:ilvl w:val="0"/>
          <w:numId w:val="39"/>
        </w:numPr>
        <w:spacing w:before="240" w:beforeAutospacing="0" w:after="240" w:afterAutospacing="0"/>
        <w:rPr>
          <w:rFonts w:ascii="Times New Roman" w:hAnsi="Times New Roman"/>
          <w:color w:val="auto"/>
          <w:sz w:val="20"/>
          <w:szCs w:val="20"/>
        </w:rPr>
      </w:pPr>
      <w:r w:rsidRPr="007D770B">
        <w:rPr>
          <w:rFonts w:ascii="Times New Roman" w:hAnsi="Times New Roman"/>
          <w:color w:val="auto"/>
          <w:sz w:val="20"/>
          <w:szCs w:val="20"/>
        </w:rPr>
        <w:t xml:space="preserve">cash repayments of </w:t>
      </w:r>
      <w:r w:rsidR="00DA2C67" w:rsidRPr="007D770B">
        <w:rPr>
          <w:rFonts w:ascii="Times New Roman" w:hAnsi="Times New Roman"/>
          <w:color w:val="auto"/>
          <w:sz w:val="20"/>
          <w:szCs w:val="20"/>
        </w:rPr>
        <w:t>long-term borrowings from banks</w:t>
      </w:r>
      <w:r w:rsidR="00866E35" w:rsidRPr="007D770B">
        <w:rPr>
          <w:rFonts w:ascii="Times New Roman" w:hAnsi="Times New Roman"/>
          <w:color w:val="auto"/>
          <w:sz w:val="20"/>
          <w:szCs w:val="20"/>
        </w:rPr>
        <w:t>;</w:t>
      </w:r>
    </w:p>
    <w:p w14:paraId="17F077CA" w14:textId="77777777" w:rsidR="00DA2C67" w:rsidRPr="002D4EA3" w:rsidRDefault="00866E35" w:rsidP="00AE698A">
      <w:pPr>
        <w:pStyle w:val="afffc"/>
        <w:numPr>
          <w:ilvl w:val="0"/>
          <w:numId w:val="39"/>
        </w:numPr>
        <w:spacing w:before="240" w:beforeAutospacing="0" w:after="240" w:afterAutospacing="0"/>
        <w:rPr>
          <w:rFonts w:ascii="Times New Roman" w:hAnsi="Times New Roman"/>
          <w:color w:val="auto"/>
          <w:sz w:val="20"/>
          <w:szCs w:val="20"/>
          <w:lang w:val="ru-RU"/>
        </w:rPr>
      </w:pPr>
      <w:r w:rsidRPr="002D4EA3">
        <w:rPr>
          <w:rFonts w:ascii="Times New Roman" w:hAnsi="Times New Roman"/>
          <w:color w:val="auto"/>
          <w:sz w:val="20"/>
          <w:szCs w:val="20"/>
          <w:lang w:val="ru-RU"/>
        </w:rPr>
        <w:t xml:space="preserve">obtaining </w:t>
      </w:r>
      <w:r w:rsidR="00DA2C67" w:rsidRPr="002D4EA3">
        <w:rPr>
          <w:rFonts w:ascii="Times New Roman" w:hAnsi="Times New Roman"/>
          <w:color w:val="auto"/>
          <w:sz w:val="20"/>
          <w:szCs w:val="20"/>
          <w:lang w:val="ru-RU"/>
        </w:rPr>
        <w:t>subordinated debt</w:t>
      </w:r>
      <w:r w:rsidRPr="002D4EA3">
        <w:rPr>
          <w:rFonts w:ascii="Times New Roman" w:hAnsi="Times New Roman"/>
          <w:color w:val="auto"/>
          <w:sz w:val="20"/>
          <w:szCs w:val="20"/>
          <w:lang w:val="en-GB"/>
        </w:rPr>
        <w:t>;</w:t>
      </w:r>
    </w:p>
    <w:p w14:paraId="7F302FA9" w14:textId="77777777" w:rsidR="00DA2C67" w:rsidRPr="007D770B" w:rsidRDefault="00A543FF" w:rsidP="00AE698A">
      <w:pPr>
        <w:pStyle w:val="afffc"/>
        <w:numPr>
          <w:ilvl w:val="0"/>
          <w:numId w:val="39"/>
        </w:numPr>
        <w:spacing w:before="240" w:beforeAutospacing="0" w:after="240" w:afterAutospacing="0"/>
        <w:rPr>
          <w:rFonts w:ascii="Times New Roman" w:hAnsi="Times New Roman"/>
          <w:color w:val="auto"/>
          <w:sz w:val="20"/>
          <w:szCs w:val="20"/>
        </w:rPr>
      </w:pPr>
      <w:r w:rsidRPr="007D770B">
        <w:rPr>
          <w:rFonts w:ascii="Times New Roman" w:hAnsi="Times New Roman"/>
          <w:color w:val="auto"/>
          <w:sz w:val="20"/>
          <w:szCs w:val="20"/>
        </w:rPr>
        <w:t xml:space="preserve">repayment of the </w:t>
      </w:r>
      <w:r w:rsidR="00DA2C67" w:rsidRPr="007D770B">
        <w:rPr>
          <w:rFonts w:ascii="Times New Roman" w:hAnsi="Times New Roman"/>
          <w:color w:val="auto"/>
          <w:sz w:val="20"/>
          <w:szCs w:val="20"/>
        </w:rPr>
        <w:t>subordinated debt</w:t>
      </w:r>
      <w:r w:rsidR="00866E35" w:rsidRPr="002D4EA3">
        <w:rPr>
          <w:rFonts w:ascii="Times New Roman" w:hAnsi="Times New Roman"/>
          <w:color w:val="auto"/>
          <w:sz w:val="20"/>
          <w:szCs w:val="20"/>
          <w:lang w:val="en-GB"/>
        </w:rPr>
        <w:t>;</w:t>
      </w:r>
    </w:p>
    <w:p w14:paraId="76A157D5" w14:textId="77777777" w:rsidR="00DA2C67" w:rsidRPr="007D770B" w:rsidRDefault="00A543FF" w:rsidP="00AE698A">
      <w:pPr>
        <w:pStyle w:val="afffc"/>
        <w:numPr>
          <w:ilvl w:val="0"/>
          <w:numId w:val="39"/>
        </w:numPr>
        <w:spacing w:before="240" w:beforeAutospacing="0" w:after="240" w:afterAutospacing="0"/>
        <w:rPr>
          <w:rFonts w:ascii="Times New Roman" w:hAnsi="Times New Roman"/>
          <w:color w:val="auto"/>
          <w:sz w:val="20"/>
          <w:szCs w:val="20"/>
        </w:rPr>
      </w:pPr>
      <w:r w:rsidRPr="007D770B">
        <w:rPr>
          <w:rFonts w:ascii="Times New Roman" w:hAnsi="Times New Roman"/>
          <w:color w:val="auto"/>
          <w:sz w:val="20"/>
          <w:szCs w:val="20"/>
        </w:rPr>
        <w:t xml:space="preserve">cash issuances of </w:t>
      </w:r>
      <w:r w:rsidR="00DA2C67" w:rsidRPr="007D770B">
        <w:rPr>
          <w:rFonts w:ascii="Times New Roman" w:hAnsi="Times New Roman"/>
          <w:color w:val="auto"/>
          <w:sz w:val="20"/>
          <w:szCs w:val="20"/>
        </w:rPr>
        <w:t>common stock</w:t>
      </w:r>
      <w:r w:rsidR="00866E35" w:rsidRPr="002D4EA3">
        <w:rPr>
          <w:rFonts w:ascii="Times New Roman" w:hAnsi="Times New Roman"/>
          <w:color w:val="auto"/>
          <w:sz w:val="20"/>
          <w:szCs w:val="20"/>
          <w:lang w:val="en-GB"/>
        </w:rPr>
        <w:t>;</w:t>
      </w:r>
    </w:p>
    <w:p w14:paraId="26B386E2" w14:textId="77777777" w:rsidR="00DA2C67" w:rsidRPr="007D770B" w:rsidRDefault="00A543FF" w:rsidP="00AE698A">
      <w:pPr>
        <w:pStyle w:val="afffc"/>
        <w:numPr>
          <w:ilvl w:val="0"/>
          <w:numId w:val="39"/>
        </w:numPr>
        <w:spacing w:before="240" w:beforeAutospacing="0" w:after="240" w:afterAutospacing="0"/>
        <w:rPr>
          <w:rFonts w:ascii="Times New Roman" w:hAnsi="Times New Roman"/>
          <w:color w:val="auto"/>
          <w:sz w:val="20"/>
          <w:szCs w:val="20"/>
        </w:rPr>
      </w:pPr>
      <w:r w:rsidRPr="007D770B">
        <w:rPr>
          <w:rFonts w:ascii="Times New Roman" w:hAnsi="Times New Roman"/>
          <w:color w:val="auto"/>
          <w:sz w:val="20"/>
          <w:szCs w:val="20"/>
        </w:rPr>
        <w:t xml:space="preserve">cash issuances of </w:t>
      </w:r>
      <w:r w:rsidR="00DA2C67" w:rsidRPr="007D770B">
        <w:rPr>
          <w:rFonts w:ascii="Times New Roman" w:hAnsi="Times New Roman"/>
          <w:color w:val="auto"/>
          <w:sz w:val="20"/>
          <w:szCs w:val="20"/>
        </w:rPr>
        <w:t>preferred stock</w:t>
      </w:r>
      <w:r w:rsidR="00866E35" w:rsidRPr="002D4EA3">
        <w:rPr>
          <w:rFonts w:ascii="Times New Roman" w:hAnsi="Times New Roman"/>
          <w:color w:val="auto"/>
          <w:sz w:val="20"/>
          <w:szCs w:val="20"/>
          <w:lang w:val="en-GB"/>
        </w:rPr>
        <w:t>;</w:t>
      </w:r>
    </w:p>
    <w:p w14:paraId="504A535C" w14:textId="77777777" w:rsidR="00DA2C67" w:rsidRPr="007D770B" w:rsidRDefault="00DA2C67" w:rsidP="00AE698A">
      <w:pPr>
        <w:pStyle w:val="afffc"/>
        <w:numPr>
          <w:ilvl w:val="0"/>
          <w:numId w:val="39"/>
        </w:numPr>
        <w:spacing w:before="240" w:beforeAutospacing="0" w:after="240" w:afterAutospacing="0"/>
        <w:rPr>
          <w:rFonts w:ascii="Times New Roman" w:hAnsi="Times New Roman"/>
          <w:color w:val="auto"/>
          <w:sz w:val="20"/>
          <w:szCs w:val="20"/>
        </w:rPr>
      </w:pPr>
      <w:r w:rsidRPr="007D770B">
        <w:rPr>
          <w:rFonts w:ascii="Times New Roman" w:hAnsi="Times New Roman"/>
          <w:color w:val="auto"/>
          <w:sz w:val="20"/>
          <w:szCs w:val="20"/>
        </w:rPr>
        <w:t xml:space="preserve">other </w:t>
      </w:r>
      <w:r w:rsidR="00A543FF" w:rsidRPr="007D770B">
        <w:rPr>
          <w:rFonts w:ascii="Times New Roman" w:hAnsi="Times New Roman"/>
          <w:color w:val="auto"/>
          <w:sz w:val="20"/>
          <w:szCs w:val="20"/>
        </w:rPr>
        <w:t xml:space="preserve">cash </w:t>
      </w:r>
      <w:r w:rsidRPr="007D770B">
        <w:rPr>
          <w:rFonts w:ascii="Times New Roman" w:hAnsi="Times New Roman"/>
          <w:color w:val="auto"/>
          <w:sz w:val="20"/>
          <w:szCs w:val="20"/>
        </w:rPr>
        <w:t>contributions from shareholders other than share issuance</w:t>
      </w:r>
      <w:r w:rsidR="00866E35" w:rsidRPr="007D770B">
        <w:rPr>
          <w:rFonts w:ascii="Times New Roman" w:hAnsi="Times New Roman"/>
          <w:color w:val="auto"/>
          <w:sz w:val="20"/>
          <w:szCs w:val="20"/>
        </w:rPr>
        <w:t>;</w:t>
      </w:r>
    </w:p>
    <w:p w14:paraId="4E6CC04B" w14:textId="77777777" w:rsidR="00DA2C67" w:rsidRPr="007D770B" w:rsidRDefault="00A543FF" w:rsidP="00AE698A">
      <w:pPr>
        <w:pStyle w:val="afffc"/>
        <w:numPr>
          <w:ilvl w:val="0"/>
          <w:numId w:val="39"/>
        </w:numPr>
        <w:spacing w:before="240" w:beforeAutospacing="0" w:after="240" w:afterAutospacing="0"/>
        <w:rPr>
          <w:rFonts w:ascii="Times New Roman" w:hAnsi="Times New Roman"/>
          <w:color w:val="auto"/>
          <w:sz w:val="20"/>
          <w:szCs w:val="20"/>
        </w:rPr>
      </w:pPr>
      <w:r w:rsidRPr="007D770B">
        <w:rPr>
          <w:rFonts w:ascii="Times New Roman" w:hAnsi="Times New Roman"/>
          <w:color w:val="auto"/>
          <w:sz w:val="20"/>
          <w:szCs w:val="20"/>
        </w:rPr>
        <w:t xml:space="preserve">cash acquisitions of </w:t>
      </w:r>
      <w:r w:rsidR="00DA2C67" w:rsidRPr="007D770B">
        <w:rPr>
          <w:rFonts w:ascii="Times New Roman" w:hAnsi="Times New Roman"/>
          <w:color w:val="auto"/>
          <w:sz w:val="20"/>
          <w:szCs w:val="20"/>
        </w:rPr>
        <w:t>treasury stock</w:t>
      </w:r>
      <w:r w:rsidR="00866E35" w:rsidRPr="002D4EA3">
        <w:rPr>
          <w:rFonts w:ascii="Times New Roman" w:hAnsi="Times New Roman"/>
          <w:color w:val="auto"/>
          <w:sz w:val="20"/>
          <w:szCs w:val="20"/>
          <w:lang w:val="en-GB"/>
        </w:rPr>
        <w:t>;</w:t>
      </w:r>
    </w:p>
    <w:p w14:paraId="3D19EF36" w14:textId="77777777" w:rsidR="00DA2C67" w:rsidRPr="007D770B" w:rsidRDefault="00A543FF" w:rsidP="00AE698A">
      <w:pPr>
        <w:pStyle w:val="afffc"/>
        <w:numPr>
          <w:ilvl w:val="0"/>
          <w:numId w:val="39"/>
        </w:numPr>
        <w:spacing w:before="240" w:beforeAutospacing="0" w:after="240" w:afterAutospacing="0"/>
        <w:rPr>
          <w:rFonts w:ascii="Times New Roman" w:hAnsi="Times New Roman"/>
          <w:color w:val="auto"/>
          <w:sz w:val="20"/>
          <w:szCs w:val="20"/>
        </w:rPr>
      </w:pPr>
      <w:r w:rsidRPr="007D770B">
        <w:rPr>
          <w:rFonts w:ascii="Times New Roman" w:hAnsi="Times New Roman"/>
          <w:color w:val="auto"/>
          <w:sz w:val="20"/>
          <w:szCs w:val="20"/>
        </w:rPr>
        <w:t xml:space="preserve">cash proceeds from the </w:t>
      </w:r>
      <w:r w:rsidR="00DA2C67" w:rsidRPr="007D770B">
        <w:rPr>
          <w:rFonts w:ascii="Times New Roman" w:hAnsi="Times New Roman"/>
          <w:color w:val="auto"/>
          <w:sz w:val="20"/>
          <w:szCs w:val="20"/>
        </w:rPr>
        <w:t>sale of treasury shares</w:t>
      </w:r>
      <w:r w:rsidR="00866E35" w:rsidRPr="007D770B">
        <w:rPr>
          <w:rFonts w:ascii="Times New Roman" w:hAnsi="Times New Roman"/>
          <w:color w:val="auto"/>
          <w:sz w:val="20"/>
          <w:szCs w:val="20"/>
        </w:rPr>
        <w:t>;</w:t>
      </w:r>
    </w:p>
    <w:p w14:paraId="26FACF06" w14:textId="77777777" w:rsidR="00DA2C67" w:rsidRPr="002D4EA3" w:rsidRDefault="00DA2C67" w:rsidP="00AE698A">
      <w:pPr>
        <w:pStyle w:val="afffc"/>
        <w:numPr>
          <w:ilvl w:val="0"/>
          <w:numId w:val="39"/>
        </w:numPr>
        <w:spacing w:before="240" w:beforeAutospacing="0" w:after="240" w:afterAutospacing="0"/>
        <w:rPr>
          <w:rFonts w:ascii="Times New Roman" w:hAnsi="Times New Roman"/>
          <w:color w:val="auto"/>
          <w:sz w:val="20"/>
          <w:szCs w:val="20"/>
          <w:lang w:val="ru-RU"/>
        </w:rPr>
      </w:pPr>
      <w:r w:rsidRPr="002D4EA3">
        <w:rPr>
          <w:rFonts w:ascii="Times New Roman" w:hAnsi="Times New Roman"/>
          <w:color w:val="auto"/>
          <w:sz w:val="20"/>
          <w:szCs w:val="20"/>
          <w:lang w:val="ru-RU"/>
        </w:rPr>
        <w:t>dividends paid</w:t>
      </w:r>
      <w:r w:rsidR="00866E35" w:rsidRPr="002D4EA3">
        <w:rPr>
          <w:rFonts w:ascii="Times New Roman" w:hAnsi="Times New Roman"/>
          <w:color w:val="auto"/>
          <w:sz w:val="20"/>
          <w:szCs w:val="20"/>
          <w:lang w:val="en-GB"/>
        </w:rPr>
        <w:t>;</w:t>
      </w:r>
    </w:p>
    <w:p w14:paraId="7EE4DBF0" w14:textId="77777777" w:rsidR="00DA2C67" w:rsidRPr="007D770B" w:rsidRDefault="00DA2C67" w:rsidP="00AE698A">
      <w:pPr>
        <w:pStyle w:val="afffc"/>
        <w:numPr>
          <w:ilvl w:val="0"/>
          <w:numId w:val="39"/>
        </w:numPr>
        <w:spacing w:before="240" w:beforeAutospacing="0" w:after="240" w:afterAutospacing="0"/>
        <w:jc w:val="both"/>
        <w:rPr>
          <w:rFonts w:ascii="Times New Roman" w:hAnsi="Times New Roman"/>
          <w:color w:val="auto"/>
          <w:sz w:val="20"/>
          <w:szCs w:val="20"/>
        </w:rPr>
      </w:pPr>
      <w:r w:rsidRPr="007D770B">
        <w:rPr>
          <w:rFonts w:ascii="Times New Roman" w:hAnsi="Times New Roman"/>
          <w:color w:val="auto"/>
          <w:sz w:val="20"/>
          <w:szCs w:val="20"/>
        </w:rPr>
        <w:t>other distributions to shareholders other than dividends</w:t>
      </w:r>
      <w:r w:rsidR="00866E35" w:rsidRPr="007D770B">
        <w:rPr>
          <w:rFonts w:ascii="Times New Roman" w:hAnsi="Times New Roman"/>
          <w:color w:val="auto"/>
          <w:sz w:val="20"/>
          <w:szCs w:val="20"/>
        </w:rPr>
        <w:t>.</w:t>
      </w:r>
    </w:p>
    <w:p w14:paraId="2CD68052" w14:textId="77777777" w:rsidR="009E2B77" w:rsidRPr="007D770B" w:rsidRDefault="009E2B77" w:rsidP="00F96B17">
      <w:pPr>
        <w:pStyle w:val="afff1"/>
        <w:tabs>
          <w:tab w:val="left" w:pos="0"/>
          <w:tab w:val="left" w:pos="257"/>
          <w:tab w:val="left" w:pos="1188"/>
          <w:tab w:val="left" w:pos="7440"/>
        </w:tabs>
        <w:spacing w:before="240" w:after="240" w:line="240" w:lineRule="auto"/>
        <w:rPr>
          <w:rFonts w:ascii="Times New Roman" w:hAnsi="Times New Roman"/>
          <w:lang w:val="en-US"/>
        </w:rPr>
      </w:pPr>
      <w:r w:rsidRPr="007D770B">
        <w:rPr>
          <w:rFonts w:ascii="Times New Roman" w:hAnsi="Times New Roman"/>
          <w:lang w:val="en-US"/>
        </w:rPr>
        <w:t xml:space="preserve">Cash flows arising from transactions in foreign currencies are to be recorded in the functional currency of the </w:t>
      </w:r>
      <w:r w:rsidR="00F9744B" w:rsidRPr="007D770B">
        <w:rPr>
          <w:rFonts w:ascii="Times New Roman" w:hAnsi="Times New Roman"/>
          <w:lang w:val="en-US"/>
        </w:rPr>
        <w:t xml:space="preserve">Bank's </w:t>
      </w:r>
      <w:r w:rsidRPr="007D770B">
        <w:rPr>
          <w:rFonts w:ascii="Times New Roman" w:hAnsi="Times New Roman"/>
          <w:lang w:val="en-US"/>
        </w:rPr>
        <w:t xml:space="preserve">financial statements using the exchange rate at the date when the cash flow arises. Foreign exchange gains and losses resulting from changes in foreign currency exchange rates are not cash flows. However, the effect of exchange rate changes on cash and cash equivalents held or expected to be held in foreign currencies is presented in the statement of cash flows to reconcile cash and cash equivalents at the beginning and end of the reporting period. This is presented separately from cash flows arising from </w:t>
      </w:r>
      <w:r w:rsidRPr="007D770B">
        <w:rPr>
          <w:rFonts w:ascii="Times New Roman" w:hAnsi="Times New Roman"/>
          <w:lang w:val="en-US"/>
        </w:rPr>
        <w:lastRenderedPageBreak/>
        <w:t>operating, investing and financing activities and includes differences, if any, where cash flows are reported at period-end exchange rates.</w:t>
      </w:r>
    </w:p>
    <w:p w14:paraId="3C05A6A0" w14:textId="77777777" w:rsidR="009E2B77" w:rsidRPr="007D770B" w:rsidRDefault="009E2B77" w:rsidP="00F96B17">
      <w:pPr>
        <w:spacing w:before="240" w:line="240" w:lineRule="auto"/>
        <w:ind w:left="0"/>
        <w:rPr>
          <w:rFonts w:ascii="Times New Roman" w:hAnsi="Times New Roman"/>
          <w:b/>
          <w:lang w:val="en-US" w:eastAsia="ru-RU"/>
        </w:rPr>
      </w:pPr>
      <w:r w:rsidRPr="007D770B">
        <w:rPr>
          <w:rFonts w:ascii="Times New Roman" w:hAnsi="Times New Roman"/>
          <w:b/>
          <w:lang w:val="en-US" w:eastAsia="ru-RU"/>
        </w:rPr>
        <w:t>Non-cash transactions</w:t>
      </w:r>
    </w:p>
    <w:p w14:paraId="3FD623FD" w14:textId="77777777" w:rsidR="009E2B77" w:rsidRPr="007D770B" w:rsidRDefault="009E2B77" w:rsidP="00F96B17">
      <w:pPr>
        <w:pStyle w:val="afff1"/>
        <w:tabs>
          <w:tab w:val="left" w:pos="0"/>
          <w:tab w:val="left" w:pos="257"/>
          <w:tab w:val="left" w:pos="890"/>
          <w:tab w:val="left" w:pos="1188"/>
          <w:tab w:val="left" w:pos="7440"/>
        </w:tabs>
        <w:spacing w:before="240" w:after="240" w:line="240" w:lineRule="auto"/>
        <w:rPr>
          <w:rFonts w:ascii="Times New Roman" w:hAnsi="Times New Roman"/>
          <w:lang w:val="en-US"/>
        </w:rPr>
      </w:pPr>
      <w:r w:rsidRPr="007D770B">
        <w:rPr>
          <w:rFonts w:ascii="Times New Roman" w:hAnsi="Times New Roman"/>
          <w:lang w:val="en-US"/>
        </w:rPr>
        <w:t>Investing and financing transactions that do not require the use of cash or cash equivalents shall be excluded from the statement of cash flows. Such transactions shall be disclosed in the financial statements in a manner that provides all relevant information about such investing and financing activities.</w:t>
      </w:r>
    </w:p>
    <w:p w14:paraId="152F6EEA" w14:textId="77777777" w:rsidR="009E2B77" w:rsidRPr="002D4EA3" w:rsidRDefault="009E2B77" w:rsidP="00F96B17">
      <w:pPr>
        <w:pStyle w:val="afff1"/>
        <w:tabs>
          <w:tab w:val="left" w:pos="0"/>
          <w:tab w:val="left" w:pos="257"/>
          <w:tab w:val="left" w:pos="890"/>
          <w:tab w:val="left" w:pos="1188"/>
          <w:tab w:val="left" w:pos="7440"/>
        </w:tabs>
        <w:spacing w:before="240" w:after="240" w:line="240" w:lineRule="auto"/>
        <w:rPr>
          <w:rFonts w:ascii="Times New Roman" w:hAnsi="Times New Roman"/>
        </w:rPr>
      </w:pPr>
      <w:r w:rsidRPr="007D770B">
        <w:rPr>
          <w:rFonts w:ascii="Times New Roman" w:hAnsi="Times New Roman"/>
          <w:lang w:val="en-US"/>
        </w:rPr>
        <w:t xml:space="preserve">A significant portion of investing and financing activities do not have a direct impact on current cash flows, although they do affect the capital and asset structure of the </w:t>
      </w:r>
      <w:r w:rsidR="00F9744B" w:rsidRPr="007D770B">
        <w:rPr>
          <w:rFonts w:ascii="Times New Roman" w:hAnsi="Times New Roman"/>
          <w:lang w:val="en-US"/>
        </w:rPr>
        <w:t>Bank</w:t>
      </w:r>
      <w:r w:rsidRPr="007D770B">
        <w:rPr>
          <w:rFonts w:ascii="Times New Roman" w:hAnsi="Times New Roman"/>
          <w:lang w:val="en-US"/>
        </w:rPr>
        <w:t xml:space="preserve">. The exclusion of non-cash transactions from the statement of cash flows is consistent with the objective of the statement of cash flows as these items do not give rise to cash flows in the current period. </w:t>
      </w:r>
      <w:r w:rsidRPr="002D4EA3">
        <w:rPr>
          <w:rFonts w:ascii="Times New Roman" w:hAnsi="Times New Roman"/>
        </w:rPr>
        <w:t>Examples of non-cash transactions are:</w:t>
      </w:r>
    </w:p>
    <w:p w14:paraId="57BEBDDB" w14:textId="77777777" w:rsidR="006E7E19" w:rsidRPr="007D770B" w:rsidRDefault="006E7E19" w:rsidP="00AE698A">
      <w:pPr>
        <w:pStyle w:val="afff1"/>
        <w:numPr>
          <w:ilvl w:val="0"/>
          <w:numId w:val="40"/>
        </w:numPr>
        <w:spacing w:before="240" w:line="240" w:lineRule="auto"/>
        <w:rPr>
          <w:rFonts w:ascii="Times New Roman" w:hAnsi="Times New Roman"/>
          <w:lang w:val="en-US"/>
        </w:rPr>
      </w:pPr>
      <w:r w:rsidRPr="007D770B">
        <w:rPr>
          <w:rFonts w:ascii="Times New Roman" w:hAnsi="Times New Roman"/>
          <w:lang w:val="en-US"/>
        </w:rPr>
        <w:t xml:space="preserve">Purchase of available-for-sale investment securities with </w:t>
      </w:r>
      <w:r w:rsidR="00430739" w:rsidRPr="007D770B">
        <w:rPr>
          <w:rFonts w:ascii="Times New Roman" w:hAnsi="Times New Roman"/>
          <w:lang w:val="en-US"/>
        </w:rPr>
        <w:t>no cash flow;</w:t>
      </w:r>
    </w:p>
    <w:p w14:paraId="4B8652E6" w14:textId="77777777" w:rsidR="006E7E19" w:rsidRPr="007D770B" w:rsidRDefault="006E7E19" w:rsidP="00AE698A">
      <w:pPr>
        <w:pStyle w:val="afff1"/>
        <w:numPr>
          <w:ilvl w:val="0"/>
          <w:numId w:val="40"/>
        </w:numPr>
        <w:spacing w:before="240" w:line="240" w:lineRule="auto"/>
        <w:rPr>
          <w:rFonts w:ascii="Times New Roman" w:hAnsi="Times New Roman"/>
          <w:lang w:val="en-US"/>
        </w:rPr>
      </w:pPr>
      <w:r w:rsidRPr="007D770B">
        <w:rPr>
          <w:rFonts w:ascii="Times New Roman" w:hAnsi="Times New Roman"/>
          <w:lang w:val="en-US"/>
        </w:rPr>
        <w:t xml:space="preserve">Proceeds from sale and redemption of available-for-sale investment securities </w:t>
      </w:r>
      <w:r w:rsidR="00430739" w:rsidRPr="007D770B">
        <w:rPr>
          <w:rFonts w:ascii="Times New Roman" w:hAnsi="Times New Roman"/>
          <w:lang w:val="en-US"/>
        </w:rPr>
        <w:t>without cash flows</w:t>
      </w:r>
    </w:p>
    <w:p w14:paraId="7B27214F" w14:textId="77777777" w:rsidR="006E7E19" w:rsidRPr="007D770B" w:rsidRDefault="006E7E19" w:rsidP="00AE698A">
      <w:pPr>
        <w:pStyle w:val="afff1"/>
        <w:numPr>
          <w:ilvl w:val="0"/>
          <w:numId w:val="40"/>
        </w:numPr>
        <w:spacing w:before="240" w:line="240" w:lineRule="auto"/>
        <w:rPr>
          <w:rFonts w:ascii="Times New Roman" w:hAnsi="Times New Roman"/>
          <w:lang w:val="en-US"/>
        </w:rPr>
      </w:pPr>
      <w:r w:rsidRPr="007D770B">
        <w:rPr>
          <w:rFonts w:ascii="Times New Roman" w:hAnsi="Times New Roman"/>
          <w:lang w:val="en-US"/>
        </w:rPr>
        <w:t xml:space="preserve">Purchase of investment securities held to maturity </w:t>
      </w:r>
      <w:r w:rsidR="00430739" w:rsidRPr="007D770B">
        <w:rPr>
          <w:rFonts w:ascii="Times New Roman" w:hAnsi="Times New Roman"/>
          <w:lang w:val="en-US"/>
        </w:rPr>
        <w:t>with no cash flows;</w:t>
      </w:r>
    </w:p>
    <w:p w14:paraId="2735D926" w14:textId="77777777" w:rsidR="006E7E19" w:rsidRPr="007D770B" w:rsidRDefault="006E7E19" w:rsidP="00AE698A">
      <w:pPr>
        <w:pStyle w:val="afff1"/>
        <w:numPr>
          <w:ilvl w:val="0"/>
          <w:numId w:val="40"/>
        </w:numPr>
        <w:spacing w:before="240" w:line="240" w:lineRule="auto"/>
        <w:rPr>
          <w:rFonts w:ascii="Times New Roman" w:hAnsi="Times New Roman"/>
          <w:lang w:val="en-US"/>
        </w:rPr>
      </w:pPr>
      <w:r w:rsidRPr="007D770B">
        <w:rPr>
          <w:rFonts w:ascii="Times New Roman" w:hAnsi="Times New Roman"/>
          <w:lang w:val="en-US"/>
        </w:rPr>
        <w:t xml:space="preserve">Acquisition of property, plant </w:t>
      </w:r>
      <w:r w:rsidR="00430739" w:rsidRPr="007D770B">
        <w:rPr>
          <w:rFonts w:ascii="Times New Roman" w:hAnsi="Times New Roman"/>
          <w:lang w:val="en-US"/>
        </w:rPr>
        <w:t xml:space="preserve">and </w:t>
      </w:r>
      <w:r w:rsidRPr="007D770B">
        <w:rPr>
          <w:rFonts w:ascii="Times New Roman" w:hAnsi="Times New Roman"/>
          <w:lang w:val="en-US"/>
        </w:rPr>
        <w:t xml:space="preserve">equipment </w:t>
      </w:r>
      <w:r w:rsidR="00430739" w:rsidRPr="007D770B">
        <w:rPr>
          <w:rFonts w:ascii="Times New Roman" w:hAnsi="Times New Roman"/>
          <w:lang w:val="en-US"/>
        </w:rPr>
        <w:t>and intangible assets without cash flow;</w:t>
      </w:r>
    </w:p>
    <w:p w14:paraId="57D84D9C" w14:textId="77777777" w:rsidR="006E7E19" w:rsidRPr="007D770B" w:rsidRDefault="006E7E19" w:rsidP="00AE698A">
      <w:pPr>
        <w:pStyle w:val="afff1"/>
        <w:numPr>
          <w:ilvl w:val="0"/>
          <w:numId w:val="40"/>
        </w:numPr>
        <w:spacing w:before="240" w:line="240" w:lineRule="auto"/>
        <w:rPr>
          <w:rFonts w:ascii="Times New Roman" w:hAnsi="Times New Roman"/>
          <w:lang w:val="en-US"/>
        </w:rPr>
      </w:pPr>
      <w:r w:rsidRPr="007D770B">
        <w:rPr>
          <w:rFonts w:ascii="Times New Roman" w:hAnsi="Times New Roman"/>
          <w:lang w:val="en-US"/>
        </w:rPr>
        <w:t xml:space="preserve">Proceeds from disposal of property, plant </w:t>
      </w:r>
      <w:r w:rsidR="00430739" w:rsidRPr="007D770B">
        <w:rPr>
          <w:rFonts w:ascii="Times New Roman" w:hAnsi="Times New Roman"/>
          <w:lang w:val="en-US"/>
        </w:rPr>
        <w:t xml:space="preserve">and </w:t>
      </w:r>
      <w:r w:rsidRPr="007D770B">
        <w:rPr>
          <w:rFonts w:ascii="Times New Roman" w:hAnsi="Times New Roman"/>
          <w:lang w:val="en-US"/>
        </w:rPr>
        <w:t xml:space="preserve">equipment </w:t>
      </w:r>
      <w:r w:rsidR="00430739" w:rsidRPr="007D770B">
        <w:rPr>
          <w:rFonts w:ascii="Times New Roman" w:hAnsi="Times New Roman"/>
          <w:lang w:val="en-US"/>
        </w:rPr>
        <w:t>and intangible assets without cash flows;</w:t>
      </w:r>
    </w:p>
    <w:p w14:paraId="20264C77" w14:textId="77777777" w:rsidR="00430739" w:rsidRPr="007D770B" w:rsidRDefault="00430739" w:rsidP="00AE698A">
      <w:pPr>
        <w:pStyle w:val="afff1"/>
        <w:numPr>
          <w:ilvl w:val="0"/>
          <w:numId w:val="40"/>
        </w:numPr>
        <w:spacing w:before="240" w:line="240" w:lineRule="auto"/>
        <w:rPr>
          <w:rFonts w:ascii="Times New Roman" w:hAnsi="Times New Roman"/>
          <w:lang w:val="en-US"/>
        </w:rPr>
      </w:pPr>
      <w:r w:rsidRPr="007D770B">
        <w:rPr>
          <w:rFonts w:ascii="Times New Roman" w:hAnsi="Times New Roman"/>
          <w:lang w:val="en-US"/>
        </w:rPr>
        <w:t>Conversion of debt to equity;</w:t>
      </w:r>
    </w:p>
    <w:p w14:paraId="78502F31" w14:textId="77777777" w:rsidR="006E7E19" w:rsidRPr="002D4EA3" w:rsidRDefault="006E7E19" w:rsidP="00AE698A">
      <w:pPr>
        <w:pStyle w:val="afff1"/>
        <w:numPr>
          <w:ilvl w:val="0"/>
          <w:numId w:val="40"/>
        </w:numPr>
        <w:spacing w:before="240" w:line="240" w:lineRule="auto"/>
        <w:rPr>
          <w:rFonts w:ascii="Times New Roman" w:hAnsi="Times New Roman"/>
        </w:rPr>
      </w:pPr>
      <w:r w:rsidRPr="002D4EA3">
        <w:rPr>
          <w:rFonts w:ascii="Times New Roman" w:hAnsi="Times New Roman"/>
        </w:rPr>
        <w:t>Non-cash dividends received</w:t>
      </w:r>
      <w:r w:rsidR="00430739" w:rsidRPr="002D4EA3">
        <w:rPr>
          <w:rFonts w:ascii="Times New Roman" w:hAnsi="Times New Roman"/>
        </w:rPr>
        <w:t>;</w:t>
      </w:r>
    </w:p>
    <w:p w14:paraId="372F7352" w14:textId="77777777" w:rsidR="006E7E19" w:rsidRPr="007D770B" w:rsidRDefault="006E7E19" w:rsidP="00AE698A">
      <w:pPr>
        <w:pStyle w:val="afff1"/>
        <w:numPr>
          <w:ilvl w:val="0"/>
          <w:numId w:val="40"/>
        </w:numPr>
        <w:spacing w:before="240" w:after="240" w:line="240" w:lineRule="auto"/>
        <w:rPr>
          <w:rFonts w:ascii="Times New Roman" w:hAnsi="Times New Roman"/>
          <w:lang w:val="en-US"/>
        </w:rPr>
      </w:pPr>
      <w:r w:rsidRPr="007D770B">
        <w:rPr>
          <w:rFonts w:ascii="Times New Roman" w:hAnsi="Times New Roman"/>
          <w:lang w:val="en-US"/>
        </w:rPr>
        <w:t>Recognition of finance lease receivables and payables</w:t>
      </w:r>
      <w:r w:rsidR="00430739" w:rsidRPr="007D770B">
        <w:rPr>
          <w:rFonts w:ascii="Times New Roman" w:hAnsi="Times New Roman"/>
          <w:lang w:val="en-US"/>
        </w:rPr>
        <w:t>.</w:t>
      </w:r>
    </w:p>
    <w:p w14:paraId="3267E8D5" w14:textId="0067303A" w:rsidR="009E2B77" w:rsidRPr="007D770B" w:rsidRDefault="009E2B77" w:rsidP="00E61D21">
      <w:pPr>
        <w:pStyle w:val="3"/>
        <w:rPr>
          <w:lang w:val="en-US"/>
        </w:rPr>
      </w:pPr>
      <w:bookmarkStart w:id="179" w:name="_Toc187313944"/>
      <w:bookmarkStart w:id="180" w:name="_Toc248586852"/>
      <w:bookmarkStart w:id="181" w:name="_Toc248730781"/>
      <w:bookmarkStart w:id="182" w:name="_Toc271279843"/>
      <w:bookmarkStart w:id="183" w:name="_Toc168502055"/>
      <w:r w:rsidRPr="007D770B">
        <w:rPr>
          <w:lang w:val="en-US"/>
        </w:rPr>
        <w:t>5.5 Disclosure of</w:t>
      </w:r>
      <w:bookmarkEnd w:id="179"/>
      <w:r w:rsidRPr="007D770B">
        <w:rPr>
          <w:lang w:val="en-US"/>
        </w:rPr>
        <w:t xml:space="preserve"> information</w:t>
      </w:r>
      <w:bookmarkEnd w:id="180"/>
      <w:bookmarkEnd w:id="181"/>
      <w:bookmarkEnd w:id="182"/>
      <w:bookmarkEnd w:id="183"/>
    </w:p>
    <w:p w14:paraId="575BF743" w14:textId="77777777" w:rsidR="009E2B77" w:rsidRPr="007D770B" w:rsidRDefault="00801E8C" w:rsidP="00F96B17">
      <w:pPr>
        <w:spacing w:before="240" w:line="240" w:lineRule="auto"/>
        <w:ind w:left="0"/>
        <w:rPr>
          <w:rFonts w:ascii="Times New Roman" w:hAnsi="Times New Roman"/>
          <w:lang w:val="en-US"/>
        </w:rPr>
      </w:pPr>
      <w:r w:rsidRPr="007D770B">
        <w:rPr>
          <w:rFonts w:ascii="Times New Roman" w:hAnsi="Times New Roman"/>
          <w:lang w:val="en-US"/>
        </w:rPr>
        <w:t xml:space="preserve">The </w:t>
      </w:r>
      <w:r w:rsidR="00F9744B" w:rsidRPr="007D770B">
        <w:rPr>
          <w:rFonts w:ascii="Times New Roman" w:hAnsi="Times New Roman"/>
          <w:lang w:val="en-US"/>
        </w:rPr>
        <w:t xml:space="preserve">Bank </w:t>
      </w:r>
      <w:r w:rsidRPr="007D770B">
        <w:rPr>
          <w:rFonts w:ascii="Times New Roman" w:hAnsi="Times New Roman"/>
          <w:lang w:val="en-US"/>
        </w:rPr>
        <w:t xml:space="preserve">is required to </w:t>
      </w:r>
      <w:r w:rsidR="009E2B77" w:rsidRPr="007D770B">
        <w:rPr>
          <w:rFonts w:ascii="Times New Roman" w:hAnsi="Times New Roman"/>
          <w:lang w:val="en-US"/>
        </w:rPr>
        <w:t xml:space="preserve">disclose in its financial statements the composition of cash and cash equivalents and to present a reconciliation of the amounts in the statement of cash flows to the equivalent items presented in the statement of financial position. </w:t>
      </w:r>
    </w:p>
    <w:p w14:paraId="7E29B4E8" w14:textId="77777777" w:rsidR="009E2B77" w:rsidRPr="007D770B" w:rsidRDefault="009E2B77" w:rsidP="00F96B17">
      <w:pPr>
        <w:spacing w:before="240" w:line="240" w:lineRule="auto"/>
        <w:ind w:left="0"/>
        <w:rPr>
          <w:rFonts w:ascii="Times New Roman" w:hAnsi="Times New Roman"/>
          <w:lang w:val="en-US"/>
        </w:rPr>
      </w:pPr>
      <w:r w:rsidRPr="007D770B">
        <w:rPr>
          <w:rFonts w:ascii="Times New Roman" w:hAnsi="Times New Roman"/>
          <w:lang w:val="en-US"/>
        </w:rPr>
        <w:t xml:space="preserve">The following information is also required to be disclosed in the notes to the financial statements regarding the acquisition or disposal of the </w:t>
      </w:r>
      <w:r w:rsidR="00F9744B" w:rsidRPr="007D770B">
        <w:rPr>
          <w:rFonts w:ascii="Times New Roman" w:hAnsi="Times New Roman"/>
          <w:lang w:val="en-US"/>
        </w:rPr>
        <w:t xml:space="preserve">Bank's </w:t>
      </w:r>
      <w:r w:rsidRPr="007D770B">
        <w:rPr>
          <w:rFonts w:ascii="Times New Roman" w:hAnsi="Times New Roman"/>
          <w:lang w:val="en-US"/>
        </w:rPr>
        <w:t>subsidiaries, associates and joint ventures:</w:t>
      </w:r>
    </w:p>
    <w:p w14:paraId="210E13E1" w14:textId="77777777" w:rsidR="009E2B77" w:rsidRPr="007D770B" w:rsidRDefault="009E2B77" w:rsidP="00AE698A">
      <w:pPr>
        <w:numPr>
          <w:ilvl w:val="0"/>
          <w:numId w:val="41"/>
        </w:numPr>
        <w:spacing w:before="240" w:line="240" w:lineRule="auto"/>
        <w:rPr>
          <w:rFonts w:ascii="Times New Roman" w:hAnsi="Times New Roman"/>
          <w:lang w:val="en-US"/>
        </w:rPr>
      </w:pPr>
      <w:r w:rsidRPr="007D770B">
        <w:rPr>
          <w:rFonts w:ascii="Times New Roman" w:hAnsi="Times New Roman"/>
          <w:lang w:val="en-US"/>
        </w:rPr>
        <w:t>the total value of the transaction;</w:t>
      </w:r>
    </w:p>
    <w:p w14:paraId="341D7249" w14:textId="77777777" w:rsidR="009E2B77" w:rsidRPr="007D770B" w:rsidRDefault="009E2B77" w:rsidP="00AE698A">
      <w:pPr>
        <w:numPr>
          <w:ilvl w:val="0"/>
          <w:numId w:val="41"/>
        </w:numPr>
        <w:spacing w:before="240" w:line="240" w:lineRule="auto"/>
        <w:rPr>
          <w:rFonts w:ascii="Times New Roman" w:hAnsi="Times New Roman"/>
          <w:lang w:val="en-US"/>
        </w:rPr>
      </w:pPr>
      <w:r w:rsidRPr="007D770B">
        <w:rPr>
          <w:rFonts w:ascii="Times New Roman" w:hAnsi="Times New Roman"/>
          <w:lang w:val="en-US"/>
        </w:rPr>
        <w:t>the portion of the transaction amount paid in cash and cash equivalents;</w:t>
      </w:r>
    </w:p>
    <w:p w14:paraId="68B6224C" w14:textId="77777777" w:rsidR="009E2B77" w:rsidRPr="007D770B" w:rsidRDefault="009E2B77" w:rsidP="00AE698A">
      <w:pPr>
        <w:numPr>
          <w:ilvl w:val="0"/>
          <w:numId w:val="41"/>
        </w:numPr>
        <w:spacing w:before="240" w:line="240" w:lineRule="auto"/>
        <w:rPr>
          <w:rFonts w:ascii="Times New Roman" w:hAnsi="Times New Roman"/>
          <w:lang w:val="en-US"/>
        </w:rPr>
      </w:pPr>
      <w:r w:rsidRPr="007D770B">
        <w:rPr>
          <w:rFonts w:ascii="Times New Roman" w:hAnsi="Times New Roman"/>
          <w:lang w:val="en-US"/>
        </w:rPr>
        <w:t xml:space="preserve">the amount of cash and cash equivalents held by the </w:t>
      </w:r>
      <w:r w:rsidR="00F9744B" w:rsidRPr="007D770B">
        <w:rPr>
          <w:rFonts w:ascii="Times New Roman" w:hAnsi="Times New Roman"/>
          <w:lang w:val="en-US"/>
        </w:rPr>
        <w:t xml:space="preserve">Bank </w:t>
      </w:r>
      <w:r w:rsidRPr="007D770B">
        <w:rPr>
          <w:rFonts w:ascii="Times New Roman" w:hAnsi="Times New Roman"/>
          <w:lang w:val="en-US"/>
        </w:rPr>
        <w:t>acquired or disposed of;</w:t>
      </w:r>
    </w:p>
    <w:p w14:paraId="2E4EBE43" w14:textId="77777777" w:rsidR="009E2B77" w:rsidRPr="007D770B" w:rsidRDefault="009E2B77" w:rsidP="00AE698A">
      <w:pPr>
        <w:numPr>
          <w:ilvl w:val="0"/>
          <w:numId w:val="41"/>
        </w:numPr>
        <w:spacing w:before="240" w:line="240" w:lineRule="auto"/>
        <w:rPr>
          <w:rFonts w:ascii="Times New Roman" w:hAnsi="Times New Roman"/>
          <w:lang w:val="en-US"/>
        </w:rPr>
      </w:pPr>
      <w:r w:rsidRPr="007D770B">
        <w:rPr>
          <w:rFonts w:ascii="Times New Roman" w:hAnsi="Times New Roman"/>
          <w:lang w:val="en-US"/>
        </w:rPr>
        <w:t xml:space="preserve">the value of assets (other than cash and cash equivalents) and liabilities acquired or disposed of </w:t>
      </w:r>
      <w:r w:rsidR="00F9744B" w:rsidRPr="007D770B">
        <w:rPr>
          <w:rFonts w:ascii="Times New Roman" w:hAnsi="Times New Roman"/>
          <w:lang w:val="en-US"/>
        </w:rPr>
        <w:t xml:space="preserve">by the Bank, </w:t>
      </w:r>
      <w:r w:rsidRPr="007D770B">
        <w:rPr>
          <w:rFonts w:ascii="Times New Roman" w:hAnsi="Times New Roman"/>
          <w:lang w:val="en-US"/>
        </w:rPr>
        <w:t>by each major category.</w:t>
      </w:r>
    </w:p>
    <w:p w14:paraId="1DE5E576" w14:textId="77777777" w:rsidR="009E2B77" w:rsidRPr="007D770B" w:rsidRDefault="009E2B77" w:rsidP="00F96B17">
      <w:pPr>
        <w:spacing w:before="240" w:line="240" w:lineRule="auto"/>
        <w:ind w:left="0"/>
        <w:rPr>
          <w:rFonts w:ascii="Times New Roman" w:hAnsi="Times New Roman"/>
          <w:lang w:val="en-US"/>
        </w:rPr>
      </w:pPr>
      <w:r w:rsidRPr="007D770B">
        <w:rPr>
          <w:rFonts w:ascii="Times New Roman" w:hAnsi="Times New Roman"/>
          <w:lang w:val="en-US"/>
        </w:rPr>
        <w:t>Discontinued operations are required to disclose the amounts of net cash flows from:</w:t>
      </w:r>
    </w:p>
    <w:p w14:paraId="17A0A088" w14:textId="77777777" w:rsidR="009E2B77" w:rsidRPr="002D4EA3" w:rsidRDefault="009E2B77" w:rsidP="00AE698A">
      <w:pPr>
        <w:numPr>
          <w:ilvl w:val="0"/>
          <w:numId w:val="41"/>
        </w:numPr>
        <w:spacing w:before="240" w:line="240" w:lineRule="auto"/>
        <w:rPr>
          <w:rFonts w:ascii="Times New Roman" w:hAnsi="Times New Roman"/>
        </w:rPr>
      </w:pPr>
      <w:r w:rsidRPr="002D4EA3">
        <w:rPr>
          <w:rFonts w:ascii="Times New Roman" w:hAnsi="Times New Roman"/>
        </w:rPr>
        <w:t>operational activities;</w:t>
      </w:r>
    </w:p>
    <w:p w14:paraId="083B51E2" w14:textId="77777777" w:rsidR="009E2B77" w:rsidRPr="002D4EA3" w:rsidRDefault="009E2B77" w:rsidP="00AE698A">
      <w:pPr>
        <w:numPr>
          <w:ilvl w:val="0"/>
          <w:numId w:val="41"/>
        </w:numPr>
        <w:spacing w:before="240" w:line="240" w:lineRule="auto"/>
        <w:rPr>
          <w:rFonts w:ascii="Times New Roman" w:hAnsi="Times New Roman"/>
        </w:rPr>
      </w:pPr>
      <w:r w:rsidRPr="002D4EA3">
        <w:rPr>
          <w:rFonts w:ascii="Times New Roman" w:hAnsi="Times New Roman"/>
        </w:rPr>
        <w:t>investment activities;</w:t>
      </w:r>
    </w:p>
    <w:p w14:paraId="66C101B9" w14:textId="77777777" w:rsidR="009E2B77" w:rsidRPr="002D4EA3" w:rsidRDefault="009E2B77" w:rsidP="00AE698A">
      <w:pPr>
        <w:numPr>
          <w:ilvl w:val="0"/>
          <w:numId w:val="41"/>
        </w:numPr>
        <w:spacing w:before="240" w:line="240" w:lineRule="auto"/>
        <w:rPr>
          <w:rFonts w:ascii="Times New Roman" w:hAnsi="Times New Roman"/>
        </w:rPr>
      </w:pPr>
      <w:r w:rsidRPr="002D4EA3">
        <w:rPr>
          <w:rFonts w:ascii="Times New Roman" w:hAnsi="Times New Roman"/>
        </w:rPr>
        <w:t>financial activities.</w:t>
      </w:r>
    </w:p>
    <w:p w14:paraId="156C0002" w14:textId="77777777" w:rsidR="009E2B77" w:rsidRPr="007D770B" w:rsidRDefault="009E2B77" w:rsidP="00F96B17">
      <w:pPr>
        <w:tabs>
          <w:tab w:val="left" w:pos="270"/>
        </w:tabs>
        <w:spacing w:before="240" w:line="240" w:lineRule="auto"/>
        <w:ind w:left="0"/>
        <w:rPr>
          <w:rFonts w:ascii="Times New Roman" w:hAnsi="Times New Roman"/>
          <w:lang w:val="en-US"/>
        </w:rPr>
      </w:pPr>
      <w:r w:rsidRPr="007D770B">
        <w:rPr>
          <w:rFonts w:ascii="Times New Roman" w:hAnsi="Times New Roman"/>
          <w:lang w:val="en-US"/>
        </w:rPr>
        <w:t xml:space="preserve">The </w:t>
      </w:r>
      <w:r w:rsidR="00F9744B" w:rsidRPr="007D770B">
        <w:rPr>
          <w:rFonts w:ascii="Times New Roman" w:hAnsi="Times New Roman"/>
          <w:lang w:val="en-US"/>
        </w:rPr>
        <w:t xml:space="preserve">Bank </w:t>
      </w:r>
      <w:r w:rsidRPr="007D770B">
        <w:rPr>
          <w:rFonts w:ascii="Times New Roman" w:hAnsi="Times New Roman"/>
          <w:lang w:val="en-US"/>
        </w:rPr>
        <w:t xml:space="preserve">discloses, together with management commentary, the amount of significant balances of cash and cash equivalents held but not available for use. </w:t>
      </w:r>
    </w:p>
    <w:p w14:paraId="6B49127C" w14:textId="77777777" w:rsidR="009E2B77" w:rsidRPr="007D770B" w:rsidRDefault="009E2B77" w:rsidP="00F96B17">
      <w:pPr>
        <w:tabs>
          <w:tab w:val="left" w:pos="270"/>
        </w:tabs>
        <w:spacing w:before="240" w:line="240" w:lineRule="auto"/>
        <w:ind w:left="0"/>
        <w:rPr>
          <w:rFonts w:ascii="Times New Roman" w:hAnsi="Times New Roman"/>
          <w:lang w:val="en-US"/>
        </w:rPr>
      </w:pPr>
      <w:r w:rsidRPr="007D770B">
        <w:rPr>
          <w:rFonts w:ascii="Times New Roman" w:hAnsi="Times New Roman"/>
          <w:lang w:val="en-US"/>
        </w:rPr>
        <w:t>It is also recommended to disclose the following additional information in the notes to the financial statements:</w:t>
      </w:r>
    </w:p>
    <w:p w14:paraId="6D56FD01" w14:textId="77777777" w:rsidR="009E2B77" w:rsidRPr="007D770B" w:rsidRDefault="009E2B77" w:rsidP="00AE698A">
      <w:pPr>
        <w:numPr>
          <w:ilvl w:val="0"/>
          <w:numId w:val="41"/>
        </w:numPr>
        <w:spacing w:before="240" w:line="240" w:lineRule="auto"/>
        <w:rPr>
          <w:rFonts w:ascii="Times New Roman" w:hAnsi="Times New Roman"/>
          <w:lang w:val="en-US"/>
        </w:rPr>
      </w:pPr>
      <w:r w:rsidRPr="007D770B">
        <w:rPr>
          <w:rFonts w:ascii="Times New Roman" w:hAnsi="Times New Roman"/>
          <w:lang w:val="en-US"/>
        </w:rPr>
        <w:t>amounts of unused borrowings available for future operating activities;</w:t>
      </w:r>
    </w:p>
    <w:p w14:paraId="3D35072D" w14:textId="77777777" w:rsidR="009E2B77" w:rsidRPr="007D770B" w:rsidRDefault="009E2B77" w:rsidP="00AE698A">
      <w:pPr>
        <w:numPr>
          <w:ilvl w:val="0"/>
          <w:numId w:val="41"/>
        </w:numPr>
        <w:spacing w:before="240" w:line="240" w:lineRule="auto"/>
        <w:rPr>
          <w:rFonts w:ascii="Times New Roman" w:hAnsi="Times New Roman"/>
          <w:lang w:val="en-US"/>
        </w:rPr>
      </w:pPr>
      <w:r w:rsidRPr="007D770B">
        <w:rPr>
          <w:rFonts w:ascii="Times New Roman" w:hAnsi="Times New Roman"/>
          <w:lang w:val="en-US"/>
        </w:rPr>
        <w:lastRenderedPageBreak/>
        <w:t>aggregated values of cash flows from operating, financing and investing activities related to jointly controlled entities;</w:t>
      </w:r>
    </w:p>
    <w:p w14:paraId="36610DE8" w14:textId="77777777" w:rsidR="009E2B77" w:rsidRPr="007D770B" w:rsidRDefault="009E2B77" w:rsidP="00AE698A">
      <w:pPr>
        <w:numPr>
          <w:ilvl w:val="0"/>
          <w:numId w:val="41"/>
        </w:numPr>
        <w:spacing w:before="240" w:line="240" w:lineRule="auto"/>
        <w:rPr>
          <w:rFonts w:ascii="Times New Roman" w:hAnsi="Times New Roman"/>
          <w:lang w:val="en-US"/>
        </w:rPr>
      </w:pPr>
      <w:r w:rsidRPr="007D770B">
        <w:rPr>
          <w:rFonts w:ascii="Times New Roman" w:hAnsi="Times New Roman"/>
          <w:lang w:val="en-US"/>
        </w:rPr>
        <w:t>amounts of cash flows from operating, investing and financing activities for each of the reportable segments.</w:t>
      </w:r>
    </w:p>
    <w:p w14:paraId="445F5ED7" w14:textId="77777777" w:rsidR="00E9078E" w:rsidRPr="007D770B" w:rsidRDefault="00E9078E" w:rsidP="00E9078E">
      <w:pPr>
        <w:spacing w:before="240" w:line="240" w:lineRule="auto"/>
        <w:ind w:left="720"/>
        <w:rPr>
          <w:rFonts w:ascii="Times New Roman" w:hAnsi="Times New Roman"/>
          <w:lang w:val="en-US"/>
        </w:rPr>
      </w:pPr>
    </w:p>
    <w:p w14:paraId="19C6249E" w14:textId="77777777" w:rsidR="009E2B77" w:rsidRPr="007D770B" w:rsidRDefault="009E2B77" w:rsidP="00F96B17">
      <w:pPr>
        <w:pStyle w:val="10"/>
        <w:spacing w:before="240" w:after="240" w:line="240" w:lineRule="auto"/>
        <w:rPr>
          <w:rFonts w:ascii="Times New Roman" w:hAnsi="Times New Roman"/>
          <w:szCs w:val="20"/>
          <w:lang w:val="en-US"/>
        </w:rPr>
        <w:sectPr w:rsidR="009E2B77" w:rsidRPr="007D770B" w:rsidSect="004E5375">
          <w:headerReference w:type="even" r:id="rId38"/>
          <w:headerReference w:type="default" r:id="rId39"/>
          <w:headerReference w:type="first" r:id="rId40"/>
          <w:type w:val="continuous"/>
          <w:pgSz w:w="11906" w:h="16838"/>
          <w:pgMar w:top="1260" w:right="680" w:bottom="567" w:left="1134" w:header="510" w:footer="584" w:gutter="0"/>
          <w:cols w:space="708"/>
          <w:titlePg/>
          <w:docGrid w:linePitch="360"/>
        </w:sectPr>
      </w:pPr>
    </w:p>
    <w:p w14:paraId="7BB73277" w14:textId="1366EEDF" w:rsidR="00E75492" w:rsidRPr="007D770B" w:rsidRDefault="00E75492" w:rsidP="00E75492">
      <w:pPr>
        <w:pStyle w:val="2"/>
        <w:spacing w:before="240"/>
        <w:jc w:val="both"/>
        <w:rPr>
          <w:rFonts w:ascii="Times New Roman" w:hAnsi="Times New Roman"/>
          <w:szCs w:val="20"/>
          <w:lang w:val="en-US"/>
        </w:rPr>
      </w:pPr>
      <w:bookmarkStart w:id="184" w:name="_Toc378283438"/>
      <w:bookmarkStart w:id="185" w:name="_Toc168502056"/>
      <w:bookmarkStart w:id="186" w:name="_Toc271279845"/>
      <w:bookmarkStart w:id="187" w:name="_Toc248586854"/>
      <w:bookmarkStart w:id="188" w:name="_Toc248586858"/>
      <w:bookmarkStart w:id="189" w:name="_Toc271279848"/>
      <w:r w:rsidRPr="007D770B">
        <w:rPr>
          <w:rFonts w:ascii="Times New Roman" w:hAnsi="Times New Roman"/>
          <w:szCs w:val="20"/>
          <w:lang w:val="en-US"/>
        </w:rPr>
        <w:lastRenderedPageBreak/>
        <w:t xml:space="preserve">Section </w:t>
      </w:r>
      <w:r w:rsidR="00C21826" w:rsidRPr="007D770B">
        <w:rPr>
          <w:rFonts w:ascii="Times New Roman" w:hAnsi="Times New Roman"/>
          <w:szCs w:val="20"/>
          <w:lang w:val="en-US"/>
        </w:rPr>
        <w:t>6</w:t>
      </w:r>
      <w:r w:rsidRPr="007D770B">
        <w:rPr>
          <w:rFonts w:ascii="Times New Roman" w:hAnsi="Times New Roman"/>
          <w:szCs w:val="20"/>
          <w:lang w:val="en-US"/>
        </w:rPr>
        <w:t>: Non-current Assets Held for Sale and Discontinued Operations (IFRS 5)</w:t>
      </w:r>
      <w:bookmarkEnd w:id="184"/>
      <w:bookmarkEnd w:id="185"/>
    </w:p>
    <w:p w14:paraId="3E180893" w14:textId="1E26393B" w:rsidR="00E75492" w:rsidRPr="007D770B" w:rsidRDefault="00594DB7" w:rsidP="00E61D21">
      <w:pPr>
        <w:pStyle w:val="3"/>
        <w:rPr>
          <w:lang w:val="en-US"/>
        </w:rPr>
      </w:pPr>
      <w:bookmarkStart w:id="190" w:name="_Toc378283439"/>
      <w:bookmarkStart w:id="191" w:name="_Toc168502057"/>
      <w:r w:rsidRPr="007D770B">
        <w:rPr>
          <w:lang w:val="en-US"/>
        </w:rPr>
        <w:t>6-1</w:t>
      </w:r>
      <w:r w:rsidR="00E75492" w:rsidRPr="007D770B">
        <w:rPr>
          <w:lang w:val="en-US"/>
        </w:rPr>
        <w:t xml:space="preserve">.1. General provisions </w:t>
      </w:r>
      <w:bookmarkEnd w:id="186"/>
      <w:bookmarkEnd w:id="187"/>
      <w:bookmarkEnd w:id="190"/>
      <w:bookmarkEnd w:id="191"/>
    </w:p>
    <w:p w14:paraId="3B0DC74B" w14:textId="29B02F6A" w:rsidR="00E75492" w:rsidRPr="007D770B" w:rsidRDefault="00E75492" w:rsidP="00E75492">
      <w:pPr>
        <w:pStyle w:val="ABC-paragrahinNotes"/>
        <w:spacing w:before="240"/>
        <w:rPr>
          <w:rFonts w:ascii="Times New Roman" w:hAnsi="Times New Roman"/>
          <w:sz w:val="20"/>
          <w:lang w:val="en-US"/>
        </w:rPr>
      </w:pPr>
      <w:r w:rsidRPr="007D770B">
        <w:rPr>
          <w:rFonts w:ascii="Times New Roman" w:hAnsi="Times New Roman"/>
          <w:sz w:val="20"/>
          <w:lang w:val="en-US"/>
        </w:rPr>
        <w:t xml:space="preserve">Non-current assets and disposal groups (which may include non-current and current assets) are classified as </w:t>
      </w:r>
      <w:r w:rsidR="00802136" w:rsidRPr="007D770B">
        <w:rPr>
          <w:rFonts w:ascii="Times New Roman" w:hAnsi="Times New Roman"/>
          <w:sz w:val="20"/>
          <w:lang w:val="en-US"/>
        </w:rPr>
        <w:t>"</w:t>
      </w:r>
      <w:r w:rsidRPr="007D770B">
        <w:rPr>
          <w:rFonts w:ascii="Times New Roman" w:hAnsi="Times New Roman"/>
          <w:sz w:val="20"/>
          <w:lang w:val="en-US"/>
        </w:rPr>
        <w:t>non-current assets held for sale</w:t>
      </w:r>
      <w:r w:rsidR="00802136" w:rsidRPr="007D770B">
        <w:rPr>
          <w:rFonts w:ascii="Times New Roman" w:hAnsi="Times New Roman"/>
          <w:sz w:val="20"/>
          <w:lang w:val="en-US"/>
        </w:rPr>
        <w:t xml:space="preserve">" </w:t>
      </w:r>
      <w:r w:rsidRPr="007D770B">
        <w:rPr>
          <w:rFonts w:ascii="Times New Roman" w:hAnsi="Times New Roman"/>
          <w:sz w:val="20"/>
          <w:lang w:val="en-US"/>
        </w:rPr>
        <w:t xml:space="preserve">in the statement of financial position when their carrying amount will be recovered principally through a sale transaction within 12 months after the reporting date. </w:t>
      </w:r>
    </w:p>
    <w:p w14:paraId="1AA3648F" w14:textId="77777777" w:rsidR="00E75492" w:rsidRPr="007D770B" w:rsidRDefault="00E75492" w:rsidP="00E75492">
      <w:pPr>
        <w:pStyle w:val="ABC-paragrahinNotes"/>
        <w:spacing w:before="240"/>
        <w:rPr>
          <w:rFonts w:ascii="Times New Roman" w:hAnsi="Times New Roman"/>
          <w:sz w:val="20"/>
          <w:lang w:val="en-US"/>
        </w:rPr>
      </w:pPr>
      <w:r w:rsidRPr="007D770B">
        <w:rPr>
          <w:rFonts w:ascii="Times New Roman" w:hAnsi="Times New Roman"/>
          <w:sz w:val="20"/>
          <w:lang w:val="en-US"/>
        </w:rPr>
        <w:t xml:space="preserve">Assets are reclassified when all of the following conditions are met: (a) the assets are available for immediate sale in their present condition subject to terms and conditions customary for sales of such assets; (b) the Bank's management has approved and actively pursued an active programme to locate a buyer; (c) the assets are actively marketed for sale at a reasonable price compared to their fair value; (d) the sale is expected within one year; and (e) the necessary steps to complete the plan of sale indicate that it is unlikely that significant changes to the plan of sale will be made or that the plan of sale will be withdrawn. </w:t>
      </w:r>
    </w:p>
    <w:p w14:paraId="09559366" w14:textId="701C8A0D" w:rsidR="00E75492" w:rsidRPr="007D770B" w:rsidRDefault="00E75492" w:rsidP="00E75492">
      <w:pPr>
        <w:pStyle w:val="ABC-paragrahinNotes"/>
        <w:spacing w:before="240"/>
        <w:rPr>
          <w:rFonts w:ascii="Times New Roman" w:hAnsi="Times New Roman"/>
          <w:sz w:val="20"/>
          <w:lang w:val="en-US"/>
        </w:rPr>
      </w:pPr>
      <w:r w:rsidRPr="007D770B">
        <w:rPr>
          <w:rFonts w:ascii="Times New Roman" w:hAnsi="Times New Roman"/>
          <w:sz w:val="20"/>
          <w:lang w:val="en-US"/>
        </w:rPr>
        <w:t xml:space="preserve">Non-current assets or disposal groups classified as held for sale in the statement of financial position in the current reporting period are presented separately in the statement of financial position. Liabilities directly associated with </w:t>
      </w:r>
      <w:r w:rsidR="00802136" w:rsidRPr="007D770B">
        <w:rPr>
          <w:rFonts w:ascii="Times New Roman" w:hAnsi="Times New Roman"/>
          <w:sz w:val="20"/>
          <w:lang w:val="en-US"/>
        </w:rPr>
        <w:t>a</w:t>
      </w:r>
      <w:r w:rsidRPr="007D770B">
        <w:rPr>
          <w:rFonts w:ascii="Times New Roman" w:hAnsi="Times New Roman"/>
          <w:sz w:val="20"/>
          <w:lang w:val="en-US"/>
        </w:rPr>
        <w:t xml:space="preserve"> disposal group that are transferred on disposal are reclassified </w:t>
      </w:r>
      <w:r w:rsidR="00EE3CCF" w:rsidRPr="007D770B">
        <w:rPr>
          <w:rFonts w:ascii="Times New Roman" w:hAnsi="Times New Roman"/>
          <w:sz w:val="20"/>
          <w:lang w:val="en-US"/>
        </w:rPr>
        <w:t xml:space="preserve">as </w:t>
      </w:r>
      <w:r w:rsidRPr="007D770B">
        <w:rPr>
          <w:rFonts w:ascii="Times New Roman" w:hAnsi="Times New Roman"/>
          <w:sz w:val="20"/>
          <w:lang w:val="en-US"/>
        </w:rPr>
        <w:t>held for sale and presented separately in the statement of financial position. Comparative information in the statement of financial position is not adjusted to conform to the classification at the end of the current reporting period.</w:t>
      </w:r>
    </w:p>
    <w:p w14:paraId="3304748A" w14:textId="16D67E38" w:rsidR="00E75492" w:rsidRPr="007D770B" w:rsidRDefault="00E75492" w:rsidP="00E75492">
      <w:pPr>
        <w:pStyle w:val="ABC-paragrahinNotes"/>
        <w:spacing w:before="240"/>
        <w:rPr>
          <w:rFonts w:ascii="Times New Roman" w:hAnsi="Times New Roman"/>
          <w:sz w:val="20"/>
          <w:lang w:val="en-US"/>
        </w:rPr>
      </w:pPr>
      <w:r w:rsidRPr="007D770B">
        <w:rPr>
          <w:rFonts w:ascii="Times New Roman" w:hAnsi="Times New Roman"/>
          <w:sz w:val="20"/>
          <w:lang w:val="en-US"/>
        </w:rPr>
        <w:t xml:space="preserve">Disposal groups are assets (current or non-current) to be disposed of by sale or otherwise by a single group in a single sale transaction and liabilities associated with those assets that will be transferred in the transaction. </w:t>
      </w:r>
      <w:r w:rsidR="00EE3CCF" w:rsidRPr="007D770B">
        <w:rPr>
          <w:rFonts w:ascii="Times New Roman" w:hAnsi="Times New Roman"/>
          <w:sz w:val="20"/>
          <w:lang w:val="en-US"/>
        </w:rPr>
        <w:t xml:space="preserve">Goodwill </w:t>
      </w:r>
      <w:r w:rsidRPr="007D770B">
        <w:rPr>
          <w:rFonts w:ascii="Times New Roman" w:hAnsi="Times New Roman"/>
          <w:sz w:val="20"/>
          <w:lang w:val="en-US"/>
        </w:rPr>
        <w:t xml:space="preserve">is included in a disposal group if the disposal group includes cash-generating units to which </w:t>
      </w:r>
      <w:r w:rsidR="00EE3CCF" w:rsidRPr="007D770B">
        <w:rPr>
          <w:rFonts w:ascii="Times New Roman" w:hAnsi="Times New Roman"/>
          <w:sz w:val="20"/>
          <w:lang w:val="en-US"/>
        </w:rPr>
        <w:t xml:space="preserve">goodwill </w:t>
      </w:r>
      <w:r w:rsidRPr="007D770B">
        <w:rPr>
          <w:rFonts w:ascii="Times New Roman" w:hAnsi="Times New Roman"/>
          <w:sz w:val="20"/>
          <w:lang w:val="en-US"/>
        </w:rPr>
        <w:t xml:space="preserve">has been allocated on acquisition. </w:t>
      </w:r>
    </w:p>
    <w:p w14:paraId="4CF7ACB8" w14:textId="77777777" w:rsidR="00E75492" w:rsidRPr="007D770B" w:rsidRDefault="00E75492" w:rsidP="00E75492">
      <w:pPr>
        <w:pStyle w:val="ABC-paragrahinNotes"/>
        <w:spacing w:before="240"/>
        <w:rPr>
          <w:rFonts w:ascii="Times New Roman" w:hAnsi="Times New Roman"/>
          <w:sz w:val="20"/>
          <w:lang w:val="en-US"/>
        </w:rPr>
      </w:pPr>
      <w:r w:rsidRPr="007D770B">
        <w:rPr>
          <w:rFonts w:ascii="Times New Roman" w:hAnsi="Times New Roman"/>
          <w:b/>
          <w:sz w:val="20"/>
          <w:lang w:val="en-US"/>
        </w:rPr>
        <w:t xml:space="preserve">Non-current </w:t>
      </w:r>
      <w:r w:rsidRPr="007D770B">
        <w:rPr>
          <w:rFonts w:ascii="Times New Roman" w:hAnsi="Times New Roman"/>
          <w:sz w:val="20"/>
          <w:lang w:val="en-US"/>
        </w:rPr>
        <w:t>assets are assets that include amounts that are not expected to be recovered or collected within 12 months after the reporting date.</w:t>
      </w:r>
    </w:p>
    <w:p w14:paraId="54A9FFD6" w14:textId="64288987" w:rsidR="00E75492" w:rsidRPr="007D770B" w:rsidRDefault="00EE3CCF" w:rsidP="00E75492">
      <w:pPr>
        <w:pStyle w:val="ABC-paragrahinNotes"/>
        <w:keepNext/>
        <w:keepLines/>
        <w:spacing w:before="240"/>
        <w:rPr>
          <w:rFonts w:ascii="Times New Roman" w:hAnsi="Times New Roman"/>
          <w:sz w:val="20"/>
          <w:lang w:val="en-US"/>
        </w:rPr>
      </w:pPr>
      <w:r w:rsidRPr="007D770B">
        <w:rPr>
          <w:rFonts w:ascii="Times New Roman" w:hAnsi="Times New Roman"/>
          <w:sz w:val="20"/>
          <w:lang w:val="en-US"/>
        </w:rPr>
        <w:t xml:space="preserve">Non-current assets </w:t>
      </w:r>
      <w:r w:rsidR="00E75492" w:rsidRPr="007D770B">
        <w:rPr>
          <w:rFonts w:ascii="Times New Roman" w:hAnsi="Times New Roman"/>
          <w:sz w:val="20"/>
          <w:lang w:val="en-US"/>
        </w:rPr>
        <w:t xml:space="preserve">held for sale and </w:t>
      </w:r>
      <w:r w:rsidRPr="007D770B">
        <w:rPr>
          <w:rFonts w:ascii="Times New Roman" w:hAnsi="Times New Roman"/>
          <w:sz w:val="20"/>
          <w:lang w:val="en-US"/>
        </w:rPr>
        <w:t xml:space="preserve">disposal </w:t>
      </w:r>
      <w:r w:rsidR="00E75492" w:rsidRPr="007D770B">
        <w:rPr>
          <w:rFonts w:ascii="Times New Roman" w:hAnsi="Times New Roman"/>
          <w:sz w:val="20"/>
          <w:lang w:val="en-US"/>
        </w:rPr>
        <w:t xml:space="preserve">groups </w:t>
      </w:r>
      <w:r w:rsidRPr="007D770B">
        <w:rPr>
          <w:rFonts w:ascii="Times New Roman" w:hAnsi="Times New Roman"/>
          <w:sz w:val="20"/>
          <w:lang w:val="en-US"/>
        </w:rPr>
        <w:t xml:space="preserve">are measured </w:t>
      </w:r>
      <w:r w:rsidR="00E75492" w:rsidRPr="007D770B">
        <w:rPr>
          <w:rFonts w:ascii="Times New Roman" w:hAnsi="Times New Roman"/>
          <w:sz w:val="20"/>
          <w:lang w:val="en-US"/>
        </w:rPr>
        <w:t xml:space="preserve">at the lower of carrying amount and fair value less costs to sell. Non-current assets held for sale are not depreciated. Financial assets, employee benefit assets and deferred tax assets that form part of a disposal group are not written down to the lower of their carrying amount and fair value less costs to sell and continue to be measured as described in the relevant sections of these accounting policies. </w:t>
      </w:r>
    </w:p>
    <w:p w14:paraId="18C88B49" w14:textId="77777777" w:rsidR="00E75492" w:rsidRPr="007D770B" w:rsidRDefault="00E75492" w:rsidP="00E75492">
      <w:pPr>
        <w:pStyle w:val="ABC-paragrahinNotes"/>
        <w:spacing w:before="240"/>
        <w:rPr>
          <w:rFonts w:ascii="Times New Roman" w:hAnsi="Times New Roman"/>
          <w:sz w:val="20"/>
          <w:lang w:val="en-US"/>
        </w:rPr>
      </w:pPr>
      <w:r w:rsidRPr="007D770B">
        <w:rPr>
          <w:rFonts w:ascii="Times New Roman" w:hAnsi="Times New Roman"/>
          <w:b/>
          <w:sz w:val="20"/>
          <w:lang w:val="en-US"/>
        </w:rPr>
        <w:t>Discontinued operations</w:t>
      </w:r>
      <w:r w:rsidRPr="007D770B">
        <w:rPr>
          <w:rFonts w:ascii="Times New Roman" w:hAnsi="Times New Roman"/>
          <w:b/>
          <w:i/>
          <w:sz w:val="20"/>
          <w:lang w:val="en-US"/>
        </w:rPr>
        <w:t xml:space="preserve">. </w:t>
      </w:r>
      <w:r w:rsidRPr="007D770B">
        <w:rPr>
          <w:rFonts w:ascii="Times New Roman" w:hAnsi="Times New Roman"/>
          <w:sz w:val="20"/>
          <w:lang w:val="en-US"/>
        </w:rPr>
        <w:t xml:space="preserve">A discontinued operation is a component of the Bank that either has been disposed of or is classified as available-for-sale and: (a) represents a separate major line of business or geographical area of operations; (b) is part of a single coordinated plan to dispose of a separate major line of business or geographical area of operations; or (c) is a subsidiary acquired exclusively for resale. </w:t>
      </w:r>
    </w:p>
    <w:p w14:paraId="6094417D" w14:textId="77777777" w:rsidR="00E75492" w:rsidRPr="007D770B" w:rsidRDefault="00E75492" w:rsidP="00E75492">
      <w:pPr>
        <w:pStyle w:val="ABC-paragrahinNotes"/>
        <w:spacing w:before="240"/>
        <w:rPr>
          <w:rFonts w:ascii="Times New Roman" w:hAnsi="Times New Roman"/>
          <w:sz w:val="20"/>
          <w:lang w:val="en-US"/>
        </w:rPr>
      </w:pPr>
      <w:r w:rsidRPr="007D770B">
        <w:rPr>
          <w:rFonts w:ascii="Times New Roman" w:hAnsi="Times New Roman"/>
          <w:sz w:val="20"/>
          <w:lang w:val="en-US"/>
        </w:rPr>
        <w:t>Gains/losses and cash flows from discontinued operations by type of activity, if any, are reported separately from continuing operations and comparative figures are adjusted to conform to the classification in the current reporting period.</w:t>
      </w:r>
    </w:p>
    <w:p w14:paraId="32A14DAD" w14:textId="13F1ED24" w:rsidR="00E75492" w:rsidRPr="007D770B" w:rsidRDefault="00594DB7" w:rsidP="00E61D21">
      <w:pPr>
        <w:pStyle w:val="3"/>
        <w:rPr>
          <w:lang w:val="en-US"/>
        </w:rPr>
      </w:pPr>
      <w:bookmarkStart w:id="192" w:name="_Toc248586856"/>
      <w:bookmarkStart w:id="193" w:name="_Toc271279846"/>
      <w:bookmarkStart w:id="194" w:name="_Toc378283440"/>
      <w:bookmarkStart w:id="195" w:name="_Toc168502058"/>
      <w:r w:rsidRPr="007D770B">
        <w:rPr>
          <w:lang w:val="en-US"/>
        </w:rPr>
        <w:t>6-1</w:t>
      </w:r>
      <w:r w:rsidR="00E75492" w:rsidRPr="007D770B">
        <w:rPr>
          <w:lang w:val="en-US"/>
        </w:rPr>
        <w:t>.2. Accounting policies</w:t>
      </w:r>
      <w:bookmarkEnd w:id="192"/>
      <w:bookmarkEnd w:id="193"/>
      <w:bookmarkEnd w:id="194"/>
      <w:bookmarkEnd w:id="195"/>
    </w:p>
    <w:p w14:paraId="712DA396" w14:textId="77777777" w:rsidR="00E75492" w:rsidRPr="007D770B" w:rsidRDefault="00E75492" w:rsidP="00E75492">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The Bank classifies non-current assets or disposal groups as held for sale if their carrying amount is expected to be recovered principally through a sale transaction rather than through continuing use.</w:t>
      </w:r>
    </w:p>
    <w:p w14:paraId="7EE9A51A" w14:textId="77777777" w:rsidR="00E75492" w:rsidRPr="007D770B" w:rsidRDefault="00E75492" w:rsidP="00E75492">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Non-current assets or disposal groups must be available for immediate sale in their present condition subject to terms and conditions customary for sales of such assets and the sale must be highly probable.</w:t>
      </w:r>
    </w:p>
    <w:p w14:paraId="646FE123" w14:textId="77777777" w:rsidR="00E75492" w:rsidRPr="007D770B" w:rsidRDefault="00E75492" w:rsidP="00E75492">
      <w:pPr>
        <w:autoSpaceDE w:val="0"/>
        <w:autoSpaceDN w:val="0"/>
        <w:adjustRightInd w:val="0"/>
        <w:spacing w:before="240" w:line="240" w:lineRule="auto"/>
        <w:ind w:left="0"/>
        <w:rPr>
          <w:rFonts w:ascii="Times New Roman" w:hAnsi="Times New Roman"/>
          <w:lang w:val="en-US"/>
        </w:rPr>
        <w:sectPr w:rsidR="00E75492" w:rsidRPr="007D770B" w:rsidSect="000610F9">
          <w:headerReference w:type="even" r:id="rId41"/>
          <w:headerReference w:type="default" r:id="rId42"/>
          <w:headerReference w:type="first" r:id="rId43"/>
          <w:pgSz w:w="11906" w:h="16838"/>
          <w:pgMar w:top="1268" w:right="680" w:bottom="567" w:left="1134" w:header="510" w:footer="494" w:gutter="0"/>
          <w:cols w:space="708"/>
          <w:titlePg/>
          <w:docGrid w:linePitch="360"/>
        </w:sectPr>
      </w:pPr>
    </w:p>
    <w:p w14:paraId="757B6BC5" w14:textId="77777777" w:rsidR="00E75492" w:rsidRPr="007D770B" w:rsidRDefault="00E75492" w:rsidP="00E75492">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lastRenderedPageBreak/>
        <w:t xml:space="preserve">The probability of sale is high if </w:t>
      </w:r>
    </w:p>
    <w:p w14:paraId="1AE2631F" w14:textId="77777777" w:rsidR="00E75492" w:rsidRPr="007D770B" w:rsidRDefault="00E75492" w:rsidP="00AE698A">
      <w:pPr>
        <w:numPr>
          <w:ilvl w:val="0"/>
          <w:numId w:val="320"/>
        </w:numPr>
        <w:tabs>
          <w:tab w:val="left" w:pos="180"/>
        </w:tabs>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 xml:space="preserve">a plan to dispose of long-lived assets or disposal groups has been accepted at the appropriate level of management; </w:t>
      </w:r>
    </w:p>
    <w:p w14:paraId="7A016E28" w14:textId="77777777" w:rsidR="00E75492" w:rsidRPr="007D770B" w:rsidRDefault="00E75492" w:rsidP="00AE698A">
      <w:pPr>
        <w:numPr>
          <w:ilvl w:val="0"/>
          <w:numId w:val="320"/>
        </w:numPr>
        <w:tabs>
          <w:tab w:val="left" w:pos="180"/>
        </w:tabs>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an active program is underway to find a buyer and complete the sale plan;</w:t>
      </w:r>
    </w:p>
    <w:p w14:paraId="23EBE2D4" w14:textId="77777777" w:rsidR="00E75492" w:rsidRPr="007D770B" w:rsidRDefault="00E75492" w:rsidP="00AE698A">
      <w:pPr>
        <w:numPr>
          <w:ilvl w:val="0"/>
          <w:numId w:val="320"/>
        </w:numPr>
        <w:tabs>
          <w:tab w:val="left" w:pos="180"/>
        </w:tabs>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non-current assets or disposal groups are actively marketed for sale at a price comparable to their fair value;</w:t>
      </w:r>
    </w:p>
    <w:p w14:paraId="2B69A0E1" w14:textId="28FAEF91" w:rsidR="00E75492" w:rsidRPr="007D770B" w:rsidRDefault="00EE3CCF" w:rsidP="00AE698A">
      <w:pPr>
        <w:numPr>
          <w:ilvl w:val="0"/>
          <w:numId w:val="320"/>
        </w:numPr>
        <w:tabs>
          <w:tab w:val="left" w:pos="180"/>
        </w:tabs>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 xml:space="preserve">the disposal of </w:t>
      </w:r>
      <w:r w:rsidR="00E75492" w:rsidRPr="007D770B">
        <w:rPr>
          <w:rFonts w:ascii="Times New Roman" w:hAnsi="Times New Roman"/>
          <w:lang w:val="en-US"/>
        </w:rPr>
        <w:t xml:space="preserve">non-current assets or </w:t>
      </w:r>
      <w:r w:rsidRPr="007D770B">
        <w:rPr>
          <w:rFonts w:ascii="Times New Roman" w:hAnsi="Times New Roman"/>
          <w:lang w:val="en-US"/>
        </w:rPr>
        <w:t xml:space="preserve">disposal </w:t>
      </w:r>
      <w:r w:rsidR="00E75492" w:rsidRPr="007D770B">
        <w:rPr>
          <w:rFonts w:ascii="Times New Roman" w:hAnsi="Times New Roman"/>
          <w:lang w:val="en-US"/>
        </w:rPr>
        <w:t xml:space="preserve">groups </w:t>
      </w:r>
      <w:r w:rsidRPr="007D770B">
        <w:rPr>
          <w:rFonts w:ascii="Times New Roman" w:hAnsi="Times New Roman"/>
          <w:lang w:val="en-US"/>
        </w:rPr>
        <w:t xml:space="preserve">is expected to be </w:t>
      </w:r>
      <w:r w:rsidR="00E75492" w:rsidRPr="007D770B">
        <w:rPr>
          <w:rFonts w:ascii="Times New Roman" w:hAnsi="Times New Roman"/>
          <w:lang w:val="en-US"/>
        </w:rPr>
        <w:t>completed within one year from the date of classification;</w:t>
      </w:r>
    </w:p>
    <w:p w14:paraId="0E4DA49E" w14:textId="77777777" w:rsidR="00E75492" w:rsidRPr="007D770B" w:rsidRDefault="00E75492" w:rsidP="00AE698A">
      <w:pPr>
        <w:numPr>
          <w:ilvl w:val="0"/>
          <w:numId w:val="320"/>
        </w:numPr>
        <w:tabs>
          <w:tab w:val="left" w:pos="180"/>
        </w:tabs>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actions that are necessary to finalize the plan of sale indicate that significant changes to the plan or cancellation of the plan of sale are unlikely.</w:t>
      </w:r>
    </w:p>
    <w:p w14:paraId="53B102CF" w14:textId="77777777" w:rsidR="00E75492" w:rsidRPr="007D770B" w:rsidRDefault="00E75492" w:rsidP="00E75492">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The planned period of sale of non-current assets or disposal groups may exceed one year due to circumstances beyond the Bank's control, but there must be reasonable assurance that the Bank will be able to realize the plan to sell the non-current assets or disposal groups.</w:t>
      </w:r>
    </w:p>
    <w:p w14:paraId="48C5AEFE" w14:textId="77777777" w:rsidR="00E75492" w:rsidRPr="007D770B" w:rsidRDefault="00E75492" w:rsidP="00E75492">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The concept of sale includes the exchange of long-lived assets for other long-lived assets if such exchange has a commercial substance.</w:t>
      </w:r>
    </w:p>
    <w:p w14:paraId="62D72069" w14:textId="77777777" w:rsidR="00E75492" w:rsidRPr="007D770B" w:rsidRDefault="00E75492" w:rsidP="00E75492">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When the Bank purchases non-current assets exclusively for the purpose of subsequent sale, such assets are classified as held for sale at the acquisition date only if the requirement to sell within one year (with the above assumptions) is met and it is highly probable that other classification criteria that are not met at the acquisition date will be met in the short term (generally within three months).</w:t>
      </w:r>
    </w:p>
    <w:p w14:paraId="720349B0" w14:textId="77777777" w:rsidR="00E75492" w:rsidRPr="007D770B" w:rsidRDefault="00E75492" w:rsidP="00E75492">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The Bank classifies all assets and liabilities of a subsidiary as held for sale (if the above criteria for classification as held for sale are met), irrespective of whether the Bank will have a non-controlling interest in the subsidiary after the sale, in case there is a plan to sell the subsidiary, which involves the loss of control over the subsidiary.</w:t>
      </w:r>
    </w:p>
    <w:p w14:paraId="032ED436" w14:textId="77777777" w:rsidR="00E75492" w:rsidRPr="007D770B" w:rsidRDefault="00E75492" w:rsidP="00E75492">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A component of the Bank is an activity, together with the cash flows attributable to it, which, from an operational point of view and for financial reporting purposes, can be clearly distinguished from the rest of the Bank (i.e., the component must be a cash-generating unit or group of cash-generating units for as long as it is held for use).</w:t>
      </w:r>
    </w:p>
    <w:p w14:paraId="368FC50E" w14:textId="77777777" w:rsidR="00E75492" w:rsidRPr="007D770B" w:rsidRDefault="00E75492" w:rsidP="00E75492">
      <w:pPr>
        <w:tabs>
          <w:tab w:val="num" w:pos="6480"/>
        </w:tabs>
        <w:spacing w:before="240" w:line="240" w:lineRule="auto"/>
        <w:ind w:left="0"/>
        <w:rPr>
          <w:rFonts w:ascii="Times New Roman" w:hAnsi="Times New Roman"/>
          <w:b/>
          <w:lang w:val="en-US" w:eastAsia="ru-RU"/>
        </w:rPr>
      </w:pPr>
      <w:r w:rsidRPr="007D770B">
        <w:rPr>
          <w:rFonts w:ascii="Times New Roman" w:hAnsi="Times New Roman"/>
          <w:b/>
          <w:lang w:val="en-US" w:eastAsia="ru-RU"/>
        </w:rPr>
        <w:t xml:space="preserve">Valuation of </w:t>
      </w:r>
      <w:r w:rsidRPr="007D770B">
        <w:rPr>
          <w:rFonts w:ascii="Times New Roman" w:hAnsi="Times New Roman"/>
          <w:b/>
          <w:lang w:val="en-US"/>
        </w:rPr>
        <w:t xml:space="preserve">non-current </w:t>
      </w:r>
      <w:r w:rsidRPr="007D770B">
        <w:rPr>
          <w:rFonts w:ascii="Times New Roman" w:hAnsi="Times New Roman"/>
          <w:b/>
          <w:lang w:val="en-US" w:eastAsia="ru-RU"/>
        </w:rPr>
        <w:t>asset held for sale (or disposal groups)</w:t>
      </w:r>
    </w:p>
    <w:p w14:paraId="44876EB9" w14:textId="77777777" w:rsidR="00E75492" w:rsidRPr="007D770B" w:rsidRDefault="00E75492" w:rsidP="00E75492">
      <w:pPr>
        <w:tabs>
          <w:tab w:val="left" w:pos="90"/>
        </w:tabs>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Non-current assets held for sale or disposal groups are carried at the lower of their carrying amount or fair value less costs to sell.</w:t>
      </w:r>
    </w:p>
    <w:p w14:paraId="1AAF8860" w14:textId="77777777" w:rsidR="00E75492" w:rsidRPr="007D770B" w:rsidRDefault="00E75492" w:rsidP="00E75492">
      <w:pPr>
        <w:tabs>
          <w:tab w:val="left" w:pos="90"/>
        </w:tabs>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Newly acquired non-current assets (that have been acquired in a business combination) that meet the conditions for classification as available-for-sale are measured on initial recognition at fair value less costs to sell.</w:t>
      </w:r>
    </w:p>
    <w:p w14:paraId="5B0F8432" w14:textId="77777777" w:rsidR="00E75492" w:rsidRPr="007D770B" w:rsidRDefault="00E75492" w:rsidP="00E75492">
      <w:pPr>
        <w:tabs>
          <w:tab w:val="left" w:pos="90"/>
        </w:tabs>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If the sale of non-current assets or disposal groups is expected in more than one year, the costs of disposal are carried at discounted value. Any increase in the present value of the costs of disposal over time is recognized in the statement of comprehensive income as finance costs.</w:t>
      </w:r>
    </w:p>
    <w:p w14:paraId="7D4F4A47" w14:textId="27986584" w:rsidR="00E75492" w:rsidRPr="007D770B" w:rsidRDefault="00E75492" w:rsidP="00E44F6C">
      <w:pPr>
        <w:widowControl w:val="0"/>
        <w:tabs>
          <w:tab w:val="left" w:pos="0"/>
        </w:tabs>
        <w:spacing w:line="240" w:lineRule="auto"/>
        <w:ind w:left="0"/>
        <w:rPr>
          <w:rFonts w:ascii="Times New Roman" w:eastAsia="Times New Roman" w:hAnsi="Times New Roman"/>
          <w:i/>
          <w:snapToGrid w:val="0"/>
          <w:color w:val="3317A9"/>
          <w:szCs w:val="22"/>
          <w:lang w:val="en-US" w:eastAsia="ru-RU"/>
        </w:rPr>
      </w:pPr>
      <w:r w:rsidRPr="007D770B">
        <w:rPr>
          <w:rFonts w:ascii="Times New Roman" w:hAnsi="Times New Roman"/>
          <w:lang w:val="en-US"/>
        </w:rPr>
        <w:t xml:space="preserve">Immediately prior to initial classification as non-current assets held for sale, the carrying amounts of non-current assets and disposal groups shall be measured in accordance with the requirements of the applicable sections of these accounting policies. In particular, plans for the disposal (sale) of an asset are an indication that the value of the asset may be impaired, so at this stage the relevant assets are tested for impairment </w:t>
      </w:r>
      <w:r w:rsidR="00EE3CCF" w:rsidRPr="007D770B">
        <w:rPr>
          <w:rFonts w:ascii="Times New Roman" w:hAnsi="Times New Roman"/>
          <w:lang w:val="en-US"/>
        </w:rPr>
        <w:t xml:space="preserve">in accordance with the provision of </w:t>
      </w:r>
      <w:r w:rsidRPr="007D770B">
        <w:rPr>
          <w:rFonts w:ascii="Times New Roman" w:hAnsi="Times New Roman"/>
          <w:lang w:val="en-US"/>
        </w:rPr>
        <w:t xml:space="preserve">Section </w:t>
      </w:r>
      <w:r w:rsidR="00B326EF" w:rsidRPr="007D770B">
        <w:rPr>
          <w:rFonts w:ascii="Times New Roman" w:hAnsi="Times New Roman"/>
          <w:lang w:val="en-US"/>
        </w:rPr>
        <w:t xml:space="preserve">11 </w:t>
      </w:r>
      <w:r w:rsidR="00802136" w:rsidRPr="007D770B">
        <w:rPr>
          <w:rFonts w:ascii="Times New Roman" w:hAnsi="Times New Roman"/>
          <w:lang w:val="en-US"/>
        </w:rPr>
        <w:t>"</w:t>
      </w:r>
      <w:r w:rsidRPr="007D770B">
        <w:rPr>
          <w:rFonts w:ascii="Times New Roman" w:hAnsi="Times New Roman"/>
          <w:lang w:val="en-US"/>
        </w:rPr>
        <w:t>Impairment of Assets (IAS 36)</w:t>
      </w:r>
      <w:r w:rsidR="00802136" w:rsidRPr="007D770B">
        <w:rPr>
          <w:rFonts w:ascii="Times New Roman" w:hAnsi="Times New Roman"/>
          <w:lang w:val="en-US"/>
        </w:rPr>
        <w:t xml:space="preserve">" of </w:t>
      </w:r>
      <w:r w:rsidRPr="007D770B">
        <w:rPr>
          <w:rFonts w:ascii="Times New Roman" w:hAnsi="Times New Roman"/>
          <w:lang w:val="en-US"/>
        </w:rPr>
        <w:t xml:space="preserve">Chapter 2 of these accounting policies. Non-current assets and disposal groups classified as held for sale are not depreciated. Interest and other expenses related to the liabilities of the disposal group continue to be recognized. </w:t>
      </w:r>
      <w:r w:rsidR="00E44F6C" w:rsidRPr="007D770B">
        <w:rPr>
          <w:rFonts w:ascii="Times New Roman" w:eastAsia="Times New Roman" w:hAnsi="Times New Roman"/>
          <w:i/>
          <w:snapToGrid w:val="0"/>
          <w:color w:val="3366FF"/>
          <w:szCs w:val="22"/>
          <w:lang w:val="en-US" w:eastAsia="ru-RU"/>
        </w:rPr>
        <w:t>(</w:t>
      </w:r>
      <w:r w:rsidR="00E44F6C" w:rsidRPr="007D770B">
        <w:rPr>
          <w:rFonts w:ascii="Times New Roman" w:eastAsia="Times New Roman" w:hAnsi="Times New Roman"/>
          <w:i/>
          <w:snapToGrid w:val="0"/>
          <w:color w:val="3317A9"/>
          <w:szCs w:val="22"/>
          <w:lang w:val="en-US" w:eastAsia="ru-RU"/>
        </w:rPr>
        <w:t xml:space="preserve">Subparagraph "Valuation of non-current asset (or disposal groups) held for sale" of item 6-1.2. was amended by the decision of the Board of Directors dated </w:t>
      </w:r>
      <w:r w:rsidR="007C402C" w:rsidRPr="007D770B">
        <w:rPr>
          <w:rFonts w:ascii="Times New Roman" w:eastAsia="Times New Roman" w:hAnsi="Times New Roman"/>
          <w:i/>
          <w:snapToGrid w:val="0"/>
          <w:color w:val="3317A9"/>
          <w:szCs w:val="22"/>
          <w:lang w:val="en-US" w:eastAsia="ru-RU"/>
        </w:rPr>
        <w:t>31</w:t>
      </w:r>
      <w:r w:rsidR="00E44F6C" w:rsidRPr="007D770B">
        <w:rPr>
          <w:rFonts w:ascii="Times New Roman" w:eastAsia="Times New Roman" w:hAnsi="Times New Roman"/>
          <w:i/>
          <w:snapToGrid w:val="0"/>
          <w:color w:val="3317A9"/>
          <w:szCs w:val="22"/>
          <w:lang w:val="en-US" w:eastAsia="ru-RU"/>
        </w:rPr>
        <w:t>.</w:t>
      </w:r>
      <w:r w:rsidR="007C402C" w:rsidRPr="007D770B">
        <w:rPr>
          <w:rFonts w:ascii="Times New Roman" w:eastAsia="Times New Roman" w:hAnsi="Times New Roman"/>
          <w:i/>
          <w:snapToGrid w:val="0"/>
          <w:color w:val="3317A9"/>
          <w:szCs w:val="22"/>
          <w:lang w:val="en-US" w:eastAsia="ru-RU"/>
        </w:rPr>
        <w:t>10</w:t>
      </w:r>
      <w:r w:rsidR="00E44F6C" w:rsidRPr="007D770B">
        <w:rPr>
          <w:rFonts w:ascii="Times New Roman" w:eastAsia="Times New Roman" w:hAnsi="Times New Roman"/>
          <w:i/>
          <w:snapToGrid w:val="0"/>
          <w:color w:val="3317A9"/>
          <w:szCs w:val="22"/>
          <w:lang w:val="en-US" w:eastAsia="ru-RU"/>
        </w:rPr>
        <w:t xml:space="preserve">.2019 (Minutes No. </w:t>
      </w:r>
      <w:r w:rsidR="007C402C" w:rsidRPr="007D770B">
        <w:rPr>
          <w:rFonts w:ascii="Times New Roman" w:eastAsia="Times New Roman" w:hAnsi="Times New Roman"/>
          <w:i/>
          <w:snapToGrid w:val="0"/>
          <w:color w:val="3317A9"/>
          <w:szCs w:val="22"/>
          <w:lang w:val="en-US" w:eastAsia="ru-RU"/>
        </w:rPr>
        <w:t>13</w:t>
      </w:r>
      <w:r w:rsidR="00E44F6C" w:rsidRPr="007D770B">
        <w:rPr>
          <w:rFonts w:ascii="Times New Roman" w:eastAsia="Times New Roman" w:hAnsi="Times New Roman"/>
          <w:i/>
          <w:snapToGrid w:val="0"/>
          <w:color w:val="3317A9"/>
          <w:szCs w:val="22"/>
          <w:lang w:val="en-US" w:eastAsia="ru-RU"/>
        </w:rPr>
        <w:t>)</w:t>
      </w:r>
    </w:p>
    <w:p w14:paraId="65E17702" w14:textId="77777777" w:rsidR="00E75492" w:rsidRPr="007D770B" w:rsidRDefault="00E75492" w:rsidP="00E75492">
      <w:pPr>
        <w:tabs>
          <w:tab w:val="left" w:pos="90"/>
        </w:tabs>
        <w:autoSpaceDE w:val="0"/>
        <w:autoSpaceDN w:val="0"/>
        <w:adjustRightInd w:val="0"/>
        <w:spacing w:before="240" w:line="240" w:lineRule="auto"/>
        <w:ind w:left="0"/>
        <w:rPr>
          <w:rFonts w:ascii="Times New Roman" w:hAnsi="Times New Roman"/>
          <w:b/>
          <w:lang w:val="en-US" w:eastAsia="ru-RU"/>
        </w:rPr>
      </w:pPr>
      <w:r w:rsidRPr="007D770B">
        <w:rPr>
          <w:rFonts w:ascii="Times New Roman" w:hAnsi="Times New Roman"/>
          <w:b/>
          <w:lang w:val="en-US" w:eastAsia="ru-RU"/>
        </w:rPr>
        <w:t>Recognition of impairment losses and reversal of impairment losses</w:t>
      </w:r>
    </w:p>
    <w:p w14:paraId="159F7340" w14:textId="77777777" w:rsidR="00E75492" w:rsidRPr="007D770B" w:rsidRDefault="00E75492" w:rsidP="00E75492">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The Bank recognizes an impairment loss for any initial or subsequent decline in the value of long-lived assets and disposal groups to fair value less costs to sell.</w:t>
      </w:r>
    </w:p>
    <w:p w14:paraId="21152AD4" w14:textId="6F7DD7F1" w:rsidR="00E75492" w:rsidRPr="007D770B" w:rsidRDefault="00E75492" w:rsidP="00E75492">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lastRenderedPageBreak/>
        <w:t xml:space="preserve">The Bank recognizes a gain on a subsequent increase in the fair value of long-lived assets or disposal groups less costs to sell, but not to an amount greater than the cumulative impairment loss previously recognized in accordance with the provisions of this subsection or in accordance with Chapter 2, Section </w:t>
      </w:r>
      <w:r w:rsidR="00B326EF" w:rsidRPr="007D770B">
        <w:rPr>
          <w:rFonts w:ascii="Times New Roman" w:hAnsi="Times New Roman"/>
          <w:lang w:val="en-US"/>
        </w:rPr>
        <w:t>11</w:t>
      </w:r>
      <w:r w:rsidRPr="007D770B">
        <w:rPr>
          <w:rFonts w:ascii="Times New Roman" w:hAnsi="Times New Roman"/>
          <w:lang w:val="en-US"/>
        </w:rPr>
        <w:t>, Impairment of Assets (IAS 36).</w:t>
      </w:r>
    </w:p>
    <w:p w14:paraId="7FBCC4BB" w14:textId="6039463C" w:rsidR="00E44F6C" w:rsidRPr="007D770B" w:rsidRDefault="00E75492" w:rsidP="00E44F6C">
      <w:pPr>
        <w:widowControl w:val="0"/>
        <w:tabs>
          <w:tab w:val="left" w:pos="0"/>
        </w:tabs>
        <w:spacing w:line="240" w:lineRule="auto"/>
        <w:ind w:left="0"/>
        <w:rPr>
          <w:rFonts w:ascii="Times New Roman" w:eastAsia="Times New Roman" w:hAnsi="Times New Roman"/>
          <w:i/>
          <w:snapToGrid w:val="0"/>
          <w:color w:val="3366FF"/>
          <w:szCs w:val="22"/>
          <w:lang w:val="en-US" w:eastAsia="ru-RU"/>
        </w:rPr>
      </w:pPr>
      <w:r w:rsidRPr="007D770B">
        <w:rPr>
          <w:rFonts w:ascii="Times New Roman" w:hAnsi="Times New Roman"/>
          <w:lang w:val="en-US"/>
        </w:rPr>
        <w:t xml:space="preserve">Gains or losses not previously recognized before the date of sale of such long-lived assets or disposal groups are recognized on the date of disposal of such assets. </w:t>
      </w:r>
      <w:r w:rsidR="00E44F6C" w:rsidRPr="007D770B">
        <w:rPr>
          <w:rFonts w:ascii="Times New Roman" w:eastAsia="Times New Roman" w:hAnsi="Times New Roman"/>
          <w:i/>
          <w:snapToGrid w:val="0"/>
          <w:color w:val="3366FF"/>
          <w:szCs w:val="22"/>
          <w:lang w:val="en-US" w:eastAsia="ru-RU"/>
        </w:rPr>
        <w:t xml:space="preserve">(Subparagraph "Recognition of impairment losses and their reversal" of paragraph 6-1.2. was amended by the decision of the Board of Directors dated </w:t>
      </w:r>
      <w:r w:rsidR="0007371F" w:rsidRPr="007D770B">
        <w:rPr>
          <w:rFonts w:ascii="Times New Roman" w:eastAsia="Times New Roman" w:hAnsi="Times New Roman"/>
          <w:i/>
          <w:snapToGrid w:val="0"/>
          <w:color w:val="3366FF"/>
          <w:szCs w:val="22"/>
          <w:lang w:val="en-US" w:eastAsia="ru-RU"/>
        </w:rPr>
        <w:t>31</w:t>
      </w:r>
      <w:r w:rsidR="00E44F6C" w:rsidRPr="007D770B">
        <w:rPr>
          <w:rFonts w:ascii="Times New Roman" w:eastAsia="Times New Roman" w:hAnsi="Times New Roman"/>
          <w:i/>
          <w:snapToGrid w:val="0"/>
          <w:color w:val="3366FF"/>
          <w:szCs w:val="22"/>
          <w:lang w:val="en-US" w:eastAsia="ru-RU"/>
        </w:rPr>
        <w:t>.</w:t>
      </w:r>
      <w:r w:rsidR="0007371F" w:rsidRPr="007D770B">
        <w:rPr>
          <w:rFonts w:ascii="Times New Roman" w:eastAsia="Times New Roman" w:hAnsi="Times New Roman"/>
          <w:i/>
          <w:snapToGrid w:val="0"/>
          <w:color w:val="3366FF"/>
          <w:szCs w:val="22"/>
          <w:lang w:val="en-US" w:eastAsia="ru-RU"/>
        </w:rPr>
        <w:t>10</w:t>
      </w:r>
      <w:r w:rsidR="00E44F6C" w:rsidRPr="007D770B">
        <w:rPr>
          <w:rFonts w:ascii="Times New Roman" w:eastAsia="Times New Roman" w:hAnsi="Times New Roman"/>
          <w:i/>
          <w:snapToGrid w:val="0"/>
          <w:color w:val="3366FF"/>
          <w:szCs w:val="22"/>
          <w:lang w:val="en-US" w:eastAsia="ru-RU"/>
        </w:rPr>
        <w:t xml:space="preserve">.2019 (Minutes No. </w:t>
      </w:r>
      <w:r w:rsidR="0007371F" w:rsidRPr="007D770B">
        <w:rPr>
          <w:rFonts w:ascii="Times New Roman" w:eastAsia="Times New Roman" w:hAnsi="Times New Roman"/>
          <w:i/>
          <w:snapToGrid w:val="0"/>
          <w:color w:val="3366FF"/>
          <w:szCs w:val="22"/>
          <w:lang w:val="en-US" w:eastAsia="ru-RU"/>
        </w:rPr>
        <w:t>13</w:t>
      </w:r>
      <w:r w:rsidR="00E44F6C" w:rsidRPr="007D770B">
        <w:rPr>
          <w:rFonts w:ascii="Times New Roman" w:eastAsia="Times New Roman" w:hAnsi="Times New Roman"/>
          <w:i/>
          <w:snapToGrid w:val="0"/>
          <w:color w:val="3366FF"/>
          <w:szCs w:val="22"/>
          <w:lang w:val="en-US" w:eastAsia="ru-RU"/>
        </w:rPr>
        <w:t>).</w:t>
      </w:r>
    </w:p>
    <w:p w14:paraId="07605B4A" w14:textId="77777777" w:rsidR="00E75492" w:rsidRPr="007D770B" w:rsidRDefault="00E75492" w:rsidP="00E75492">
      <w:pPr>
        <w:tabs>
          <w:tab w:val="num" w:pos="6480"/>
        </w:tabs>
        <w:spacing w:before="240" w:line="240" w:lineRule="auto"/>
        <w:ind w:left="0"/>
        <w:rPr>
          <w:rFonts w:ascii="Times New Roman" w:hAnsi="Times New Roman"/>
          <w:b/>
          <w:lang w:val="en-US" w:eastAsia="ru-RU"/>
        </w:rPr>
      </w:pPr>
      <w:r w:rsidRPr="007D770B">
        <w:rPr>
          <w:rFonts w:ascii="Times New Roman" w:hAnsi="Times New Roman"/>
          <w:b/>
          <w:lang w:val="en-US" w:eastAsia="ru-RU"/>
        </w:rPr>
        <w:t>Changes to the sales plan</w:t>
      </w:r>
    </w:p>
    <w:p w14:paraId="169AD82A" w14:textId="471BD89E" w:rsidR="00E75492" w:rsidRPr="007D770B" w:rsidRDefault="00E75492" w:rsidP="00E75492">
      <w:pPr>
        <w:spacing w:before="240" w:line="240" w:lineRule="auto"/>
        <w:ind w:left="0"/>
        <w:rPr>
          <w:rFonts w:ascii="Times New Roman" w:hAnsi="Times New Roman"/>
          <w:lang w:val="en-US"/>
        </w:rPr>
      </w:pPr>
      <w:r w:rsidRPr="007D770B">
        <w:rPr>
          <w:rFonts w:ascii="Times New Roman" w:hAnsi="Times New Roman"/>
          <w:lang w:val="en-US"/>
        </w:rPr>
        <w:t xml:space="preserve">If non-current assets and disposal groups previously classified as held for sale no longer meet the required classification criteria, the Bank ceases to </w:t>
      </w:r>
      <w:r w:rsidR="00EE3CCF" w:rsidRPr="007D770B">
        <w:rPr>
          <w:rFonts w:ascii="Times New Roman" w:hAnsi="Times New Roman"/>
          <w:lang w:val="en-US"/>
        </w:rPr>
        <w:t xml:space="preserve">recognize </w:t>
      </w:r>
      <w:r w:rsidRPr="007D770B">
        <w:rPr>
          <w:rFonts w:ascii="Times New Roman" w:hAnsi="Times New Roman"/>
          <w:lang w:val="en-US"/>
        </w:rPr>
        <w:t>them as available for sale.</w:t>
      </w:r>
    </w:p>
    <w:p w14:paraId="4D63722A" w14:textId="77777777" w:rsidR="00E75492" w:rsidRPr="007D770B" w:rsidRDefault="00E75492" w:rsidP="00E75492">
      <w:pPr>
        <w:spacing w:before="240" w:line="240" w:lineRule="auto"/>
        <w:ind w:left="0"/>
        <w:rPr>
          <w:rFonts w:ascii="Times New Roman" w:hAnsi="Times New Roman"/>
          <w:lang w:val="en-US"/>
        </w:rPr>
      </w:pPr>
      <w:r w:rsidRPr="007D770B">
        <w:rPr>
          <w:rFonts w:ascii="Times New Roman" w:hAnsi="Times New Roman"/>
          <w:lang w:val="en-US"/>
        </w:rPr>
        <w:t>In this case, non-current assets and disposal groups are accounted for at the lower of:</w:t>
      </w:r>
    </w:p>
    <w:p w14:paraId="7B1F83DB" w14:textId="77777777" w:rsidR="00E75492" w:rsidRPr="007D770B" w:rsidRDefault="00E75492" w:rsidP="00AE698A">
      <w:pPr>
        <w:numPr>
          <w:ilvl w:val="0"/>
          <w:numId w:val="321"/>
        </w:numPr>
        <w:spacing w:before="240" w:line="240" w:lineRule="auto"/>
        <w:rPr>
          <w:rFonts w:ascii="Times New Roman" w:hAnsi="Times New Roman"/>
          <w:lang w:val="en-US"/>
        </w:rPr>
      </w:pPr>
      <w:r w:rsidRPr="007D770B">
        <w:rPr>
          <w:rFonts w:ascii="Times New Roman" w:hAnsi="Times New Roman"/>
          <w:lang w:val="en-US"/>
        </w:rPr>
        <w:t xml:space="preserve">the carrying amount of non-current assets of disposal groups before they were classified as held for sale, adjusted for depreciation or revaluation that would have been recognized had the non-current assets and disposal groups not been classified as held for sale; </w:t>
      </w:r>
    </w:p>
    <w:p w14:paraId="03125728" w14:textId="77777777" w:rsidR="00E75492" w:rsidRPr="007D770B" w:rsidRDefault="00E75492" w:rsidP="00AE698A">
      <w:pPr>
        <w:numPr>
          <w:ilvl w:val="0"/>
          <w:numId w:val="321"/>
        </w:numPr>
        <w:spacing w:before="240" w:line="240" w:lineRule="auto"/>
        <w:rPr>
          <w:rFonts w:ascii="Times New Roman" w:hAnsi="Times New Roman"/>
          <w:lang w:val="en-US"/>
        </w:rPr>
      </w:pPr>
      <w:r w:rsidRPr="007D770B">
        <w:rPr>
          <w:rFonts w:ascii="Times New Roman" w:hAnsi="Times New Roman"/>
          <w:lang w:val="en-US"/>
        </w:rPr>
        <w:t>the recoverable amount at the date the decision was made not to sell non-current assets.</w:t>
      </w:r>
    </w:p>
    <w:p w14:paraId="71A650E7" w14:textId="77777777" w:rsidR="00E75492" w:rsidRPr="007D770B" w:rsidRDefault="00E75492" w:rsidP="00E75492">
      <w:pPr>
        <w:spacing w:before="240" w:line="240" w:lineRule="auto"/>
        <w:ind w:left="0"/>
        <w:rPr>
          <w:rFonts w:ascii="Times New Roman" w:hAnsi="Times New Roman"/>
          <w:lang w:val="en-US"/>
        </w:rPr>
      </w:pPr>
      <w:r w:rsidRPr="007D770B">
        <w:rPr>
          <w:rFonts w:ascii="Times New Roman" w:hAnsi="Times New Roman"/>
          <w:lang w:val="en-US"/>
        </w:rPr>
        <w:t>Any adjustments to the carrying amounts of non-current assets and disposal groups whose classification as available-for-sale has been revoked are recognized in the statement of comprehensive income for continuing operations.</w:t>
      </w:r>
    </w:p>
    <w:p w14:paraId="147A90AE" w14:textId="77777777" w:rsidR="00E75492" w:rsidRPr="007D770B" w:rsidRDefault="00E75492" w:rsidP="00E75492">
      <w:pPr>
        <w:pStyle w:val="pnumbered"/>
        <w:spacing w:before="240" w:beforeAutospacing="0" w:after="240" w:afterAutospacing="0"/>
        <w:jc w:val="both"/>
        <w:rPr>
          <w:sz w:val="20"/>
          <w:szCs w:val="20"/>
          <w:lang w:val="en-US"/>
        </w:rPr>
      </w:pPr>
      <w:r w:rsidRPr="007D770B">
        <w:rPr>
          <w:sz w:val="20"/>
          <w:szCs w:val="20"/>
          <w:lang w:val="en-US"/>
        </w:rPr>
        <w:t xml:space="preserve">If the Bank discontinues the classification of a separate asset or separate liability within a disposal group classified as held for sale, the remaining </w:t>
      </w:r>
      <w:r w:rsidRPr="007D770B">
        <w:rPr>
          <w:sz w:val="20"/>
          <w:lang w:val="en-US"/>
        </w:rPr>
        <w:t xml:space="preserve">non-current </w:t>
      </w:r>
      <w:r w:rsidRPr="007D770B">
        <w:rPr>
          <w:sz w:val="20"/>
          <w:szCs w:val="20"/>
          <w:lang w:val="en-US"/>
        </w:rPr>
        <w:t xml:space="preserve">assets and liabilities in the disposal group to be sold shall continue to be measured collectively as a group, but only if the group meets the criteria in paragraph 6.1. Otherwise, the remaining </w:t>
      </w:r>
      <w:r w:rsidRPr="007D770B">
        <w:rPr>
          <w:sz w:val="20"/>
          <w:lang w:val="en-US"/>
        </w:rPr>
        <w:t xml:space="preserve">non-current </w:t>
      </w:r>
      <w:r w:rsidRPr="007D770B">
        <w:rPr>
          <w:sz w:val="20"/>
          <w:szCs w:val="20"/>
          <w:lang w:val="en-US"/>
        </w:rPr>
        <w:t xml:space="preserve">assets in such a group that individually meet the criteria for classification as held for sale shall be measured individually at the lower of carrying amount and fair value less costs to sell at that date. Any </w:t>
      </w:r>
      <w:r w:rsidRPr="007D770B">
        <w:rPr>
          <w:sz w:val="20"/>
          <w:lang w:val="en-US"/>
        </w:rPr>
        <w:t xml:space="preserve">non-current </w:t>
      </w:r>
      <w:r w:rsidRPr="007D770B">
        <w:rPr>
          <w:sz w:val="20"/>
          <w:szCs w:val="20"/>
          <w:lang w:val="en-US"/>
        </w:rPr>
        <w:t>assets that do not meet these criteria must be removed from the held for sale category.</w:t>
      </w:r>
    </w:p>
    <w:p w14:paraId="3D0D16D6" w14:textId="77777777" w:rsidR="00E75492" w:rsidRPr="007D770B" w:rsidRDefault="00E75492" w:rsidP="00E75492">
      <w:pPr>
        <w:tabs>
          <w:tab w:val="num" w:pos="6480"/>
        </w:tabs>
        <w:spacing w:before="240" w:line="240" w:lineRule="auto"/>
        <w:ind w:left="0"/>
        <w:rPr>
          <w:rFonts w:ascii="Times New Roman" w:hAnsi="Times New Roman"/>
          <w:b/>
          <w:lang w:val="en-US" w:eastAsia="ru-RU"/>
        </w:rPr>
      </w:pPr>
      <w:r w:rsidRPr="007D770B">
        <w:rPr>
          <w:rFonts w:ascii="Times New Roman" w:hAnsi="Times New Roman"/>
          <w:b/>
          <w:lang w:val="en-US" w:eastAsia="ru-RU"/>
        </w:rPr>
        <w:t xml:space="preserve">Extension of the period required to complete the sale </w:t>
      </w:r>
    </w:p>
    <w:p w14:paraId="3A31EF5A" w14:textId="5CAEA2F1" w:rsidR="00E75492" w:rsidRPr="007D770B" w:rsidRDefault="00E75492" w:rsidP="00E75492">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 xml:space="preserve">An extension of the period required to complete a sale does not preclude an asset (or disposal group) from being classified as held for sale if the extension is due to events or circumstances beyond the Bank's control and there is sufficient evidence of a firm commitment by the Bank to complete a plan to sell the asset (or disposal group). The specified period of time as one of the conditions for classification of assets (or disposal groups) as </w:t>
      </w:r>
      <w:r w:rsidR="00802136" w:rsidRPr="007D770B">
        <w:rPr>
          <w:rFonts w:ascii="Times New Roman" w:hAnsi="Times New Roman"/>
          <w:lang w:val="en-US"/>
        </w:rPr>
        <w:t>"</w:t>
      </w:r>
      <w:r w:rsidRPr="007D770B">
        <w:rPr>
          <w:rFonts w:ascii="Times New Roman" w:hAnsi="Times New Roman"/>
          <w:lang w:val="en-US"/>
        </w:rPr>
        <w:t>held for sale</w:t>
      </w:r>
      <w:r w:rsidR="00802136" w:rsidRPr="007D770B">
        <w:rPr>
          <w:rFonts w:ascii="Times New Roman" w:hAnsi="Times New Roman"/>
          <w:lang w:val="en-US"/>
        </w:rPr>
        <w:t xml:space="preserve">" </w:t>
      </w:r>
      <w:r w:rsidRPr="007D770B">
        <w:rPr>
          <w:rFonts w:ascii="Times New Roman" w:hAnsi="Times New Roman"/>
          <w:lang w:val="en-US"/>
        </w:rPr>
        <w:t>may be extended in the following cases:</w:t>
      </w:r>
    </w:p>
    <w:p w14:paraId="28B820D8" w14:textId="77777777" w:rsidR="00E75492" w:rsidRPr="007D770B" w:rsidRDefault="00E75492" w:rsidP="00AE698A">
      <w:pPr>
        <w:numPr>
          <w:ilvl w:val="0"/>
          <w:numId w:val="321"/>
        </w:numPr>
        <w:spacing w:before="240" w:line="240" w:lineRule="auto"/>
        <w:rPr>
          <w:rFonts w:ascii="Times New Roman" w:hAnsi="Times New Roman"/>
          <w:lang w:val="en-US"/>
        </w:rPr>
      </w:pPr>
      <w:r w:rsidRPr="007D770B">
        <w:rPr>
          <w:rFonts w:ascii="Times New Roman" w:hAnsi="Times New Roman"/>
          <w:lang w:val="en-US"/>
        </w:rPr>
        <w:t>if, at the date of the Bank's commitment to execute the plan of sale, there is a reasonable expectation that additional terms and conditions will be imposed on the transfer of the long-lived asset or disposal group by parties other than the acquirer and the actions required to respond to those terms and conditions cannot be taken until firm purchase agreement is obtained from the acquirer and it is probable that firm purchase agreement will be obtained within one year;</w:t>
      </w:r>
    </w:p>
    <w:p w14:paraId="3AD0CD72" w14:textId="77777777" w:rsidR="00E75492" w:rsidRPr="007D770B" w:rsidRDefault="00E75492" w:rsidP="00AE698A">
      <w:pPr>
        <w:numPr>
          <w:ilvl w:val="0"/>
          <w:numId w:val="321"/>
        </w:numPr>
        <w:spacing w:before="240" w:line="240" w:lineRule="auto"/>
        <w:rPr>
          <w:rFonts w:ascii="Times New Roman" w:hAnsi="Times New Roman"/>
          <w:lang w:val="en-US"/>
        </w:rPr>
      </w:pPr>
      <w:r w:rsidRPr="007D770B">
        <w:rPr>
          <w:rFonts w:ascii="Times New Roman" w:hAnsi="Times New Roman"/>
          <w:lang w:val="en-US"/>
        </w:rPr>
        <w:t>the Bank has a firm purchase agreement from the buyer, but as a result, the buyer or others impose conditions on the transfer of the asset (or disposal group) that extend the period required to complete the sale, and also extend the period required to complete the sale, and the following conditions are met:</w:t>
      </w:r>
    </w:p>
    <w:p w14:paraId="7766531F" w14:textId="77777777" w:rsidR="00E75492" w:rsidRPr="007D770B" w:rsidRDefault="00E75492" w:rsidP="00AE698A">
      <w:pPr>
        <w:numPr>
          <w:ilvl w:val="0"/>
          <w:numId w:val="319"/>
        </w:numPr>
        <w:tabs>
          <w:tab w:val="clear" w:pos="1080"/>
          <w:tab w:val="num" w:pos="360"/>
        </w:tabs>
        <w:autoSpaceDE w:val="0"/>
        <w:autoSpaceDN w:val="0"/>
        <w:adjustRightInd w:val="0"/>
        <w:spacing w:before="240" w:line="240" w:lineRule="auto"/>
        <w:ind w:left="1260"/>
        <w:rPr>
          <w:rFonts w:ascii="Times New Roman" w:hAnsi="Times New Roman"/>
          <w:lang w:val="en-US"/>
        </w:rPr>
      </w:pPr>
      <w:r w:rsidRPr="007D770B">
        <w:rPr>
          <w:rFonts w:ascii="Times New Roman" w:hAnsi="Times New Roman"/>
          <w:lang w:val="en-US"/>
        </w:rPr>
        <w:t>timely actions are taken to respond to the conditions; and</w:t>
      </w:r>
    </w:p>
    <w:p w14:paraId="2B8FBBC2" w14:textId="77777777" w:rsidR="00E75492" w:rsidRPr="007D770B" w:rsidRDefault="00E75492" w:rsidP="00AE698A">
      <w:pPr>
        <w:numPr>
          <w:ilvl w:val="0"/>
          <w:numId w:val="319"/>
        </w:numPr>
        <w:tabs>
          <w:tab w:val="clear" w:pos="1080"/>
          <w:tab w:val="num" w:pos="360"/>
        </w:tabs>
        <w:autoSpaceDE w:val="0"/>
        <w:autoSpaceDN w:val="0"/>
        <w:adjustRightInd w:val="0"/>
        <w:spacing w:before="240" w:line="240" w:lineRule="auto"/>
        <w:ind w:left="1260"/>
        <w:rPr>
          <w:rFonts w:ascii="Times New Roman" w:hAnsi="Times New Roman"/>
          <w:lang w:val="en-US"/>
        </w:rPr>
      </w:pPr>
      <w:r w:rsidRPr="007D770B">
        <w:rPr>
          <w:rFonts w:ascii="Times New Roman" w:hAnsi="Times New Roman"/>
          <w:lang w:val="en-US"/>
        </w:rPr>
        <w:t>is expected to favorably resolve the issues and eliminate the factors that caused the delay in the sale;</w:t>
      </w:r>
    </w:p>
    <w:p w14:paraId="4422BFBE" w14:textId="77777777" w:rsidR="00E75492" w:rsidRPr="007D770B" w:rsidRDefault="00E75492" w:rsidP="00AE698A">
      <w:pPr>
        <w:numPr>
          <w:ilvl w:val="0"/>
          <w:numId w:val="322"/>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If, during the initial period of one year, circumstances previously considered unlikely to occur that would result in non-current assets or disposal groups held for sale remaining unsold by the end of the initial annual period and:</w:t>
      </w:r>
    </w:p>
    <w:p w14:paraId="0422B3B2" w14:textId="77777777" w:rsidR="00E75492" w:rsidRPr="007D770B" w:rsidRDefault="00E75492" w:rsidP="00AE698A">
      <w:pPr>
        <w:numPr>
          <w:ilvl w:val="0"/>
          <w:numId w:val="319"/>
        </w:numPr>
        <w:tabs>
          <w:tab w:val="clear" w:pos="1080"/>
          <w:tab w:val="num" w:pos="360"/>
        </w:tabs>
        <w:autoSpaceDE w:val="0"/>
        <w:autoSpaceDN w:val="0"/>
        <w:adjustRightInd w:val="0"/>
        <w:spacing w:before="240" w:line="240" w:lineRule="auto"/>
        <w:ind w:left="1260"/>
        <w:rPr>
          <w:rFonts w:ascii="Times New Roman" w:hAnsi="Times New Roman"/>
          <w:lang w:val="en-US"/>
        </w:rPr>
      </w:pPr>
      <w:r w:rsidRPr="007D770B">
        <w:rPr>
          <w:rFonts w:ascii="Times New Roman" w:hAnsi="Times New Roman"/>
          <w:lang w:val="en-US"/>
        </w:rPr>
        <w:t>during the specified period, the Bank takes actions to respond to the facts leading to changes in the terms of sale;</w:t>
      </w:r>
    </w:p>
    <w:p w14:paraId="425454B5" w14:textId="77777777" w:rsidR="00E75492" w:rsidRPr="007D770B" w:rsidRDefault="00E75492" w:rsidP="00AE698A">
      <w:pPr>
        <w:numPr>
          <w:ilvl w:val="0"/>
          <w:numId w:val="319"/>
        </w:numPr>
        <w:tabs>
          <w:tab w:val="clear" w:pos="1080"/>
          <w:tab w:val="num" w:pos="360"/>
        </w:tabs>
        <w:autoSpaceDE w:val="0"/>
        <w:autoSpaceDN w:val="0"/>
        <w:adjustRightInd w:val="0"/>
        <w:spacing w:before="240" w:line="240" w:lineRule="auto"/>
        <w:ind w:left="1260"/>
        <w:rPr>
          <w:rFonts w:ascii="Times New Roman" w:hAnsi="Times New Roman"/>
          <w:lang w:val="en-US"/>
        </w:rPr>
      </w:pPr>
      <w:r w:rsidRPr="007D770B">
        <w:rPr>
          <w:rFonts w:ascii="Times New Roman" w:hAnsi="Times New Roman"/>
          <w:lang w:val="en-US"/>
        </w:rPr>
        <w:t>active efforts are being made to sell long-lived assets or disposal groups on the market at a reasonable price;</w:t>
      </w:r>
    </w:p>
    <w:p w14:paraId="38428191" w14:textId="77777777" w:rsidR="00E75492" w:rsidRPr="002D4EA3" w:rsidRDefault="00E75492" w:rsidP="00AE698A">
      <w:pPr>
        <w:numPr>
          <w:ilvl w:val="0"/>
          <w:numId w:val="319"/>
        </w:numPr>
        <w:tabs>
          <w:tab w:val="clear" w:pos="1080"/>
          <w:tab w:val="num" w:pos="360"/>
        </w:tabs>
        <w:autoSpaceDE w:val="0"/>
        <w:autoSpaceDN w:val="0"/>
        <w:adjustRightInd w:val="0"/>
        <w:spacing w:before="240" w:line="240" w:lineRule="auto"/>
        <w:ind w:left="1260"/>
        <w:rPr>
          <w:rFonts w:ascii="Times New Roman" w:hAnsi="Times New Roman"/>
        </w:rPr>
      </w:pPr>
      <w:r w:rsidRPr="002D4EA3">
        <w:rPr>
          <w:rFonts w:ascii="Times New Roman" w:hAnsi="Times New Roman"/>
        </w:rPr>
        <w:t>classification criteria are met.</w:t>
      </w:r>
    </w:p>
    <w:p w14:paraId="6A715B09" w14:textId="39F711D3" w:rsidR="00E75492" w:rsidRPr="002D4EA3" w:rsidRDefault="00594DB7" w:rsidP="00E61D21">
      <w:pPr>
        <w:pStyle w:val="3"/>
      </w:pPr>
      <w:bookmarkStart w:id="196" w:name="_Toc248586857"/>
      <w:bookmarkStart w:id="197" w:name="_Toc271279847"/>
      <w:bookmarkStart w:id="198" w:name="_Toc378283441"/>
      <w:bookmarkStart w:id="199" w:name="_Toc168502059"/>
      <w:r>
        <w:lastRenderedPageBreak/>
        <w:t>6-1</w:t>
      </w:r>
      <w:r w:rsidR="00E75492" w:rsidRPr="002D4EA3">
        <w:t>.3 Disclosure of information</w:t>
      </w:r>
      <w:bookmarkEnd w:id="196"/>
      <w:bookmarkEnd w:id="197"/>
      <w:bookmarkEnd w:id="198"/>
      <w:bookmarkEnd w:id="199"/>
    </w:p>
    <w:p w14:paraId="19BE4D6D" w14:textId="77777777" w:rsidR="00E75492" w:rsidRPr="007D770B" w:rsidRDefault="00E75492" w:rsidP="00E75492">
      <w:pPr>
        <w:spacing w:before="240" w:line="240" w:lineRule="auto"/>
        <w:ind w:left="0"/>
        <w:rPr>
          <w:rFonts w:ascii="Times New Roman" w:hAnsi="Times New Roman"/>
          <w:b/>
          <w:lang w:val="en-US"/>
        </w:rPr>
      </w:pPr>
      <w:r w:rsidRPr="007D770B">
        <w:rPr>
          <w:rFonts w:ascii="Times New Roman" w:hAnsi="Times New Roman"/>
          <w:b/>
          <w:lang w:val="en-US"/>
        </w:rPr>
        <w:t>Presentation of information on discontinued operations</w:t>
      </w:r>
    </w:p>
    <w:p w14:paraId="34AD0A51" w14:textId="77777777" w:rsidR="00E75492" w:rsidRPr="007D770B" w:rsidRDefault="00E75492" w:rsidP="00E75492">
      <w:pPr>
        <w:spacing w:before="240" w:line="240" w:lineRule="auto"/>
        <w:ind w:left="0"/>
        <w:rPr>
          <w:rFonts w:ascii="Times New Roman" w:hAnsi="Times New Roman"/>
          <w:bCs/>
          <w:iCs/>
          <w:lang w:val="en-US"/>
        </w:rPr>
      </w:pPr>
      <w:r w:rsidRPr="007D770B">
        <w:rPr>
          <w:rFonts w:ascii="Times New Roman" w:hAnsi="Times New Roman"/>
          <w:bCs/>
          <w:iCs/>
          <w:lang w:val="en-US"/>
        </w:rPr>
        <w:t xml:space="preserve">The </w:t>
      </w:r>
      <w:r w:rsidRPr="007D770B">
        <w:rPr>
          <w:rFonts w:ascii="Times New Roman" w:hAnsi="Times New Roman"/>
          <w:lang w:val="en-US"/>
        </w:rPr>
        <w:t xml:space="preserve">Bank </w:t>
      </w:r>
      <w:r w:rsidRPr="007D770B">
        <w:rPr>
          <w:rFonts w:ascii="Times New Roman" w:hAnsi="Times New Roman"/>
          <w:bCs/>
          <w:iCs/>
          <w:lang w:val="en-US"/>
        </w:rPr>
        <w:t>discloses the following information in the financial statements:</w:t>
      </w:r>
    </w:p>
    <w:p w14:paraId="6D719659" w14:textId="77777777" w:rsidR="00E75492" w:rsidRPr="007D770B" w:rsidRDefault="00E75492" w:rsidP="00AE698A">
      <w:pPr>
        <w:numPr>
          <w:ilvl w:val="0"/>
          <w:numId w:val="325"/>
        </w:numPr>
        <w:tabs>
          <w:tab w:val="left" w:pos="360"/>
        </w:tabs>
        <w:spacing w:before="240" w:line="240" w:lineRule="auto"/>
        <w:rPr>
          <w:rFonts w:ascii="Times New Roman" w:hAnsi="Times New Roman"/>
          <w:bCs/>
          <w:iCs/>
          <w:lang w:val="en-US"/>
        </w:rPr>
      </w:pPr>
      <w:r w:rsidRPr="007D770B">
        <w:rPr>
          <w:rFonts w:ascii="Times New Roman" w:hAnsi="Times New Roman"/>
          <w:bCs/>
          <w:iCs/>
          <w:lang w:val="en-US"/>
        </w:rPr>
        <w:t>in the statement of comprehensive income separately, the amount comprising:</w:t>
      </w:r>
    </w:p>
    <w:p w14:paraId="39A1B4C4" w14:textId="77777777" w:rsidR="00E75492" w:rsidRPr="007D770B" w:rsidRDefault="00E75492" w:rsidP="00AE698A">
      <w:pPr>
        <w:numPr>
          <w:ilvl w:val="0"/>
          <w:numId w:val="318"/>
        </w:numPr>
        <w:tabs>
          <w:tab w:val="left" w:pos="360"/>
        </w:tabs>
        <w:spacing w:before="240" w:line="240" w:lineRule="auto"/>
        <w:rPr>
          <w:rFonts w:ascii="Times New Roman" w:hAnsi="Times New Roman"/>
          <w:bCs/>
          <w:iCs/>
          <w:lang w:val="en-US"/>
        </w:rPr>
      </w:pPr>
      <w:r w:rsidRPr="007D770B">
        <w:rPr>
          <w:rFonts w:ascii="Times New Roman" w:hAnsi="Times New Roman"/>
          <w:bCs/>
          <w:iCs/>
          <w:lang w:val="en-US"/>
        </w:rPr>
        <w:t>profit or loss after tax from discontinued operations;</w:t>
      </w:r>
    </w:p>
    <w:p w14:paraId="0BA0945B" w14:textId="77777777" w:rsidR="00E75492" w:rsidRPr="007D770B" w:rsidRDefault="00E75492" w:rsidP="00AE698A">
      <w:pPr>
        <w:numPr>
          <w:ilvl w:val="0"/>
          <w:numId w:val="318"/>
        </w:numPr>
        <w:tabs>
          <w:tab w:val="left" w:pos="360"/>
        </w:tabs>
        <w:spacing w:before="240" w:line="240" w:lineRule="auto"/>
        <w:rPr>
          <w:rFonts w:ascii="Times New Roman" w:hAnsi="Times New Roman"/>
          <w:bCs/>
          <w:iCs/>
          <w:lang w:val="en-US"/>
        </w:rPr>
      </w:pPr>
      <w:r w:rsidRPr="007D770B">
        <w:rPr>
          <w:rFonts w:ascii="Times New Roman" w:hAnsi="Times New Roman"/>
          <w:bCs/>
          <w:iCs/>
          <w:lang w:val="en-US"/>
        </w:rPr>
        <w:t>the post-tax gain or loss recognized on measurement at fair value less costs to sell or on disposal of assets in discontinued operations;</w:t>
      </w:r>
    </w:p>
    <w:p w14:paraId="2A680FAC" w14:textId="77777777" w:rsidR="00E75492" w:rsidRPr="002D4EA3" w:rsidRDefault="00E75492" w:rsidP="00AE698A">
      <w:pPr>
        <w:numPr>
          <w:ilvl w:val="0"/>
          <w:numId w:val="325"/>
        </w:numPr>
        <w:tabs>
          <w:tab w:val="left" w:pos="360"/>
        </w:tabs>
        <w:spacing w:before="240" w:line="240" w:lineRule="auto"/>
        <w:rPr>
          <w:rFonts w:ascii="Times New Roman" w:hAnsi="Times New Roman"/>
          <w:bCs/>
          <w:iCs/>
        </w:rPr>
      </w:pPr>
      <w:r w:rsidRPr="002D4EA3">
        <w:rPr>
          <w:rFonts w:ascii="Times New Roman" w:hAnsi="Times New Roman"/>
          <w:bCs/>
          <w:iCs/>
        </w:rPr>
        <w:t>analyzing that amount by:</w:t>
      </w:r>
    </w:p>
    <w:p w14:paraId="752DFE31" w14:textId="77777777" w:rsidR="00E75492" w:rsidRPr="007D770B" w:rsidRDefault="00E75492" w:rsidP="00AE698A">
      <w:pPr>
        <w:numPr>
          <w:ilvl w:val="0"/>
          <w:numId w:val="318"/>
        </w:numPr>
        <w:tabs>
          <w:tab w:val="left" w:pos="360"/>
        </w:tabs>
        <w:spacing w:before="240" w:line="240" w:lineRule="auto"/>
        <w:rPr>
          <w:rFonts w:ascii="Times New Roman" w:hAnsi="Times New Roman"/>
          <w:bCs/>
          <w:iCs/>
          <w:lang w:val="en-US"/>
        </w:rPr>
      </w:pPr>
      <w:r w:rsidRPr="007D770B">
        <w:rPr>
          <w:rFonts w:ascii="Times New Roman" w:hAnsi="Times New Roman"/>
          <w:bCs/>
          <w:iCs/>
          <w:lang w:val="en-US"/>
        </w:rPr>
        <w:t xml:space="preserve">amounts of income, expenses, profit or loss before income tax from discontinued operations, and the related income tax expense; </w:t>
      </w:r>
    </w:p>
    <w:p w14:paraId="007D8D4C" w14:textId="77777777" w:rsidR="00E75492" w:rsidRPr="007D770B" w:rsidRDefault="00E75492" w:rsidP="00AE698A">
      <w:pPr>
        <w:numPr>
          <w:ilvl w:val="0"/>
          <w:numId w:val="318"/>
        </w:numPr>
        <w:tabs>
          <w:tab w:val="left" w:pos="360"/>
        </w:tabs>
        <w:spacing w:before="240" w:line="240" w:lineRule="auto"/>
        <w:rPr>
          <w:rFonts w:ascii="Times New Roman" w:hAnsi="Times New Roman"/>
          <w:bCs/>
          <w:iCs/>
          <w:lang w:val="en-US"/>
        </w:rPr>
      </w:pPr>
      <w:r w:rsidRPr="007D770B">
        <w:rPr>
          <w:rFonts w:ascii="Times New Roman" w:hAnsi="Times New Roman"/>
          <w:bCs/>
          <w:iCs/>
          <w:lang w:val="en-US"/>
        </w:rPr>
        <w:t xml:space="preserve">profit or loss recognized on the measurement of fair value less costs to sell or on the disposal of assets of discontinued operations, as well as the related income tax expense. </w:t>
      </w:r>
    </w:p>
    <w:p w14:paraId="6BA25ADF" w14:textId="77777777" w:rsidR="00E75492" w:rsidRPr="007D770B" w:rsidRDefault="00E75492" w:rsidP="00E75492">
      <w:pPr>
        <w:tabs>
          <w:tab w:val="left" w:pos="360"/>
        </w:tabs>
        <w:spacing w:before="240" w:line="240" w:lineRule="auto"/>
        <w:ind w:left="0"/>
        <w:rPr>
          <w:rFonts w:ascii="Times New Roman" w:hAnsi="Times New Roman"/>
          <w:bCs/>
          <w:iCs/>
          <w:lang w:val="en-US"/>
        </w:rPr>
      </w:pPr>
      <w:r w:rsidRPr="007D770B">
        <w:rPr>
          <w:rFonts w:ascii="Times New Roman" w:hAnsi="Times New Roman"/>
          <w:bCs/>
          <w:iCs/>
          <w:lang w:val="en-US"/>
        </w:rPr>
        <w:t>The analysis can be presented either in the statement of comprehensive income (in the discontinued operations section) or in the notes to the accounts;</w:t>
      </w:r>
    </w:p>
    <w:p w14:paraId="4E851B0B" w14:textId="77777777" w:rsidR="00E75492" w:rsidRPr="007D770B" w:rsidRDefault="00E75492" w:rsidP="00AE698A">
      <w:pPr>
        <w:numPr>
          <w:ilvl w:val="0"/>
          <w:numId w:val="323"/>
        </w:numPr>
        <w:tabs>
          <w:tab w:val="clear" w:pos="1080"/>
          <w:tab w:val="left" w:pos="360"/>
        </w:tabs>
        <w:spacing w:before="240" w:line="240" w:lineRule="auto"/>
        <w:ind w:left="720"/>
        <w:rPr>
          <w:rFonts w:ascii="Times New Roman" w:hAnsi="Times New Roman"/>
          <w:bCs/>
          <w:iCs/>
          <w:lang w:val="en-US"/>
        </w:rPr>
      </w:pPr>
      <w:r w:rsidRPr="007D770B">
        <w:rPr>
          <w:rFonts w:ascii="Times New Roman" w:hAnsi="Times New Roman"/>
          <w:bCs/>
          <w:iCs/>
          <w:lang w:val="en-US"/>
        </w:rPr>
        <w:t>the amounts of net cash flows attributable to operating, investing and financing activities within discontinued operations. This information may be disclosed either in the statement of cash flows or in the notes to the financial statements;</w:t>
      </w:r>
    </w:p>
    <w:p w14:paraId="636B47F1" w14:textId="77777777" w:rsidR="00E75492" w:rsidRPr="007D770B" w:rsidRDefault="00E75492" w:rsidP="00AE698A">
      <w:pPr>
        <w:numPr>
          <w:ilvl w:val="0"/>
          <w:numId w:val="323"/>
        </w:numPr>
        <w:tabs>
          <w:tab w:val="clear" w:pos="1080"/>
          <w:tab w:val="left" w:pos="360"/>
        </w:tabs>
        <w:spacing w:before="240" w:line="240" w:lineRule="auto"/>
        <w:ind w:left="720"/>
        <w:rPr>
          <w:rFonts w:ascii="Times New Roman" w:hAnsi="Times New Roman"/>
          <w:bCs/>
          <w:iCs/>
          <w:lang w:val="en-US"/>
        </w:rPr>
      </w:pPr>
      <w:r w:rsidRPr="007D770B">
        <w:rPr>
          <w:rFonts w:ascii="Times New Roman" w:hAnsi="Times New Roman"/>
          <w:bCs/>
          <w:iCs/>
          <w:lang w:val="en-US"/>
        </w:rPr>
        <w:t xml:space="preserve">profit or loss from continuing and discontinued operations attributable to equity holders of the </w:t>
      </w:r>
      <w:r w:rsidRPr="007D770B">
        <w:rPr>
          <w:rFonts w:ascii="Times New Roman" w:hAnsi="Times New Roman"/>
          <w:lang w:val="en-US"/>
        </w:rPr>
        <w:t>Bank</w:t>
      </w:r>
      <w:r w:rsidRPr="007D770B">
        <w:rPr>
          <w:rFonts w:ascii="Times New Roman" w:hAnsi="Times New Roman"/>
          <w:bCs/>
          <w:iCs/>
          <w:lang w:val="en-US"/>
        </w:rPr>
        <w:t>. This information may be disclosed either in the statement of comprehensive income or in the notes to the financial statements.</w:t>
      </w:r>
    </w:p>
    <w:p w14:paraId="25B3C550" w14:textId="77777777" w:rsidR="00E75492" w:rsidRPr="007D770B" w:rsidRDefault="00E75492" w:rsidP="00E75492">
      <w:pPr>
        <w:tabs>
          <w:tab w:val="left" w:pos="360"/>
        </w:tabs>
        <w:spacing w:before="240" w:line="240" w:lineRule="auto"/>
        <w:ind w:left="0"/>
        <w:rPr>
          <w:rFonts w:ascii="Times New Roman" w:hAnsi="Times New Roman"/>
          <w:bCs/>
          <w:iCs/>
          <w:lang w:val="en-US"/>
        </w:rPr>
      </w:pPr>
      <w:r w:rsidRPr="007D770B">
        <w:rPr>
          <w:rFonts w:ascii="Times New Roman" w:hAnsi="Times New Roman"/>
          <w:bCs/>
          <w:iCs/>
          <w:lang w:val="en-US"/>
        </w:rPr>
        <w:t>Disclosures in accordance with the above requirements are restated for all prior periods presented to reflect all transactions that have ceased at the reporting date of the most recent period presented.</w:t>
      </w:r>
    </w:p>
    <w:p w14:paraId="7CA562F4" w14:textId="77777777" w:rsidR="00E75492" w:rsidRPr="007D770B" w:rsidRDefault="00E75492" w:rsidP="00E75492">
      <w:pPr>
        <w:tabs>
          <w:tab w:val="left" w:pos="360"/>
        </w:tabs>
        <w:spacing w:before="240" w:line="240" w:lineRule="auto"/>
        <w:ind w:left="0"/>
        <w:rPr>
          <w:rFonts w:ascii="Times New Roman" w:hAnsi="Times New Roman"/>
          <w:bCs/>
          <w:iCs/>
          <w:lang w:val="en-US"/>
        </w:rPr>
      </w:pPr>
      <w:r w:rsidRPr="007D770B">
        <w:rPr>
          <w:rFonts w:ascii="Times New Roman" w:hAnsi="Times New Roman"/>
          <w:bCs/>
          <w:iCs/>
          <w:lang w:val="en-US"/>
        </w:rPr>
        <w:t>Current period adjustments directly attributable to the disposal of discontinued operations in prior periods are reported separately under discontinued operations.</w:t>
      </w:r>
    </w:p>
    <w:p w14:paraId="6FD2231F" w14:textId="77777777" w:rsidR="00E75492" w:rsidRPr="007D770B" w:rsidRDefault="00E75492" w:rsidP="00E75492">
      <w:pPr>
        <w:tabs>
          <w:tab w:val="left" w:pos="360"/>
        </w:tabs>
        <w:spacing w:before="240" w:line="240" w:lineRule="auto"/>
        <w:ind w:left="0"/>
        <w:rPr>
          <w:rFonts w:ascii="Times New Roman" w:hAnsi="Times New Roman"/>
          <w:bCs/>
          <w:iCs/>
          <w:lang w:val="en-US"/>
        </w:rPr>
      </w:pPr>
      <w:r w:rsidRPr="007D770B">
        <w:rPr>
          <w:rFonts w:ascii="Times New Roman" w:hAnsi="Times New Roman"/>
          <w:bCs/>
          <w:iCs/>
          <w:lang w:val="en-US"/>
        </w:rPr>
        <w:t xml:space="preserve">When a component of the </w:t>
      </w:r>
      <w:r w:rsidRPr="007D770B">
        <w:rPr>
          <w:rFonts w:ascii="Times New Roman" w:hAnsi="Times New Roman"/>
          <w:lang w:val="en-US"/>
        </w:rPr>
        <w:t xml:space="preserve">Bank </w:t>
      </w:r>
      <w:r w:rsidRPr="007D770B">
        <w:rPr>
          <w:rFonts w:ascii="Times New Roman" w:hAnsi="Times New Roman"/>
          <w:bCs/>
          <w:iCs/>
          <w:lang w:val="en-US"/>
        </w:rPr>
        <w:t xml:space="preserve">ceases to be classified as held for sale, the results of operations of the component previously reported in accordance with  above requirements are reclassified and included in the </w:t>
      </w:r>
      <w:r w:rsidRPr="007D770B">
        <w:rPr>
          <w:rFonts w:ascii="Times New Roman" w:hAnsi="Times New Roman"/>
          <w:lang w:val="en-US"/>
        </w:rPr>
        <w:t xml:space="preserve">statement of comprehensive income of </w:t>
      </w:r>
      <w:r w:rsidRPr="007D770B">
        <w:rPr>
          <w:rFonts w:ascii="Times New Roman" w:hAnsi="Times New Roman"/>
          <w:bCs/>
          <w:iCs/>
          <w:lang w:val="en-US"/>
        </w:rPr>
        <w:t>continuing operations for all periods presented. It is required to indicate that amounts for prior periods have previously been presented differently.</w:t>
      </w:r>
    </w:p>
    <w:p w14:paraId="6B9A5F75" w14:textId="77777777" w:rsidR="00E75492" w:rsidRPr="007D770B" w:rsidRDefault="00E75492" w:rsidP="00E75492">
      <w:pPr>
        <w:spacing w:before="240" w:line="240" w:lineRule="auto"/>
        <w:ind w:left="0"/>
        <w:rPr>
          <w:rFonts w:ascii="Times New Roman" w:hAnsi="Times New Roman"/>
          <w:b/>
          <w:bCs/>
          <w:iCs/>
          <w:lang w:val="en-US"/>
        </w:rPr>
      </w:pPr>
      <w:r w:rsidRPr="007D770B">
        <w:rPr>
          <w:rFonts w:ascii="Times New Roman" w:hAnsi="Times New Roman"/>
          <w:b/>
          <w:bCs/>
          <w:iCs/>
          <w:lang w:val="en-US"/>
        </w:rPr>
        <w:t>Disclosures in respect of non-current assets held for sale, disposal groups, discontinued operations</w:t>
      </w:r>
    </w:p>
    <w:p w14:paraId="1C4D0DCF" w14:textId="77777777" w:rsidR="00E75492" w:rsidRPr="007D770B" w:rsidRDefault="00E75492" w:rsidP="00E75492">
      <w:pPr>
        <w:spacing w:before="240" w:line="240" w:lineRule="auto"/>
        <w:ind w:left="0"/>
        <w:rPr>
          <w:rFonts w:ascii="Times New Roman" w:hAnsi="Times New Roman"/>
          <w:bCs/>
          <w:iCs/>
          <w:lang w:val="en-US"/>
        </w:rPr>
      </w:pPr>
      <w:r w:rsidRPr="007D770B">
        <w:rPr>
          <w:rFonts w:ascii="Times New Roman" w:hAnsi="Times New Roman"/>
          <w:bCs/>
          <w:iCs/>
          <w:lang w:val="en-US"/>
        </w:rPr>
        <w:t xml:space="preserve">Major classes of </w:t>
      </w:r>
      <w:r w:rsidRPr="007D770B">
        <w:rPr>
          <w:rFonts w:ascii="Times New Roman" w:hAnsi="Times New Roman"/>
          <w:lang w:val="en-US"/>
        </w:rPr>
        <w:t xml:space="preserve">non-current </w:t>
      </w:r>
      <w:r w:rsidRPr="007D770B">
        <w:rPr>
          <w:rFonts w:ascii="Times New Roman" w:hAnsi="Times New Roman"/>
          <w:bCs/>
          <w:iCs/>
          <w:lang w:val="en-US"/>
        </w:rPr>
        <w:t xml:space="preserve">assets and liabilities classified as held for sale are disclosed separately in the </w:t>
      </w:r>
      <w:r w:rsidRPr="007D770B">
        <w:rPr>
          <w:rFonts w:ascii="Times New Roman" w:hAnsi="Times New Roman"/>
          <w:lang w:val="en-US"/>
        </w:rPr>
        <w:t xml:space="preserve">statement of financial position </w:t>
      </w:r>
      <w:r w:rsidRPr="007D770B">
        <w:rPr>
          <w:rFonts w:ascii="Times New Roman" w:hAnsi="Times New Roman"/>
          <w:bCs/>
          <w:iCs/>
          <w:lang w:val="en-US"/>
        </w:rPr>
        <w:t xml:space="preserve">or in the notes thereto. Liabilities and assets of the disposal group are not offset. The major types of assets and liabilities classified as held for sale are disclosed separately either in the balance sheet or in the notes (unless the disposal group is a newly acquired subsidiary). Also, the cumulative gain or loss recognized directly in other comprehensive income for </w:t>
      </w:r>
      <w:r w:rsidRPr="007D770B">
        <w:rPr>
          <w:rFonts w:ascii="Times New Roman" w:hAnsi="Times New Roman"/>
          <w:lang w:val="en-US"/>
        </w:rPr>
        <w:t xml:space="preserve">non-current </w:t>
      </w:r>
      <w:r w:rsidRPr="007D770B">
        <w:rPr>
          <w:rFonts w:ascii="Times New Roman" w:hAnsi="Times New Roman"/>
          <w:bCs/>
          <w:iCs/>
          <w:lang w:val="en-US"/>
        </w:rPr>
        <w:t xml:space="preserve">assets (or disposal group) classified as held for sale is disclosed separately. </w:t>
      </w:r>
    </w:p>
    <w:p w14:paraId="53176CE1" w14:textId="77777777" w:rsidR="00E75492" w:rsidRPr="007D770B" w:rsidRDefault="00E75492" w:rsidP="00E75492">
      <w:pPr>
        <w:spacing w:before="240" w:line="240" w:lineRule="auto"/>
        <w:ind w:left="0"/>
        <w:rPr>
          <w:rFonts w:ascii="Times New Roman" w:hAnsi="Times New Roman"/>
          <w:bCs/>
          <w:iCs/>
          <w:lang w:val="en-US"/>
        </w:rPr>
      </w:pPr>
      <w:r w:rsidRPr="007D770B">
        <w:rPr>
          <w:rFonts w:ascii="Times New Roman" w:hAnsi="Times New Roman"/>
          <w:bCs/>
          <w:iCs/>
          <w:lang w:val="en-US"/>
        </w:rPr>
        <w:t xml:space="preserve">To reflect the grouping of </w:t>
      </w:r>
      <w:r w:rsidRPr="007D770B">
        <w:rPr>
          <w:rFonts w:ascii="Times New Roman" w:hAnsi="Times New Roman"/>
          <w:lang w:val="en-US"/>
        </w:rPr>
        <w:t xml:space="preserve">non-current </w:t>
      </w:r>
      <w:r w:rsidRPr="007D770B">
        <w:rPr>
          <w:rFonts w:ascii="Times New Roman" w:hAnsi="Times New Roman"/>
          <w:bCs/>
          <w:iCs/>
          <w:lang w:val="en-US"/>
        </w:rPr>
        <w:t>assets as of the latest reporting date, no reclassification of historical assets is made.</w:t>
      </w:r>
    </w:p>
    <w:p w14:paraId="44B8D3CC" w14:textId="77777777" w:rsidR="00E75492" w:rsidRPr="007D770B" w:rsidRDefault="00E75492" w:rsidP="00E75492">
      <w:pPr>
        <w:spacing w:before="240" w:line="240" w:lineRule="auto"/>
        <w:ind w:left="0"/>
        <w:rPr>
          <w:rFonts w:ascii="Times New Roman" w:hAnsi="Times New Roman"/>
          <w:bCs/>
          <w:iCs/>
          <w:lang w:val="en-US"/>
        </w:rPr>
      </w:pPr>
      <w:r w:rsidRPr="007D770B">
        <w:rPr>
          <w:rFonts w:ascii="Times New Roman" w:hAnsi="Times New Roman"/>
          <w:bCs/>
          <w:iCs/>
          <w:lang w:val="en-US"/>
        </w:rPr>
        <w:t xml:space="preserve">In the notes to the financial statements for the period when </w:t>
      </w:r>
      <w:r w:rsidRPr="007D770B">
        <w:rPr>
          <w:rFonts w:ascii="Times New Roman" w:hAnsi="Times New Roman"/>
          <w:lang w:val="en-US"/>
        </w:rPr>
        <w:t xml:space="preserve">non-current </w:t>
      </w:r>
      <w:r w:rsidRPr="007D770B">
        <w:rPr>
          <w:rFonts w:ascii="Times New Roman" w:hAnsi="Times New Roman"/>
          <w:bCs/>
          <w:iCs/>
          <w:lang w:val="en-US"/>
        </w:rPr>
        <w:t xml:space="preserve">assets were classified as held for sale or were sold, the </w:t>
      </w:r>
      <w:r w:rsidRPr="007D770B">
        <w:rPr>
          <w:rFonts w:ascii="Times New Roman" w:hAnsi="Times New Roman"/>
          <w:lang w:val="en-US"/>
        </w:rPr>
        <w:t xml:space="preserve">Bank </w:t>
      </w:r>
      <w:r w:rsidRPr="007D770B">
        <w:rPr>
          <w:rFonts w:ascii="Times New Roman" w:hAnsi="Times New Roman"/>
          <w:bCs/>
          <w:iCs/>
          <w:lang w:val="en-US"/>
        </w:rPr>
        <w:t>discloses:</w:t>
      </w:r>
    </w:p>
    <w:p w14:paraId="01A20DB5" w14:textId="77777777" w:rsidR="00E75492" w:rsidRPr="007D770B" w:rsidRDefault="00E75492" w:rsidP="00AE698A">
      <w:pPr>
        <w:numPr>
          <w:ilvl w:val="0"/>
          <w:numId w:val="324"/>
        </w:numPr>
        <w:spacing w:before="240" w:line="240" w:lineRule="auto"/>
        <w:rPr>
          <w:rFonts w:ascii="Times New Roman" w:hAnsi="Times New Roman"/>
          <w:bCs/>
          <w:iCs/>
          <w:lang w:val="en-US"/>
        </w:rPr>
      </w:pPr>
      <w:r w:rsidRPr="007D770B">
        <w:rPr>
          <w:rFonts w:ascii="Times New Roman" w:hAnsi="Times New Roman"/>
          <w:bCs/>
          <w:iCs/>
          <w:lang w:val="en-US"/>
        </w:rPr>
        <w:t xml:space="preserve">a description of such </w:t>
      </w:r>
      <w:r w:rsidRPr="007D770B">
        <w:rPr>
          <w:rFonts w:ascii="Times New Roman" w:hAnsi="Times New Roman"/>
          <w:lang w:val="en-US"/>
        </w:rPr>
        <w:t xml:space="preserve">long-lived </w:t>
      </w:r>
      <w:r w:rsidRPr="007D770B">
        <w:rPr>
          <w:rFonts w:ascii="Times New Roman" w:hAnsi="Times New Roman"/>
          <w:bCs/>
          <w:iCs/>
          <w:lang w:val="en-US"/>
        </w:rPr>
        <w:t>assets;</w:t>
      </w:r>
    </w:p>
    <w:p w14:paraId="40F48F01" w14:textId="77777777" w:rsidR="00E75492" w:rsidRPr="007D770B" w:rsidRDefault="00E75492" w:rsidP="00AE698A">
      <w:pPr>
        <w:numPr>
          <w:ilvl w:val="0"/>
          <w:numId w:val="324"/>
        </w:numPr>
        <w:spacing w:before="240" w:line="240" w:lineRule="auto"/>
        <w:rPr>
          <w:rFonts w:ascii="Times New Roman" w:hAnsi="Times New Roman"/>
          <w:bCs/>
          <w:iCs/>
          <w:lang w:val="en-US"/>
        </w:rPr>
      </w:pPr>
      <w:r w:rsidRPr="007D770B">
        <w:rPr>
          <w:rFonts w:ascii="Times New Roman" w:hAnsi="Times New Roman"/>
          <w:bCs/>
          <w:iCs/>
          <w:lang w:val="en-US"/>
        </w:rPr>
        <w:t>A description of the facts and circumstances of the sale, or the circumstances leading to the disposal, specifying the intended manner and period of disposal;</w:t>
      </w:r>
    </w:p>
    <w:p w14:paraId="011EE053" w14:textId="77777777" w:rsidR="00E75492" w:rsidRPr="007D770B" w:rsidRDefault="00E75492" w:rsidP="00AE698A">
      <w:pPr>
        <w:numPr>
          <w:ilvl w:val="0"/>
          <w:numId w:val="324"/>
        </w:numPr>
        <w:spacing w:before="240" w:line="240" w:lineRule="auto"/>
        <w:rPr>
          <w:rFonts w:ascii="Times New Roman" w:hAnsi="Times New Roman"/>
          <w:bCs/>
          <w:iCs/>
          <w:lang w:val="en-US"/>
        </w:rPr>
      </w:pPr>
      <w:r w:rsidRPr="007D770B">
        <w:rPr>
          <w:rFonts w:ascii="Times New Roman" w:hAnsi="Times New Roman"/>
          <w:bCs/>
          <w:iCs/>
          <w:lang w:val="en-US"/>
        </w:rPr>
        <w:t>the amount of impairment loss recognized in the statement of comprehensive income and fair value gains less costs to sell;</w:t>
      </w:r>
    </w:p>
    <w:p w14:paraId="18908F9F" w14:textId="5AC05990" w:rsidR="00E75492" w:rsidRPr="007D770B" w:rsidRDefault="00E75492" w:rsidP="00AE698A">
      <w:pPr>
        <w:numPr>
          <w:ilvl w:val="0"/>
          <w:numId w:val="324"/>
        </w:numPr>
        <w:spacing w:before="240" w:line="240" w:lineRule="auto"/>
        <w:rPr>
          <w:rFonts w:ascii="Times New Roman" w:hAnsi="Times New Roman"/>
          <w:bCs/>
          <w:iCs/>
          <w:lang w:val="en-US"/>
        </w:rPr>
      </w:pPr>
      <w:r w:rsidRPr="007D770B">
        <w:rPr>
          <w:rFonts w:ascii="Times New Roman" w:hAnsi="Times New Roman"/>
          <w:bCs/>
          <w:iCs/>
          <w:lang w:val="en-US"/>
        </w:rPr>
        <w:lastRenderedPageBreak/>
        <w:t xml:space="preserve">if applicable, the segment in which the non-current asset or disposal group is reported in accordance with Chapter 3, Section </w:t>
      </w:r>
      <w:r w:rsidR="00727CC3" w:rsidRPr="007D770B">
        <w:rPr>
          <w:rFonts w:ascii="Times New Roman" w:hAnsi="Times New Roman"/>
          <w:bCs/>
          <w:iCs/>
          <w:lang w:val="en-US"/>
        </w:rPr>
        <w:t>2-1</w:t>
      </w:r>
      <w:r w:rsidR="00802136" w:rsidRPr="007D770B">
        <w:rPr>
          <w:rFonts w:ascii="Times New Roman" w:hAnsi="Times New Roman"/>
          <w:bCs/>
          <w:iCs/>
          <w:lang w:val="en-US"/>
        </w:rPr>
        <w:t xml:space="preserve">, </w:t>
      </w:r>
      <w:r w:rsidRPr="007D770B">
        <w:rPr>
          <w:rFonts w:ascii="Times New Roman" w:hAnsi="Times New Roman"/>
          <w:bCs/>
          <w:iCs/>
          <w:lang w:val="en-US"/>
        </w:rPr>
        <w:t>Operating Segments (IFRS 8).</w:t>
      </w:r>
    </w:p>
    <w:p w14:paraId="4BDC3004" w14:textId="5D92CCF1" w:rsidR="00EB1132" w:rsidRPr="007D770B" w:rsidRDefault="00E75492" w:rsidP="00EB1132">
      <w:pPr>
        <w:widowControl w:val="0"/>
        <w:tabs>
          <w:tab w:val="left" w:pos="0"/>
        </w:tabs>
        <w:spacing w:line="240" w:lineRule="auto"/>
        <w:ind w:left="0"/>
        <w:rPr>
          <w:rFonts w:ascii="Times New Roman" w:eastAsia="Times New Roman" w:hAnsi="Times New Roman"/>
          <w:i/>
          <w:snapToGrid w:val="0"/>
          <w:color w:val="3366FF"/>
          <w:szCs w:val="22"/>
          <w:lang w:val="en-US" w:eastAsia="ru-RU"/>
        </w:rPr>
      </w:pPr>
      <w:r w:rsidRPr="007D770B">
        <w:rPr>
          <w:rFonts w:ascii="Times New Roman" w:hAnsi="Times New Roman"/>
          <w:bCs/>
          <w:iCs/>
          <w:lang w:val="en-US"/>
        </w:rPr>
        <w:t xml:space="preserve">For </w:t>
      </w:r>
      <w:r w:rsidRPr="007D770B">
        <w:rPr>
          <w:rFonts w:ascii="Times New Roman" w:hAnsi="Times New Roman"/>
          <w:lang w:val="en-US"/>
        </w:rPr>
        <w:t xml:space="preserve">non-current </w:t>
      </w:r>
      <w:r w:rsidRPr="007D770B">
        <w:rPr>
          <w:rFonts w:ascii="Times New Roman" w:hAnsi="Times New Roman"/>
          <w:bCs/>
          <w:iCs/>
          <w:lang w:val="en-US"/>
        </w:rPr>
        <w:t xml:space="preserve">assets for which the plans for their sale have changed, it is necessary to disclose the facts that influenced the decision to cancel the sale and the effect of this decision on the results of operations in the current period, as well as in the presented past periods. </w:t>
      </w:r>
      <w:r w:rsidR="00EB1132" w:rsidRPr="007D770B">
        <w:rPr>
          <w:rFonts w:ascii="Times New Roman" w:eastAsia="Times New Roman" w:hAnsi="Times New Roman"/>
          <w:i/>
          <w:snapToGrid w:val="0"/>
          <w:color w:val="3366FF"/>
          <w:szCs w:val="22"/>
          <w:lang w:val="en-US" w:eastAsia="ru-RU"/>
        </w:rPr>
        <w:t xml:space="preserve">(Subparagraph "Disclosure of information regarding non-current assets held for sale, disposal groups, discontinued operations" of item 6-1.3. was amended by the decision of the Board of Directors dated </w:t>
      </w:r>
      <w:r w:rsidR="000A4D28" w:rsidRPr="007D770B">
        <w:rPr>
          <w:rFonts w:ascii="Times New Roman" w:eastAsia="Times New Roman" w:hAnsi="Times New Roman"/>
          <w:i/>
          <w:snapToGrid w:val="0"/>
          <w:color w:val="3366FF"/>
          <w:szCs w:val="22"/>
          <w:lang w:val="en-US" w:eastAsia="ru-RU"/>
        </w:rPr>
        <w:t>31</w:t>
      </w:r>
      <w:r w:rsidR="00EB1132" w:rsidRPr="007D770B">
        <w:rPr>
          <w:rFonts w:ascii="Times New Roman" w:eastAsia="Times New Roman" w:hAnsi="Times New Roman"/>
          <w:i/>
          <w:snapToGrid w:val="0"/>
          <w:color w:val="3366FF"/>
          <w:szCs w:val="22"/>
          <w:lang w:val="en-US" w:eastAsia="ru-RU"/>
        </w:rPr>
        <w:t>.</w:t>
      </w:r>
      <w:r w:rsidR="000A4D28" w:rsidRPr="007D770B">
        <w:rPr>
          <w:rFonts w:ascii="Times New Roman" w:eastAsia="Times New Roman" w:hAnsi="Times New Roman"/>
          <w:i/>
          <w:snapToGrid w:val="0"/>
          <w:color w:val="3366FF"/>
          <w:szCs w:val="22"/>
          <w:lang w:val="en-US" w:eastAsia="ru-RU"/>
        </w:rPr>
        <w:t>10</w:t>
      </w:r>
      <w:r w:rsidR="00EB1132" w:rsidRPr="007D770B">
        <w:rPr>
          <w:rFonts w:ascii="Times New Roman" w:eastAsia="Times New Roman" w:hAnsi="Times New Roman"/>
          <w:i/>
          <w:snapToGrid w:val="0"/>
          <w:color w:val="3366FF"/>
          <w:szCs w:val="22"/>
          <w:lang w:val="en-US" w:eastAsia="ru-RU"/>
        </w:rPr>
        <w:t xml:space="preserve">.2019 (Minutes No. </w:t>
      </w:r>
      <w:r w:rsidR="000A4D28" w:rsidRPr="007D770B">
        <w:rPr>
          <w:rFonts w:ascii="Times New Roman" w:eastAsia="Times New Roman" w:hAnsi="Times New Roman"/>
          <w:i/>
          <w:snapToGrid w:val="0"/>
          <w:color w:val="3366FF"/>
          <w:szCs w:val="22"/>
          <w:lang w:val="en-US" w:eastAsia="ru-RU"/>
        </w:rPr>
        <w:t>13</w:t>
      </w:r>
      <w:r w:rsidR="00EB1132" w:rsidRPr="007D770B">
        <w:rPr>
          <w:rFonts w:ascii="Times New Roman" w:eastAsia="Times New Roman" w:hAnsi="Times New Roman"/>
          <w:i/>
          <w:snapToGrid w:val="0"/>
          <w:color w:val="3366FF"/>
          <w:szCs w:val="22"/>
          <w:lang w:val="en-US" w:eastAsia="ru-RU"/>
        </w:rPr>
        <w:t>).</w:t>
      </w:r>
    </w:p>
    <w:p w14:paraId="7CE27477" w14:textId="77777777" w:rsidR="00E75492" w:rsidRPr="007D770B" w:rsidRDefault="00E75492" w:rsidP="00E75492">
      <w:pPr>
        <w:spacing w:before="240" w:line="240" w:lineRule="auto"/>
        <w:ind w:left="0"/>
        <w:rPr>
          <w:rFonts w:ascii="Times New Roman" w:hAnsi="Times New Roman"/>
          <w:bCs/>
          <w:iCs/>
          <w:lang w:val="en-US"/>
        </w:rPr>
      </w:pPr>
    </w:p>
    <w:p w14:paraId="169AFD4B" w14:textId="77777777" w:rsidR="00E75492" w:rsidRPr="007D770B" w:rsidRDefault="00E75492" w:rsidP="00E75492">
      <w:pPr>
        <w:autoSpaceDE w:val="0"/>
        <w:autoSpaceDN w:val="0"/>
        <w:adjustRightInd w:val="0"/>
        <w:spacing w:before="240" w:line="240" w:lineRule="auto"/>
        <w:ind w:left="0"/>
        <w:rPr>
          <w:rFonts w:ascii="Times New Roman" w:hAnsi="Times New Roman"/>
          <w:lang w:val="en-US"/>
        </w:rPr>
      </w:pPr>
    </w:p>
    <w:p w14:paraId="52F3F273" w14:textId="77777777" w:rsidR="00E75492" w:rsidRPr="007D770B" w:rsidRDefault="00E75492" w:rsidP="00E75492">
      <w:pPr>
        <w:autoSpaceDE w:val="0"/>
        <w:autoSpaceDN w:val="0"/>
        <w:adjustRightInd w:val="0"/>
        <w:spacing w:before="240" w:line="240" w:lineRule="auto"/>
        <w:ind w:left="0"/>
        <w:rPr>
          <w:rFonts w:ascii="Times New Roman" w:hAnsi="Times New Roman"/>
          <w:lang w:val="en-US"/>
        </w:rPr>
      </w:pPr>
    </w:p>
    <w:p w14:paraId="73A8F533" w14:textId="77777777" w:rsidR="00E75492" w:rsidRPr="007D770B" w:rsidRDefault="00E75492" w:rsidP="00E75492">
      <w:pPr>
        <w:autoSpaceDE w:val="0"/>
        <w:autoSpaceDN w:val="0"/>
        <w:adjustRightInd w:val="0"/>
        <w:spacing w:before="240" w:line="240" w:lineRule="auto"/>
        <w:ind w:left="0"/>
        <w:rPr>
          <w:rFonts w:ascii="Times New Roman" w:hAnsi="Times New Roman"/>
          <w:lang w:val="en-US"/>
        </w:rPr>
      </w:pPr>
    </w:p>
    <w:p w14:paraId="33D3940C" w14:textId="77777777" w:rsidR="00E75492" w:rsidRPr="007D770B" w:rsidRDefault="00E75492" w:rsidP="00E75492">
      <w:pPr>
        <w:autoSpaceDE w:val="0"/>
        <w:autoSpaceDN w:val="0"/>
        <w:adjustRightInd w:val="0"/>
        <w:spacing w:before="240" w:line="240" w:lineRule="auto"/>
        <w:ind w:left="0"/>
        <w:rPr>
          <w:rFonts w:ascii="Times New Roman" w:hAnsi="Times New Roman"/>
          <w:lang w:val="en-US"/>
        </w:rPr>
      </w:pPr>
    </w:p>
    <w:p w14:paraId="56E36733" w14:textId="77777777" w:rsidR="00E75492" w:rsidRPr="007D770B" w:rsidRDefault="00E75492" w:rsidP="00E75492">
      <w:pPr>
        <w:autoSpaceDE w:val="0"/>
        <w:autoSpaceDN w:val="0"/>
        <w:adjustRightInd w:val="0"/>
        <w:spacing w:before="240" w:line="240" w:lineRule="auto"/>
        <w:ind w:left="0"/>
        <w:rPr>
          <w:rFonts w:ascii="Times New Roman" w:hAnsi="Times New Roman"/>
          <w:lang w:val="en-US"/>
        </w:rPr>
      </w:pPr>
    </w:p>
    <w:p w14:paraId="6CFAFD5F" w14:textId="77777777" w:rsidR="00E75492" w:rsidRPr="007D770B" w:rsidRDefault="00E75492" w:rsidP="00E75492">
      <w:pPr>
        <w:autoSpaceDE w:val="0"/>
        <w:autoSpaceDN w:val="0"/>
        <w:adjustRightInd w:val="0"/>
        <w:spacing w:before="240" w:line="240" w:lineRule="auto"/>
        <w:ind w:left="0"/>
        <w:rPr>
          <w:rFonts w:ascii="Times New Roman" w:hAnsi="Times New Roman"/>
          <w:lang w:val="en-US"/>
        </w:rPr>
      </w:pPr>
    </w:p>
    <w:p w14:paraId="73D70A4A" w14:textId="77777777" w:rsidR="00E75492" w:rsidRPr="007D770B" w:rsidRDefault="00E75492" w:rsidP="00E75492">
      <w:pPr>
        <w:autoSpaceDE w:val="0"/>
        <w:autoSpaceDN w:val="0"/>
        <w:adjustRightInd w:val="0"/>
        <w:spacing w:before="240" w:line="240" w:lineRule="auto"/>
        <w:ind w:left="0"/>
        <w:rPr>
          <w:rFonts w:ascii="Times New Roman" w:hAnsi="Times New Roman"/>
          <w:lang w:val="en-US"/>
        </w:rPr>
      </w:pPr>
    </w:p>
    <w:p w14:paraId="1BB29E90" w14:textId="77777777" w:rsidR="00E75492" w:rsidRPr="007D770B" w:rsidRDefault="00E75492" w:rsidP="00E75492">
      <w:pPr>
        <w:autoSpaceDE w:val="0"/>
        <w:autoSpaceDN w:val="0"/>
        <w:adjustRightInd w:val="0"/>
        <w:spacing w:before="240" w:line="240" w:lineRule="auto"/>
        <w:ind w:left="0"/>
        <w:rPr>
          <w:rFonts w:ascii="Times New Roman" w:hAnsi="Times New Roman"/>
          <w:lang w:val="en-US"/>
        </w:rPr>
      </w:pPr>
    </w:p>
    <w:p w14:paraId="2E79C086" w14:textId="77777777" w:rsidR="00E75492" w:rsidRPr="007D770B" w:rsidRDefault="00E75492" w:rsidP="00E75492">
      <w:pPr>
        <w:autoSpaceDE w:val="0"/>
        <w:autoSpaceDN w:val="0"/>
        <w:adjustRightInd w:val="0"/>
        <w:spacing w:before="240" w:line="240" w:lineRule="auto"/>
        <w:ind w:left="0"/>
        <w:rPr>
          <w:rFonts w:ascii="Times New Roman" w:hAnsi="Times New Roman"/>
          <w:lang w:val="en-US"/>
        </w:rPr>
      </w:pPr>
    </w:p>
    <w:p w14:paraId="0FDB8FBA" w14:textId="77777777" w:rsidR="00E75492" w:rsidRPr="007D770B" w:rsidRDefault="00E75492" w:rsidP="00E75492">
      <w:pPr>
        <w:autoSpaceDE w:val="0"/>
        <w:autoSpaceDN w:val="0"/>
        <w:adjustRightInd w:val="0"/>
        <w:spacing w:before="240" w:line="240" w:lineRule="auto"/>
        <w:ind w:left="0"/>
        <w:rPr>
          <w:rFonts w:ascii="Times New Roman" w:hAnsi="Times New Roman"/>
          <w:lang w:val="en-US"/>
        </w:rPr>
      </w:pPr>
    </w:p>
    <w:p w14:paraId="75258B23" w14:textId="77777777" w:rsidR="00E75492" w:rsidRPr="007D770B" w:rsidRDefault="00E75492" w:rsidP="00E75492">
      <w:pPr>
        <w:autoSpaceDE w:val="0"/>
        <w:autoSpaceDN w:val="0"/>
        <w:adjustRightInd w:val="0"/>
        <w:spacing w:before="240" w:line="240" w:lineRule="auto"/>
        <w:ind w:left="0"/>
        <w:rPr>
          <w:rFonts w:ascii="Times New Roman" w:hAnsi="Times New Roman"/>
          <w:lang w:val="en-US"/>
        </w:rPr>
      </w:pPr>
    </w:p>
    <w:p w14:paraId="3C57C33D" w14:textId="77777777" w:rsidR="00E75492" w:rsidRPr="007D770B" w:rsidRDefault="00E75492" w:rsidP="00E75492">
      <w:pPr>
        <w:autoSpaceDE w:val="0"/>
        <w:autoSpaceDN w:val="0"/>
        <w:adjustRightInd w:val="0"/>
        <w:spacing w:before="240" w:line="240" w:lineRule="auto"/>
        <w:ind w:left="0"/>
        <w:rPr>
          <w:rFonts w:ascii="Times New Roman" w:hAnsi="Times New Roman"/>
          <w:lang w:val="en-US"/>
        </w:rPr>
      </w:pPr>
    </w:p>
    <w:p w14:paraId="0DE9C904" w14:textId="77777777" w:rsidR="00E75492" w:rsidRPr="007D770B" w:rsidRDefault="00E75492" w:rsidP="00E75492">
      <w:pPr>
        <w:autoSpaceDE w:val="0"/>
        <w:autoSpaceDN w:val="0"/>
        <w:adjustRightInd w:val="0"/>
        <w:spacing w:before="240" w:line="240" w:lineRule="auto"/>
        <w:ind w:left="0"/>
        <w:rPr>
          <w:rFonts w:ascii="Times New Roman" w:hAnsi="Times New Roman"/>
          <w:lang w:val="en-US"/>
        </w:rPr>
      </w:pPr>
    </w:p>
    <w:p w14:paraId="5CD1475D" w14:textId="77777777" w:rsidR="00E75492" w:rsidRPr="007D770B" w:rsidRDefault="00E75492" w:rsidP="00E75492">
      <w:pPr>
        <w:autoSpaceDE w:val="0"/>
        <w:autoSpaceDN w:val="0"/>
        <w:adjustRightInd w:val="0"/>
        <w:spacing w:before="240" w:line="240" w:lineRule="auto"/>
        <w:ind w:left="0"/>
        <w:rPr>
          <w:rFonts w:ascii="Times New Roman" w:hAnsi="Times New Roman"/>
          <w:lang w:val="en-US"/>
        </w:rPr>
      </w:pPr>
    </w:p>
    <w:p w14:paraId="63AB9B5E" w14:textId="77777777" w:rsidR="00E75492" w:rsidRPr="007D770B" w:rsidRDefault="00E75492" w:rsidP="00E75492">
      <w:pPr>
        <w:autoSpaceDE w:val="0"/>
        <w:autoSpaceDN w:val="0"/>
        <w:adjustRightInd w:val="0"/>
        <w:spacing w:before="240" w:line="240" w:lineRule="auto"/>
        <w:ind w:left="0"/>
        <w:rPr>
          <w:rFonts w:ascii="Times New Roman" w:hAnsi="Times New Roman"/>
          <w:lang w:val="en-US"/>
        </w:rPr>
      </w:pPr>
    </w:p>
    <w:p w14:paraId="49744428" w14:textId="77777777" w:rsidR="00E75492" w:rsidRPr="007D770B" w:rsidRDefault="00E75492" w:rsidP="00E75492">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The decision tree for events related to long-lived assets held for sale is presented below.</w:t>
      </w:r>
    </w:p>
    <w:p w14:paraId="0C6798A9" w14:textId="7A13C2D4" w:rsidR="00E75492" w:rsidRPr="007D770B" w:rsidRDefault="00B312BF" w:rsidP="00E75492">
      <w:pPr>
        <w:autoSpaceDE w:val="0"/>
        <w:autoSpaceDN w:val="0"/>
        <w:adjustRightInd w:val="0"/>
        <w:spacing w:before="240" w:line="240" w:lineRule="auto"/>
        <w:ind w:left="0"/>
        <w:rPr>
          <w:rFonts w:ascii="Times New Roman" w:hAnsi="Times New Roman"/>
          <w:lang w:val="en-US"/>
        </w:rPr>
      </w:pPr>
      <w:r w:rsidRPr="002D4EA3">
        <w:rPr>
          <w:rFonts w:ascii="Times New Roman" w:hAnsi="Times New Roman"/>
          <w:noProof/>
        </w:rPr>
        <w:object w:dxaOrig="14194" w:dyaOrig="12949" w14:anchorId="64E336B9">
          <v:shape id="_x0000_i1025" type="#_x0000_t75" alt="" style="width:511.2pt;height:424.8pt;mso-width-percent:0;mso-height-percent:0;mso-width-percent:0;mso-height-percent:0" o:ole="">
            <v:imagedata r:id="rId44" o:title=""/>
          </v:shape>
          <o:OLEObject Type="Embed" ProgID="Visio.Drawing.11" ShapeID="_x0000_i1025" DrawAspect="Content" ObjectID="_1802083647" r:id="rId45"/>
        </w:object>
      </w:r>
      <w:r w:rsidR="00E75492" w:rsidRPr="007D770B">
        <w:rPr>
          <w:rFonts w:ascii="Times New Roman" w:hAnsi="Times New Roman"/>
          <w:b/>
          <w:lang w:val="en-US"/>
        </w:rPr>
        <w:t xml:space="preserve">Note 1: </w:t>
      </w:r>
      <w:r w:rsidR="00E75492" w:rsidRPr="007D770B">
        <w:rPr>
          <w:rFonts w:ascii="Times New Roman" w:hAnsi="Times New Roman"/>
          <w:lang w:val="en-US"/>
        </w:rPr>
        <w:t xml:space="preserve">Answer </w:t>
      </w:r>
      <w:r w:rsidR="00802136" w:rsidRPr="007D770B">
        <w:rPr>
          <w:rFonts w:ascii="Times New Roman" w:hAnsi="Times New Roman"/>
          <w:lang w:val="en-US"/>
        </w:rPr>
        <w:t>"</w:t>
      </w:r>
      <w:r w:rsidR="00E75492" w:rsidRPr="007D770B">
        <w:rPr>
          <w:rFonts w:ascii="Times New Roman" w:hAnsi="Times New Roman"/>
          <w:lang w:val="en-US"/>
        </w:rPr>
        <w:t>Yes</w:t>
      </w:r>
      <w:r w:rsidR="00802136" w:rsidRPr="007D770B">
        <w:rPr>
          <w:rFonts w:ascii="Times New Roman" w:hAnsi="Times New Roman"/>
          <w:lang w:val="en-US"/>
        </w:rPr>
        <w:t xml:space="preserve">" </w:t>
      </w:r>
      <w:r w:rsidR="00E75492" w:rsidRPr="007D770B">
        <w:rPr>
          <w:rFonts w:ascii="Times New Roman" w:hAnsi="Times New Roman"/>
          <w:lang w:val="en-US"/>
        </w:rPr>
        <w:t>only if the actions necessary to respond to the specified conditions cannot be accomplished until a firm commitment to purchase is received from the buyer and it is highly probable that a firm commitment to purchase will be received within one year.</w:t>
      </w:r>
    </w:p>
    <w:p w14:paraId="7D5854F8" w14:textId="4AA517ED" w:rsidR="00E75492" w:rsidRPr="007D770B" w:rsidRDefault="00E75492" w:rsidP="00E75492">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b/>
          <w:lang w:val="en-US"/>
        </w:rPr>
        <w:t xml:space="preserve">Note 2: </w:t>
      </w:r>
      <w:r w:rsidRPr="007D770B">
        <w:rPr>
          <w:rFonts w:ascii="Times New Roman" w:hAnsi="Times New Roman"/>
          <w:lang w:val="en-US"/>
        </w:rPr>
        <w:t xml:space="preserve">Answer </w:t>
      </w:r>
      <w:r w:rsidR="00802136" w:rsidRPr="007D770B">
        <w:rPr>
          <w:rFonts w:ascii="Times New Roman" w:hAnsi="Times New Roman"/>
          <w:lang w:val="en-US"/>
        </w:rPr>
        <w:t>"</w:t>
      </w:r>
      <w:r w:rsidRPr="007D770B">
        <w:rPr>
          <w:rFonts w:ascii="Times New Roman" w:hAnsi="Times New Roman"/>
          <w:lang w:val="en-US"/>
        </w:rPr>
        <w:t>Yes</w:t>
      </w:r>
      <w:r w:rsidR="00802136" w:rsidRPr="007D770B">
        <w:rPr>
          <w:rFonts w:ascii="Times New Roman" w:hAnsi="Times New Roman"/>
          <w:lang w:val="en-US"/>
        </w:rPr>
        <w:t xml:space="preserve">" </w:t>
      </w:r>
      <w:r w:rsidRPr="007D770B">
        <w:rPr>
          <w:rFonts w:ascii="Times New Roman" w:hAnsi="Times New Roman"/>
          <w:lang w:val="en-US"/>
        </w:rPr>
        <w:t>only if timely action is taken to respond to the conditions created and favorable resolution of the problems and factors causing the delayed sale are expected.</w:t>
      </w:r>
    </w:p>
    <w:p w14:paraId="7E4A1469" w14:textId="4E39573B" w:rsidR="00E75492" w:rsidRPr="007D770B" w:rsidRDefault="00E75492" w:rsidP="00E75492">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b/>
          <w:lang w:val="en-US"/>
        </w:rPr>
        <w:t xml:space="preserve">Note 3: </w:t>
      </w:r>
      <w:r w:rsidRPr="007D770B">
        <w:rPr>
          <w:rFonts w:ascii="Times New Roman" w:hAnsi="Times New Roman"/>
          <w:lang w:val="en-US"/>
        </w:rPr>
        <w:t xml:space="preserve">Answer </w:t>
      </w:r>
      <w:r w:rsidR="00802136" w:rsidRPr="007D770B">
        <w:rPr>
          <w:rFonts w:ascii="Times New Roman" w:hAnsi="Times New Roman"/>
          <w:lang w:val="en-US"/>
        </w:rPr>
        <w:t>"</w:t>
      </w:r>
      <w:r w:rsidRPr="007D770B">
        <w:rPr>
          <w:rFonts w:ascii="Times New Roman" w:hAnsi="Times New Roman"/>
          <w:lang w:val="en-US"/>
        </w:rPr>
        <w:t>Yes</w:t>
      </w:r>
      <w:r w:rsidR="00802136" w:rsidRPr="007D770B">
        <w:rPr>
          <w:rFonts w:ascii="Times New Roman" w:hAnsi="Times New Roman"/>
          <w:lang w:val="en-US"/>
        </w:rPr>
        <w:t xml:space="preserve">" </w:t>
      </w:r>
      <w:r w:rsidRPr="007D770B">
        <w:rPr>
          <w:rFonts w:ascii="Times New Roman" w:hAnsi="Times New Roman"/>
          <w:lang w:val="en-US"/>
        </w:rPr>
        <w:t>only if, during the period indicated, the Bank takes action to respond to facts leading to a change in the terms of the sale and active steps are taken to sell long-lived assets or the Bank of Disposal in the market at a reasonable price.</w:t>
      </w:r>
    </w:p>
    <w:p w14:paraId="7F2EF32E" w14:textId="77777777" w:rsidR="00E75492" w:rsidRPr="007D770B" w:rsidRDefault="00E75492" w:rsidP="00E75492">
      <w:pPr>
        <w:autoSpaceDE w:val="0"/>
        <w:autoSpaceDN w:val="0"/>
        <w:adjustRightInd w:val="0"/>
        <w:spacing w:before="240" w:line="240" w:lineRule="auto"/>
        <w:ind w:left="0"/>
        <w:rPr>
          <w:rFonts w:ascii="Times New Roman" w:hAnsi="Times New Roman"/>
          <w:lang w:val="en-US"/>
        </w:rPr>
      </w:pPr>
    </w:p>
    <w:p w14:paraId="47342039" w14:textId="77777777" w:rsidR="00E75492" w:rsidRPr="007D770B" w:rsidRDefault="00E75492" w:rsidP="00E75492">
      <w:pPr>
        <w:autoSpaceDE w:val="0"/>
        <w:autoSpaceDN w:val="0"/>
        <w:adjustRightInd w:val="0"/>
        <w:spacing w:before="240" w:line="240" w:lineRule="auto"/>
        <w:ind w:left="0"/>
        <w:rPr>
          <w:rFonts w:ascii="Times New Roman" w:hAnsi="Times New Roman"/>
          <w:lang w:val="en-US"/>
        </w:rPr>
        <w:sectPr w:rsidR="00E75492" w:rsidRPr="007D770B" w:rsidSect="000610F9">
          <w:headerReference w:type="even" r:id="rId46"/>
          <w:headerReference w:type="default" r:id="rId47"/>
          <w:headerReference w:type="first" r:id="rId48"/>
          <w:pgSz w:w="11906" w:h="16838"/>
          <w:pgMar w:top="1268" w:right="680" w:bottom="567" w:left="1134" w:header="510" w:footer="494" w:gutter="0"/>
          <w:cols w:space="708"/>
          <w:titlePg/>
          <w:docGrid w:linePitch="360"/>
        </w:sectPr>
      </w:pPr>
    </w:p>
    <w:p w14:paraId="617771F3" w14:textId="279003D4" w:rsidR="009E2B77" w:rsidRPr="007D770B" w:rsidRDefault="009E2B77" w:rsidP="009B369C">
      <w:pPr>
        <w:pStyle w:val="2"/>
        <w:keepNext w:val="0"/>
        <w:keepLines w:val="0"/>
        <w:pageBreakBefore/>
        <w:spacing w:before="240"/>
        <w:jc w:val="both"/>
        <w:rPr>
          <w:rFonts w:ascii="Times New Roman" w:hAnsi="Times New Roman"/>
          <w:szCs w:val="20"/>
          <w:lang w:val="en-US"/>
        </w:rPr>
      </w:pPr>
      <w:bookmarkStart w:id="200" w:name="_Toc168502060"/>
      <w:r w:rsidRPr="007D770B">
        <w:rPr>
          <w:rFonts w:ascii="Times New Roman" w:hAnsi="Times New Roman"/>
          <w:szCs w:val="20"/>
          <w:lang w:val="en-US"/>
        </w:rPr>
        <w:lastRenderedPageBreak/>
        <w:t xml:space="preserve">Section </w:t>
      </w:r>
      <w:r w:rsidR="00FB0C0D" w:rsidRPr="007D770B">
        <w:rPr>
          <w:rFonts w:ascii="Times New Roman" w:hAnsi="Times New Roman"/>
          <w:szCs w:val="20"/>
          <w:lang w:val="en-US"/>
        </w:rPr>
        <w:t>7</w:t>
      </w:r>
      <w:r w:rsidRPr="007D770B">
        <w:rPr>
          <w:rFonts w:ascii="Times New Roman" w:hAnsi="Times New Roman"/>
          <w:szCs w:val="20"/>
          <w:lang w:val="en-US"/>
        </w:rPr>
        <w:t>. Provisions, contingent assets and contingent liabilities</w:t>
      </w:r>
      <w:bookmarkEnd w:id="188"/>
      <w:r w:rsidRPr="007D770B">
        <w:rPr>
          <w:rFonts w:ascii="Times New Roman" w:hAnsi="Times New Roman"/>
          <w:szCs w:val="20"/>
          <w:lang w:val="en-US"/>
        </w:rPr>
        <w:t xml:space="preserve"> (IAS 37)</w:t>
      </w:r>
      <w:bookmarkEnd w:id="189"/>
      <w:bookmarkEnd w:id="200"/>
    </w:p>
    <w:p w14:paraId="3E5B6C17" w14:textId="54277CFA" w:rsidR="009E2B77" w:rsidRPr="007D770B" w:rsidRDefault="00FB0C0D" w:rsidP="00E61D21">
      <w:pPr>
        <w:pStyle w:val="3"/>
        <w:rPr>
          <w:lang w:val="en-US"/>
        </w:rPr>
      </w:pPr>
      <w:bookmarkStart w:id="201" w:name="_Toc271279849"/>
      <w:bookmarkStart w:id="202" w:name="_Toc168502061"/>
      <w:bookmarkStart w:id="203" w:name="_Toc248586859"/>
      <w:r w:rsidRPr="007D770B">
        <w:rPr>
          <w:lang w:val="en-US"/>
        </w:rPr>
        <w:t>7</w:t>
      </w:r>
      <w:r w:rsidR="009E2B77" w:rsidRPr="007D770B">
        <w:rPr>
          <w:lang w:val="en-US"/>
        </w:rPr>
        <w:t xml:space="preserve">.1 General provisions </w:t>
      </w:r>
      <w:bookmarkEnd w:id="201"/>
      <w:bookmarkEnd w:id="202"/>
      <w:bookmarkEnd w:id="203"/>
    </w:p>
    <w:p w14:paraId="544E8F03" w14:textId="77777777" w:rsidR="009E2B77" w:rsidRPr="007D770B" w:rsidRDefault="009E2B77" w:rsidP="00F96B17">
      <w:pPr>
        <w:pStyle w:val="afffc"/>
        <w:spacing w:before="240" w:beforeAutospacing="0" w:after="240" w:afterAutospacing="0"/>
        <w:ind w:right="29"/>
        <w:jc w:val="both"/>
        <w:rPr>
          <w:rFonts w:ascii="Times New Roman" w:hAnsi="Times New Roman"/>
          <w:bCs/>
          <w:iCs/>
          <w:snapToGrid w:val="0"/>
          <w:color w:val="auto"/>
          <w:sz w:val="20"/>
          <w:szCs w:val="20"/>
          <w:lang w:eastAsia="ru-RU"/>
        </w:rPr>
      </w:pPr>
      <w:r w:rsidRPr="007D770B">
        <w:rPr>
          <w:rFonts w:ascii="Times New Roman" w:hAnsi="Times New Roman"/>
          <w:bCs/>
          <w:iCs/>
          <w:snapToGrid w:val="0"/>
          <w:color w:val="auto"/>
          <w:sz w:val="20"/>
          <w:szCs w:val="20"/>
          <w:lang w:eastAsia="ru-RU"/>
        </w:rPr>
        <w:t xml:space="preserve">This section of the accounting policy shall be applied by </w:t>
      </w:r>
      <w:r w:rsidR="00F9744B" w:rsidRPr="007D770B">
        <w:rPr>
          <w:rFonts w:ascii="Times New Roman" w:hAnsi="Times New Roman"/>
          <w:sz w:val="20"/>
          <w:szCs w:val="20"/>
        </w:rPr>
        <w:t xml:space="preserve">the Bank </w:t>
      </w:r>
      <w:r w:rsidRPr="007D770B">
        <w:rPr>
          <w:rFonts w:ascii="Times New Roman" w:hAnsi="Times New Roman"/>
          <w:bCs/>
          <w:iCs/>
          <w:snapToGrid w:val="0"/>
          <w:color w:val="auto"/>
          <w:sz w:val="20"/>
          <w:szCs w:val="20"/>
          <w:lang w:eastAsia="ru-RU"/>
        </w:rPr>
        <w:t>in accounting for all provisions, contingent liabilities and contingent assets, except for those that:</w:t>
      </w:r>
    </w:p>
    <w:p w14:paraId="64D14C11" w14:textId="77777777" w:rsidR="009E2B77" w:rsidRPr="007D770B" w:rsidRDefault="009E2B77" w:rsidP="00AE698A">
      <w:pPr>
        <w:pStyle w:val="afffc"/>
        <w:numPr>
          <w:ilvl w:val="0"/>
          <w:numId w:val="221"/>
        </w:numPr>
        <w:spacing w:before="240" w:beforeAutospacing="0" w:after="240" w:afterAutospacing="0"/>
        <w:ind w:right="29"/>
        <w:jc w:val="both"/>
        <w:rPr>
          <w:rFonts w:ascii="Times New Roman" w:hAnsi="Times New Roman"/>
          <w:bCs/>
          <w:iCs/>
          <w:snapToGrid w:val="0"/>
          <w:color w:val="auto"/>
          <w:sz w:val="20"/>
          <w:szCs w:val="20"/>
          <w:lang w:eastAsia="ru-RU"/>
        </w:rPr>
      </w:pPr>
      <w:r w:rsidRPr="007D770B">
        <w:rPr>
          <w:rFonts w:ascii="Times New Roman" w:hAnsi="Times New Roman"/>
          <w:bCs/>
          <w:iCs/>
          <w:snapToGrid w:val="0"/>
          <w:color w:val="auto"/>
          <w:sz w:val="20"/>
          <w:szCs w:val="20"/>
          <w:lang w:eastAsia="ru-RU"/>
        </w:rPr>
        <w:t>are the result of executory contracts other than onerous contracts;</w:t>
      </w:r>
    </w:p>
    <w:p w14:paraId="4C600A2E" w14:textId="77777777" w:rsidR="009E2B77" w:rsidRPr="007D770B" w:rsidRDefault="009E2B77" w:rsidP="00AE698A">
      <w:pPr>
        <w:pStyle w:val="afffc"/>
        <w:numPr>
          <w:ilvl w:val="0"/>
          <w:numId w:val="221"/>
        </w:numPr>
        <w:spacing w:before="240" w:beforeAutospacing="0" w:after="240" w:afterAutospacing="0"/>
        <w:ind w:right="29"/>
        <w:jc w:val="both"/>
        <w:rPr>
          <w:rFonts w:ascii="Times New Roman" w:hAnsi="Times New Roman"/>
          <w:bCs/>
          <w:iCs/>
          <w:snapToGrid w:val="0"/>
          <w:color w:val="auto"/>
          <w:sz w:val="20"/>
          <w:szCs w:val="20"/>
          <w:lang w:eastAsia="ru-RU"/>
        </w:rPr>
      </w:pPr>
      <w:r w:rsidRPr="007D770B">
        <w:rPr>
          <w:rFonts w:ascii="Times New Roman" w:hAnsi="Times New Roman"/>
          <w:bCs/>
          <w:iCs/>
          <w:snapToGrid w:val="0"/>
          <w:color w:val="auto"/>
          <w:sz w:val="20"/>
          <w:szCs w:val="20"/>
          <w:lang w:eastAsia="ru-RU"/>
        </w:rPr>
        <w:t>those covered elsewhere in the accounting policies.</w:t>
      </w:r>
    </w:p>
    <w:p w14:paraId="1B737708" w14:textId="5C2143E5" w:rsidR="009E2B77" w:rsidRPr="007D770B" w:rsidRDefault="009E2B77" w:rsidP="00F96B17">
      <w:pPr>
        <w:spacing w:before="240" w:line="240" w:lineRule="auto"/>
        <w:ind w:left="0"/>
        <w:rPr>
          <w:rFonts w:ascii="Times New Roman" w:hAnsi="Times New Roman"/>
          <w:bCs/>
          <w:iCs/>
          <w:snapToGrid w:val="0"/>
          <w:lang w:val="en-US" w:eastAsia="ru-RU"/>
        </w:rPr>
      </w:pPr>
      <w:r w:rsidRPr="007D770B">
        <w:rPr>
          <w:rFonts w:ascii="Times New Roman" w:hAnsi="Times New Roman"/>
          <w:bCs/>
          <w:iCs/>
          <w:snapToGrid w:val="0"/>
          <w:lang w:val="en-US" w:eastAsia="ru-RU"/>
        </w:rPr>
        <w:t xml:space="preserve">This section does not apply to financial instruments that are covered in section 3 </w:t>
      </w:r>
      <w:r w:rsidR="00802136" w:rsidRPr="007D770B">
        <w:rPr>
          <w:rFonts w:ascii="Times New Roman" w:hAnsi="Times New Roman"/>
          <w:bCs/>
          <w:iCs/>
          <w:snapToGrid w:val="0"/>
          <w:lang w:val="en-US" w:eastAsia="ru-RU"/>
        </w:rPr>
        <w:t>"</w:t>
      </w:r>
      <w:r w:rsidRPr="007D770B">
        <w:rPr>
          <w:rFonts w:ascii="Times New Roman" w:hAnsi="Times New Roman"/>
          <w:bCs/>
          <w:iCs/>
          <w:snapToGrid w:val="0"/>
          <w:lang w:val="en-US" w:eastAsia="ru-RU"/>
        </w:rPr>
        <w:t xml:space="preserve">Financial assets and liabilities (IAS 32, </w:t>
      </w:r>
      <w:r w:rsidR="00F931DC" w:rsidRPr="007D770B">
        <w:rPr>
          <w:rFonts w:ascii="Times New Roman" w:hAnsi="Times New Roman"/>
          <w:bCs/>
          <w:iCs/>
          <w:snapToGrid w:val="0"/>
          <w:lang w:val="en-US" w:eastAsia="ru-RU"/>
        </w:rPr>
        <w:t>IFRS 9</w:t>
      </w:r>
      <w:r w:rsidRPr="007D770B">
        <w:rPr>
          <w:rFonts w:ascii="Times New Roman" w:hAnsi="Times New Roman"/>
          <w:bCs/>
          <w:iCs/>
          <w:snapToGrid w:val="0"/>
          <w:lang w:val="en-US" w:eastAsia="ru-RU"/>
        </w:rPr>
        <w:t>, IFRS 7)</w:t>
      </w:r>
      <w:r w:rsidR="00802136" w:rsidRPr="007D770B">
        <w:rPr>
          <w:rFonts w:ascii="Times New Roman" w:hAnsi="Times New Roman"/>
          <w:bCs/>
          <w:iCs/>
          <w:snapToGrid w:val="0"/>
          <w:lang w:val="en-US" w:eastAsia="ru-RU"/>
        </w:rPr>
        <w:t xml:space="preserve">" </w:t>
      </w:r>
      <w:r w:rsidRPr="007D770B">
        <w:rPr>
          <w:rFonts w:ascii="Times New Roman" w:hAnsi="Times New Roman"/>
          <w:bCs/>
          <w:iCs/>
          <w:snapToGrid w:val="0"/>
          <w:lang w:val="en-US" w:eastAsia="ru-RU"/>
        </w:rPr>
        <w:t>of Chapter 2.</w:t>
      </w:r>
    </w:p>
    <w:p w14:paraId="37AA2C19" w14:textId="77777777" w:rsidR="009E2B77" w:rsidRPr="007D770B" w:rsidRDefault="009E2B77" w:rsidP="00F96B17">
      <w:pPr>
        <w:spacing w:before="240" w:line="240" w:lineRule="auto"/>
        <w:ind w:left="0"/>
        <w:rPr>
          <w:rFonts w:ascii="Times New Roman" w:hAnsi="Times New Roman"/>
          <w:bCs/>
          <w:iCs/>
          <w:snapToGrid w:val="0"/>
          <w:lang w:val="en-US" w:eastAsia="ru-RU"/>
        </w:rPr>
      </w:pPr>
      <w:r w:rsidRPr="007D770B">
        <w:rPr>
          <w:rFonts w:ascii="Times New Roman" w:hAnsi="Times New Roman"/>
          <w:bCs/>
          <w:iCs/>
          <w:snapToGrid w:val="0"/>
          <w:lang w:val="en-US" w:eastAsia="ru-RU"/>
        </w:rPr>
        <w:t>Enforceable contracts are contracts under which neither party has performed its obligations or both parties have performed their obligations partially, equally. This section does not apply to executory contracts other than those that are onerous.</w:t>
      </w:r>
    </w:p>
    <w:p w14:paraId="166A8BC8" w14:textId="77777777" w:rsidR="009E2B77" w:rsidRPr="007D770B" w:rsidRDefault="009E2B77" w:rsidP="00F96B17">
      <w:pPr>
        <w:spacing w:before="240" w:line="240" w:lineRule="auto"/>
        <w:ind w:left="0"/>
        <w:rPr>
          <w:rFonts w:ascii="Times New Roman" w:hAnsi="Times New Roman"/>
          <w:bCs/>
          <w:iCs/>
          <w:snapToGrid w:val="0"/>
          <w:lang w:val="en-US" w:eastAsia="ru-RU"/>
        </w:rPr>
      </w:pPr>
      <w:r w:rsidRPr="007D770B">
        <w:rPr>
          <w:rFonts w:ascii="Times New Roman" w:hAnsi="Times New Roman"/>
          <w:bCs/>
          <w:iCs/>
          <w:snapToGrid w:val="0"/>
          <w:lang w:val="en-US" w:eastAsia="ru-RU"/>
        </w:rPr>
        <w:t>The scope of this section covers provisions, contingent liabilities and contingent assets that are not covered elsewhere in these accounting policies. For example, certain types of provisions are covered in the following sections:</w:t>
      </w:r>
    </w:p>
    <w:p w14:paraId="10814330" w14:textId="69890E47" w:rsidR="009E2B77" w:rsidRPr="007D770B" w:rsidRDefault="009E2B77" w:rsidP="00AE698A">
      <w:pPr>
        <w:numPr>
          <w:ilvl w:val="0"/>
          <w:numId w:val="222"/>
        </w:numPr>
        <w:spacing w:before="240" w:line="240" w:lineRule="auto"/>
        <w:rPr>
          <w:rFonts w:ascii="Times New Roman" w:hAnsi="Times New Roman"/>
          <w:bCs/>
          <w:iCs/>
          <w:snapToGrid w:val="0"/>
          <w:lang w:val="en-US" w:eastAsia="ru-RU"/>
        </w:rPr>
      </w:pPr>
      <w:r w:rsidRPr="007D770B">
        <w:rPr>
          <w:rFonts w:ascii="Times New Roman" w:hAnsi="Times New Roman"/>
          <w:bCs/>
          <w:iCs/>
          <w:snapToGrid w:val="0"/>
          <w:lang w:val="en-US" w:eastAsia="ru-RU"/>
        </w:rPr>
        <w:t xml:space="preserve">Section </w:t>
      </w:r>
      <w:r w:rsidR="00727CC3" w:rsidRPr="007D770B">
        <w:rPr>
          <w:rFonts w:ascii="Times New Roman" w:hAnsi="Times New Roman"/>
          <w:bCs/>
          <w:iCs/>
          <w:snapToGrid w:val="0"/>
          <w:lang w:val="en-US" w:eastAsia="ru-RU"/>
        </w:rPr>
        <w:t xml:space="preserve">8 </w:t>
      </w:r>
      <w:r w:rsidR="00802136" w:rsidRPr="007D770B">
        <w:rPr>
          <w:rFonts w:ascii="Times New Roman" w:hAnsi="Times New Roman"/>
          <w:bCs/>
          <w:iCs/>
          <w:snapToGrid w:val="0"/>
          <w:lang w:val="en-US" w:eastAsia="ru-RU"/>
        </w:rPr>
        <w:t>"</w:t>
      </w:r>
      <w:r w:rsidRPr="007D770B">
        <w:rPr>
          <w:rFonts w:ascii="Times New Roman" w:hAnsi="Times New Roman"/>
          <w:bCs/>
          <w:iCs/>
          <w:snapToGrid w:val="0"/>
          <w:lang w:val="en-US" w:eastAsia="ru-RU"/>
        </w:rPr>
        <w:t>Employee Benefits (IAS 19)</w:t>
      </w:r>
      <w:r w:rsidR="00802136" w:rsidRPr="007D770B">
        <w:rPr>
          <w:rFonts w:ascii="Times New Roman" w:hAnsi="Times New Roman"/>
          <w:bCs/>
          <w:iCs/>
          <w:snapToGrid w:val="0"/>
          <w:lang w:val="en-US" w:eastAsia="ru-RU"/>
        </w:rPr>
        <w:t xml:space="preserve">" of </w:t>
      </w:r>
      <w:r w:rsidRPr="007D770B">
        <w:rPr>
          <w:rFonts w:ascii="Times New Roman" w:hAnsi="Times New Roman"/>
          <w:bCs/>
          <w:iCs/>
          <w:snapToGrid w:val="0"/>
          <w:lang w:val="en-US" w:eastAsia="ru-RU"/>
        </w:rPr>
        <w:t>Chapter 2;</w:t>
      </w:r>
    </w:p>
    <w:p w14:paraId="49FB3F82" w14:textId="433D94E2" w:rsidR="009E2B77" w:rsidRPr="007D770B" w:rsidRDefault="00E72406" w:rsidP="00AE698A">
      <w:pPr>
        <w:pStyle w:val="affff3"/>
        <w:numPr>
          <w:ilvl w:val="0"/>
          <w:numId w:val="222"/>
        </w:numPr>
        <w:ind w:right="-6"/>
        <w:jc w:val="both"/>
        <w:rPr>
          <w:rFonts w:eastAsia="Calibri"/>
          <w:color w:val="3366FF"/>
          <w:sz w:val="20"/>
          <w:szCs w:val="22"/>
          <w:lang w:val="en-US"/>
        </w:rPr>
      </w:pPr>
      <w:r w:rsidRPr="007D770B">
        <w:rPr>
          <w:rFonts w:eastAsia="Calibri"/>
          <w:bCs/>
          <w:iCs/>
          <w:snapToGrid w:val="0"/>
          <w:sz w:val="20"/>
          <w:szCs w:val="20"/>
          <w:lang w:val="en-US"/>
        </w:rPr>
        <w:t xml:space="preserve">Section </w:t>
      </w:r>
      <w:r w:rsidR="00594DB7" w:rsidRPr="007D770B">
        <w:rPr>
          <w:rFonts w:eastAsia="Calibri"/>
          <w:bCs/>
          <w:iCs/>
          <w:snapToGrid w:val="0"/>
          <w:sz w:val="20"/>
          <w:szCs w:val="20"/>
          <w:lang w:val="en-US"/>
        </w:rPr>
        <w:t xml:space="preserve">12 </w:t>
      </w:r>
      <w:r w:rsidR="009E2B77" w:rsidRPr="007D770B">
        <w:rPr>
          <w:rFonts w:eastAsia="Calibri"/>
          <w:bCs/>
          <w:iCs/>
          <w:snapToGrid w:val="0"/>
          <w:sz w:val="20"/>
          <w:szCs w:val="20"/>
          <w:lang w:val="en-US"/>
        </w:rPr>
        <w:t>Leases (</w:t>
      </w:r>
      <w:r w:rsidR="008E2E32" w:rsidRPr="007D770B">
        <w:rPr>
          <w:rFonts w:eastAsia="Calibri"/>
          <w:bCs/>
          <w:iCs/>
          <w:snapToGrid w:val="0"/>
          <w:sz w:val="20"/>
          <w:szCs w:val="20"/>
          <w:lang w:val="en-US"/>
        </w:rPr>
        <w:t>IFRS 16</w:t>
      </w:r>
      <w:r w:rsidR="009E2B77" w:rsidRPr="007D770B">
        <w:rPr>
          <w:rFonts w:eastAsia="Calibri"/>
          <w:bCs/>
          <w:iCs/>
          <w:snapToGrid w:val="0"/>
          <w:sz w:val="20"/>
          <w:szCs w:val="20"/>
          <w:lang w:val="en-US"/>
        </w:rPr>
        <w:t xml:space="preserve">) of Chapter 2. However, leases that become onerous </w:t>
      </w:r>
      <w:r w:rsidR="00751EA6" w:rsidRPr="007D770B">
        <w:rPr>
          <w:rFonts w:eastAsia="Calibri"/>
          <w:bCs/>
          <w:iCs/>
          <w:snapToGrid w:val="0"/>
          <w:sz w:val="20"/>
          <w:szCs w:val="20"/>
          <w:lang w:val="en-US"/>
        </w:rPr>
        <w:t>before the commencement date</w:t>
      </w:r>
      <w:r w:rsidR="009E2B77" w:rsidRPr="007D770B">
        <w:rPr>
          <w:rFonts w:eastAsia="Calibri"/>
          <w:bCs/>
          <w:iCs/>
          <w:snapToGrid w:val="0"/>
          <w:sz w:val="20"/>
          <w:szCs w:val="20"/>
          <w:lang w:val="en-US"/>
        </w:rPr>
        <w:t xml:space="preserve">, </w:t>
      </w:r>
      <w:r w:rsidR="00751EA6" w:rsidRPr="007D770B">
        <w:rPr>
          <w:rFonts w:eastAsia="Calibri"/>
          <w:bCs/>
          <w:iCs/>
          <w:snapToGrid w:val="0"/>
          <w:sz w:val="20"/>
          <w:szCs w:val="20"/>
          <w:lang w:val="en-US"/>
        </w:rPr>
        <w:t xml:space="preserve">as well as short-term leases and leases in which the underlying asset is </w:t>
      </w:r>
      <w:r w:rsidR="00E1635C" w:rsidRPr="007D770B">
        <w:rPr>
          <w:rFonts w:eastAsia="Calibri"/>
          <w:bCs/>
          <w:iCs/>
          <w:snapToGrid w:val="0"/>
          <w:sz w:val="20"/>
          <w:szCs w:val="20"/>
          <w:lang w:val="en-US"/>
        </w:rPr>
        <w:t>of</w:t>
      </w:r>
      <w:r w:rsidR="00751EA6" w:rsidRPr="007D770B">
        <w:rPr>
          <w:rFonts w:eastAsia="Calibri"/>
          <w:bCs/>
          <w:iCs/>
          <w:snapToGrid w:val="0"/>
          <w:sz w:val="20"/>
          <w:szCs w:val="20"/>
          <w:lang w:val="en-US"/>
        </w:rPr>
        <w:t xml:space="preserve"> low value that are accounted for in accordance with paragraph 6 of IFRS 16 and become onerous </w:t>
      </w:r>
      <w:r w:rsidR="009E2B77" w:rsidRPr="007D770B">
        <w:rPr>
          <w:rFonts w:eastAsia="Calibri"/>
          <w:bCs/>
          <w:iCs/>
          <w:snapToGrid w:val="0"/>
          <w:sz w:val="20"/>
          <w:szCs w:val="20"/>
          <w:lang w:val="en-US"/>
        </w:rPr>
        <w:t xml:space="preserve">fall within the scope of Section </w:t>
      </w:r>
      <w:r w:rsidR="00727CC3" w:rsidRPr="007D770B">
        <w:rPr>
          <w:rFonts w:eastAsia="Calibri"/>
          <w:bCs/>
          <w:iCs/>
          <w:snapToGrid w:val="0"/>
          <w:sz w:val="20"/>
          <w:szCs w:val="20"/>
          <w:lang w:val="en-US"/>
        </w:rPr>
        <w:t xml:space="preserve">7 </w:t>
      </w:r>
      <w:r w:rsidR="00E1635C" w:rsidRPr="007D770B">
        <w:rPr>
          <w:rFonts w:eastAsia="Calibri"/>
          <w:bCs/>
          <w:iCs/>
          <w:snapToGrid w:val="0"/>
          <w:sz w:val="20"/>
          <w:szCs w:val="20"/>
          <w:lang w:val="en-US"/>
        </w:rPr>
        <w:t>Provisions, Contingent Liabilities and Contingent Assets (IAS 37</w:t>
      </w:r>
      <w:r w:rsidR="009E2B77" w:rsidRPr="007D770B">
        <w:rPr>
          <w:rFonts w:eastAsia="Calibri"/>
          <w:bCs/>
          <w:iCs/>
          <w:snapToGrid w:val="0"/>
          <w:sz w:val="20"/>
          <w:szCs w:val="20"/>
          <w:lang w:val="en-US"/>
        </w:rPr>
        <w:t>)</w:t>
      </w:r>
    </w:p>
    <w:p w14:paraId="46C04B79" w14:textId="1711D4CB" w:rsidR="009E2B77" w:rsidRPr="007D770B" w:rsidRDefault="00E72406" w:rsidP="00AE698A">
      <w:pPr>
        <w:numPr>
          <w:ilvl w:val="0"/>
          <w:numId w:val="222"/>
        </w:numPr>
        <w:spacing w:before="240" w:after="0" w:line="240" w:lineRule="auto"/>
        <w:ind w:left="692" w:hanging="357"/>
        <w:rPr>
          <w:rFonts w:ascii="Times New Roman" w:hAnsi="Times New Roman"/>
          <w:bCs/>
          <w:iCs/>
          <w:snapToGrid w:val="0"/>
          <w:sz w:val="18"/>
          <w:lang w:val="en-US" w:eastAsia="ru-RU"/>
        </w:rPr>
      </w:pPr>
      <w:r w:rsidRPr="007D770B">
        <w:rPr>
          <w:rFonts w:ascii="Times New Roman" w:hAnsi="Times New Roman"/>
          <w:bCs/>
          <w:iCs/>
          <w:snapToGrid w:val="0"/>
          <w:lang w:val="en-US" w:eastAsia="ru-RU"/>
        </w:rPr>
        <w:t xml:space="preserve">Section </w:t>
      </w:r>
      <w:r w:rsidR="00905181" w:rsidRPr="007D770B">
        <w:rPr>
          <w:rFonts w:ascii="Times New Roman" w:hAnsi="Times New Roman"/>
          <w:bCs/>
          <w:iCs/>
          <w:snapToGrid w:val="0"/>
          <w:lang w:val="en-US" w:eastAsia="ru-RU"/>
        </w:rPr>
        <w:t xml:space="preserve">13 </w:t>
      </w:r>
      <w:r w:rsidR="00802136" w:rsidRPr="007D770B">
        <w:rPr>
          <w:rFonts w:ascii="Times New Roman" w:hAnsi="Times New Roman"/>
          <w:bCs/>
          <w:iCs/>
          <w:snapToGrid w:val="0"/>
          <w:lang w:val="en-US" w:eastAsia="ru-RU"/>
        </w:rPr>
        <w:t>"</w:t>
      </w:r>
      <w:r w:rsidR="009E2B77" w:rsidRPr="007D770B">
        <w:rPr>
          <w:rFonts w:ascii="Times New Roman" w:hAnsi="Times New Roman"/>
          <w:bCs/>
          <w:iCs/>
          <w:snapToGrid w:val="0"/>
          <w:lang w:val="en-US" w:eastAsia="ru-RU"/>
        </w:rPr>
        <w:t>Taxes (IAS 12)</w:t>
      </w:r>
      <w:r w:rsidR="00802136" w:rsidRPr="007D770B">
        <w:rPr>
          <w:rFonts w:ascii="Times New Roman" w:hAnsi="Times New Roman"/>
          <w:bCs/>
          <w:iCs/>
          <w:snapToGrid w:val="0"/>
          <w:lang w:val="en-US" w:eastAsia="ru-RU"/>
        </w:rPr>
        <w:t xml:space="preserve">" of </w:t>
      </w:r>
      <w:r w:rsidR="009E2B77" w:rsidRPr="007D770B">
        <w:rPr>
          <w:rFonts w:ascii="Times New Roman" w:hAnsi="Times New Roman"/>
          <w:bCs/>
          <w:iCs/>
          <w:snapToGrid w:val="0"/>
          <w:lang w:val="en-US" w:eastAsia="ru-RU"/>
        </w:rPr>
        <w:t>Chapter 2</w:t>
      </w:r>
    </w:p>
    <w:p w14:paraId="671A83F9" w14:textId="36F109C2" w:rsidR="008400B1" w:rsidRPr="007D770B" w:rsidRDefault="008400B1" w:rsidP="008400B1">
      <w:pPr>
        <w:pStyle w:val="aa"/>
        <w:widowControl w:val="0"/>
        <w:tabs>
          <w:tab w:val="left" w:pos="0"/>
        </w:tabs>
        <w:spacing w:line="240" w:lineRule="auto"/>
        <w:ind w:left="696"/>
        <w:rPr>
          <w:rFonts w:ascii="Times New Roman" w:eastAsia="Times New Roman" w:hAnsi="Times New Roman"/>
          <w:i/>
          <w:snapToGrid w:val="0"/>
          <w:color w:val="3366FF"/>
          <w:szCs w:val="22"/>
          <w:lang w:val="en-US" w:eastAsia="ru-RU"/>
        </w:rPr>
      </w:pPr>
      <w:r w:rsidRPr="007D770B">
        <w:rPr>
          <w:rFonts w:ascii="Times New Roman" w:eastAsia="Times New Roman" w:hAnsi="Times New Roman"/>
          <w:i/>
          <w:snapToGrid w:val="0"/>
          <w:color w:val="3366FF"/>
          <w:szCs w:val="22"/>
          <w:lang w:val="en-US" w:eastAsia="ru-RU"/>
        </w:rPr>
        <w:t xml:space="preserve">(Item 7.1. "General Provisions" was amended by the decision of the Board of Directors No. 14 dated 26.11.2018, by the decision of the Board of Directors dated </w:t>
      </w:r>
      <w:r w:rsidR="00B03EBB" w:rsidRPr="007D770B">
        <w:rPr>
          <w:rFonts w:ascii="Times New Roman" w:eastAsia="Times New Roman" w:hAnsi="Times New Roman"/>
          <w:i/>
          <w:snapToGrid w:val="0"/>
          <w:color w:val="3366FF"/>
          <w:szCs w:val="22"/>
          <w:lang w:val="en-US" w:eastAsia="ru-RU"/>
        </w:rPr>
        <w:t>31</w:t>
      </w:r>
      <w:r w:rsidRPr="007D770B">
        <w:rPr>
          <w:rFonts w:ascii="Times New Roman" w:eastAsia="Times New Roman" w:hAnsi="Times New Roman"/>
          <w:i/>
          <w:snapToGrid w:val="0"/>
          <w:color w:val="3366FF"/>
          <w:szCs w:val="22"/>
          <w:lang w:val="en-US" w:eastAsia="ru-RU"/>
        </w:rPr>
        <w:t>.</w:t>
      </w:r>
      <w:r w:rsidR="00B03EBB" w:rsidRPr="007D770B">
        <w:rPr>
          <w:rFonts w:ascii="Times New Roman" w:eastAsia="Times New Roman" w:hAnsi="Times New Roman"/>
          <w:i/>
          <w:snapToGrid w:val="0"/>
          <w:color w:val="3366FF"/>
          <w:szCs w:val="22"/>
          <w:lang w:val="en-US" w:eastAsia="ru-RU"/>
        </w:rPr>
        <w:t>10</w:t>
      </w:r>
      <w:r w:rsidRPr="007D770B">
        <w:rPr>
          <w:rFonts w:ascii="Times New Roman" w:eastAsia="Times New Roman" w:hAnsi="Times New Roman"/>
          <w:i/>
          <w:snapToGrid w:val="0"/>
          <w:color w:val="3366FF"/>
          <w:szCs w:val="22"/>
          <w:lang w:val="en-US" w:eastAsia="ru-RU"/>
        </w:rPr>
        <w:t xml:space="preserve">.2019 (Minutes No. </w:t>
      </w:r>
      <w:r w:rsidR="00B03EBB" w:rsidRPr="007D770B">
        <w:rPr>
          <w:rFonts w:ascii="Times New Roman" w:eastAsia="Times New Roman" w:hAnsi="Times New Roman"/>
          <w:i/>
          <w:snapToGrid w:val="0"/>
          <w:color w:val="3366FF"/>
          <w:szCs w:val="22"/>
          <w:lang w:val="en-US" w:eastAsia="ru-RU"/>
        </w:rPr>
        <w:t>13</w:t>
      </w:r>
      <w:r w:rsidRPr="007D770B">
        <w:rPr>
          <w:rFonts w:ascii="Times New Roman" w:eastAsia="Times New Roman" w:hAnsi="Times New Roman"/>
          <w:i/>
          <w:snapToGrid w:val="0"/>
          <w:color w:val="3366FF"/>
          <w:szCs w:val="22"/>
          <w:lang w:val="en-US" w:eastAsia="ru-RU"/>
        </w:rPr>
        <w:t>)</w:t>
      </w:r>
    </w:p>
    <w:p w14:paraId="0BC6DD0A" w14:textId="77777777" w:rsidR="008400B1" w:rsidRPr="007D770B" w:rsidRDefault="008400B1" w:rsidP="008400B1">
      <w:pPr>
        <w:spacing w:before="240" w:line="240" w:lineRule="auto"/>
        <w:ind w:left="696"/>
        <w:rPr>
          <w:rFonts w:ascii="Times New Roman" w:hAnsi="Times New Roman"/>
          <w:bCs/>
          <w:iCs/>
          <w:snapToGrid w:val="0"/>
          <w:sz w:val="18"/>
          <w:lang w:val="en-US" w:eastAsia="ru-RU"/>
        </w:rPr>
      </w:pPr>
    </w:p>
    <w:p w14:paraId="5A1C345A" w14:textId="77777777" w:rsidR="009E2B77" w:rsidRPr="007D770B" w:rsidRDefault="009E2B77" w:rsidP="00F96B17">
      <w:pPr>
        <w:pStyle w:val="ABC-paragrahinNotes"/>
        <w:spacing w:before="240"/>
        <w:rPr>
          <w:rFonts w:ascii="Times New Roman" w:hAnsi="Times New Roman"/>
          <w:b/>
          <w:i/>
          <w:sz w:val="20"/>
          <w:lang w:val="en-US"/>
        </w:rPr>
      </w:pPr>
      <w:r w:rsidRPr="007D770B">
        <w:rPr>
          <w:rFonts w:ascii="Times New Roman" w:hAnsi="Times New Roman"/>
          <w:b/>
          <w:i/>
          <w:sz w:val="20"/>
          <w:lang w:val="en-US"/>
        </w:rPr>
        <w:t>Other provisions</w:t>
      </w:r>
    </w:p>
    <w:p w14:paraId="071140E8" w14:textId="02E44A28" w:rsidR="009E2B77" w:rsidRPr="007D770B" w:rsidRDefault="009E2B77" w:rsidP="00F96B17">
      <w:pPr>
        <w:pStyle w:val="ABC-paragrahinNotes"/>
        <w:spacing w:before="240"/>
        <w:rPr>
          <w:rFonts w:ascii="Times New Roman" w:hAnsi="Times New Roman"/>
          <w:bCs/>
          <w:iCs/>
          <w:sz w:val="20"/>
          <w:lang w:val="en-US"/>
        </w:rPr>
      </w:pPr>
      <w:r w:rsidRPr="007D770B">
        <w:rPr>
          <w:rFonts w:ascii="Times New Roman" w:hAnsi="Times New Roman"/>
          <w:bCs/>
          <w:iCs/>
          <w:sz w:val="20"/>
          <w:lang w:val="en-US"/>
        </w:rPr>
        <w:t xml:space="preserve">Provisions are recognized in the financial statements when (1) the </w:t>
      </w:r>
      <w:r w:rsidR="00F9744B" w:rsidRPr="007D770B">
        <w:rPr>
          <w:rFonts w:ascii="Times New Roman" w:hAnsi="Times New Roman"/>
          <w:bCs/>
          <w:iCs/>
          <w:sz w:val="20"/>
          <w:lang w:val="en-US"/>
        </w:rPr>
        <w:t xml:space="preserve">Bank </w:t>
      </w:r>
      <w:r w:rsidRPr="007D770B">
        <w:rPr>
          <w:rFonts w:ascii="Times New Roman" w:hAnsi="Times New Roman"/>
          <w:bCs/>
          <w:iCs/>
          <w:sz w:val="20"/>
          <w:lang w:val="en-US"/>
        </w:rPr>
        <w:t xml:space="preserve">has a present obligation (legal or constructive) as a result of a past event, (2) it is probable that an outflow of resources embodying economic </w:t>
      </w:r>
      <w:r w:rsidR="00EE3CCF" w:rsidRPr="007D770B">
        <w:rPr>
          <w:rFonts w:ascii="Times New Roman" w:hAnsi="Times New Roman"/>
          <w:bCs/>
          <w:iCs/>
          <w:sz w:val="20"/>
          <w:lang w:val="en-US"/>
        </w:rPr>
        <w:t xml:space="preserve">benefits </w:t>
      </w:r>
      <w:r w:rsidRPr="007D770B">
        <w:rPr>
          <w:rFonts w:ascii="Times New Roman" w:hAnsi="Times New Roman"/>
          <w:bCs/>
          <w:iCs/>
          <w:sz w:val="20"/>
          <w:lang w:val="en-US"/>
        </w:rPr>
        <w:t xml:space="preserve">will be required to settle the obligation, </w:t>
      </w:r>
      <w:r w:rsidR="00EE3CCF" w:rsidRPr="007D770B">
        <w:rPr>
          <w:rFonts w:ascii="Times New Roman" w:hAnsi="Times New Roman"/>
          <w:bCs/>
          <w:iCs/>
          <w:sz w:val="20"/>
          <w:lang w:val="en-US"/>
        </w:rPr>
        <w:t xml:space="preserve">and </w:t>
      </w:r>
      <w:r w:rsidRPr="007D770B">
        <w:rPr>
          <w:rFonts w:ascii="Times New Roman" w:hAnsi="Times New Roman"/>
          <w:bCs/>
          <w:iCs/>
          <w:sz w:val="20"/>
          <w:lang w:val="en-US"/>
        </w:rPr>
        <w:t xml:space="preserve">(3) a reliable estimate of the obligation can be made. Where the </w:t>
      </w:r>
      <w:r w:rsidR="00F9744B" w:rsidRPr="007D770B">
        <w:rPr>
          <w:rFonts w:ascii="Times New Roman" w:hAnsi="Times New Roman"/>
          <w:bCs/>
          <w:iCs/>
          <w:sz w:val="20"/>
          <w:lang w:val="en-US"/>
        </w:rPr>
        <w:t xml:space="preserve">Bank </w:t>
      </w:r>
      <w:r w:rsidRPr="007D770B">
        <w:rPr>
          <w:rFonts w:ascii="Times New Roman" w:hAnsi="Times New Roman"/>
          <w:bCs/>
          <w:iCs/>
          <w:sz w:val="20"/>
          <w:lang w:val="en-US"/>
        </w:rPr>
        <w:t>expects a provision to be reimbursed, for example under an insurance contract, the reimbursement is recognized as a separate asset but only when the reimbursement is virtually certain.</w:t>
      </w:r>
    </w:p>
    <w:p w14:paraId="3BF3C073" w14:textId="39FA7776" w:rsidR="009E2B77" w:rsidRPr="007D770B" w:rsidRDefault="009E2B77" w:rsidP="00F96B17">
      <w:pPr>
        <w:pStyle w:val="ABC-paragrahinNotes"/>
        <w:spacing w:before="240"/>
        <w:rPr>
          <w:rFonts w:ascii="Times New Roman" w:hAnsi="Times New Roman"/>
          <w:sz w:val="20"/>
          <w:lang w:val="en-US"/>
        </w:rPr>
      </w:pPr>
      <w:r w:rsidRPr="007D770B">
        <w:rPr>
          <w:rFonts w:ascii="Times New Roman" w:hAnsi="Times New Roman"/>
          <w:bCs/>
          <w:iCs/>
          <w:sz w:val="20"/>
          <w:lang w:val="en-US"/>
        </w:rPr>
        <w:t xml:space="preserve">If the effect of the time value of money is material, provisions are determined by discounting the expected future cash flows at pre-tax rates that reflect current market assessments of the time value of money and, </w:t>
      </w:r>
      <w:r w:rsidR="00EE3CCF" w:rsidRPr="007D770B">
        <w:rPr>
          <w:rFonts w:ascii="Times New Roman" w:hAnsi="Times New Roman"/>
          <w:bCs/>
          <w:iCs/>
          <w:sz w:val="20"/>
          <w:lang w:val="en-US"/>
        </w:rPr>
        <w:t xml:space="preserve">where </w:t>
      </w:r>
      <w:r w:rsidRPr="007D770B">
        <w:rPr>
          <w:rFonts w:ascii="Times New Roman" w:hAnsi="Times New Roman"/>
          <w:bCs/>
          <w:iCs/>
          <w:sz w:val="20"/>
          <w:lang w:val="en-US"/>
        </w:rPr>
        <w:t>appropriate, the risks and uncertainties surrounding the liability. Where discounting is used, the increase in the provision due to the passage of time is recognized as a finance cost.</w:t>
      </w:r>
    </w:p>
    <w:p w14:paraId="112AD026" w14:textId="66BDE255" w:rsidR="009E2B77" w:rsidRPr="007D770B" w:rsidRDefault="00FB0C0D" w:rsidP="00E61D21">
      <w:pPr>
        <w:pStyle w:val="3"/>
        <w:rPr>
          <w:lang w:val="en-US"/>
        </w:rPr>
      </w:pPr>
      <w:bookmarkStart w:id="204" w:name="_Toc248586860"/>
      <w:bookmarkStart w:id="205" w:name="_Toc271279850"/>
      <w:bookmarkStart w:id="206" w:name="_Toc168502062"/>
      <w:r w:rsidRPr="007D770B">
        <w:rPr>
          <w:lang w:val="en-US"/>
        </w:rPr>
        <w:t>7</w:t>
      </w:r>
      <w:r w:rsidR="009E2B77" w:rsidRPr="007D770B">
        <w:rPr>
          <w:lang w:val="en-US"/>
        </w:rPr>
        <w:t>.2 Definitions</w:t>
      </w:r>
      <w:bookmarkEnd w:id="204"/>
      <w:bookmarkEnd w:id="205"/>
      <w:bookmarkEnd w:id="206"/>
    </w:p>
    <w:p w14:paraId="32800983" w14:textId="77777777" w:rsidR="009E2B77" w:rsidRPr="007D770B" w:rsidRDefault="009E2B77" w:rsidP="00F96B17">
      <w:pPr>
        <w:autoSpaceDE w:val="0"/>
        <w:autoSpaceDN w:val="0"/>
        <w:adjustRightInd w:val="0"/>
        <w:spacing w:before="240" w:line="240" w:lineRule="auto"/>
        <w:ind w:left="0"/>
        <w:rPr>
          <w:rFonts w:ascii="Times New Roman" w:hAnsi="Times New Roman"/>
          <w:b/>
          <w:lang w:val="en-US"/>
        </w:rPr>
      </w:pPr>
      <w:r w:rsidRPr="007D770B">
        <w:rPr>
          <w:rFonts w:ascii="Times New Roman" w:hAnsi="Times New Roman"/>
          <w:b/>
          <w:lang w:val="en-US"/>
        </w:rPr>
        <w:t xml:space="preserve">An onerous contract </w:t>
      </w:r>
      <w:r w:rsidRPr="007D770B">
        <w:rPr>
          <w:rFonts w:ascii="Times New Roman" w:hAnsi="Times New Roman"/>
          <w:lang w:val="en-US"/>
        </w:rPr>
        <w:t>is a contract in which the unavoidable costs of fulfilling the obligations under the contract exceed the economic benefits expected under the contract.</w:t>
      </w:r>
    </w:p>
    <w:p w14:paraId="74F9B9E8" w14:textId="31363791"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b/>
          <w:lang w:val="en-US"/>
        </w:rPr>
        <w:t xml:space="preserve">A settled obligation </w:t>
      </w:r>
      <w:r w:rsidRPr="007D770B">
        <w:rPr>
          <w:rFonts w:ascii="Times New Roman" w:hAnsi="Times New Roman"/>
          <w:lang w:val="en-US"/>
        </w:rPr>
        <w:t xml:space="preserve">is an obligation that </w:t>
      </w:r>
      <w:r w:rsidR="00EE3CCF" w:rsidRPr="007D770B">
        <w:rPr>
          <w:rFonts w:ascii="Times New Roman" w:hAnsi="Times New Roman"/>
          <w:lang w:val="en-US"/>
        </w:rPr>
        <w:t xml:space="preserve">arises </w:t>
      </w:r>
      <w:r w:rsidRPr="007D770B">
        <w:rPr>
          <w:rFonts w:ascii="Times New Roman" w:hAnsi="Times New Roman"/>
          <w:lang w:val="en-US"/>
        </w:rPr>
        <w:t>when:</w:t>
      </w:r>
    </w:p>
    <w:p w14:paraId="2B5DF8E3" w14:textId="77777777" w:rsidR="009E2B77" w:rsidRPr="007D770B" w:rsidRDefault="009E2B77" w:rsidP="00AE698A">
      <w:pPr>
        <w:numPr>
          <w:ilvl w:val="0"/>
          <w:numId w:val="42"/>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 xml:space="preserve">The </w:t>
      </w:r>
      <w:r w:rsidR="00F9744B" w:rsidRPr="007D770B">
        <w:rPr>
          <w:rFonts w:ascii="Times New Roman" w:hAnsi="Times New Roman"/>
          <w:bCs/>
          <w:iCs/>
          <w:lang w:val="en-US"/>
        </w:rPr>
        <w:t xml:space="preserve">Bank </w:t>
      </w:r>
      <w:r w:rsidRPr="007D770B">
        <w:rPr>
          <w:rFonts w:ascii="Times New Roman" w:hAnsi="Times New Roman"/>
          <w:lang w:val="en-US"/>
        </w:rPr>
        <w:t>acknowledges acceptance of certain responsibilities in accordance with established practice, policy or a sufficiently specific statement; and</w:t>
      </w:r>
    </w:p>
    <w:p w14:paraId="4F21DCD4" w14:textId="77777777" w:rsidR="009E2B77" w:rsidRPr="007D770B" w:rsidRDefault="009E2B77" w:rsidP="00AE698A">
      <w:pPr>
        <w:numPr>
          <w:ilvl w:val="0"/>
          <w:numId w:val="42"/>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 xml:space="preserve">as a result, the </w:t>
      </w:r>
      <w:r w:rsidR="00F9744B" w:rsidRPr="007D770B">
        <w:rPr>
          <w:rFonts w:ascii="Times New Roman" w:hAnsi="Times New Roman"/>
          <w:bCs/>
          <w:iCs/>
          <w:lang w:val="en-US"/>
        </w:rPr>
        <w:t xml:space="preserve">Bank </w:t>
      </w:r>
      <w:r w:rsidR="002824C6" w:rsidRPr="007D770B">
        <w:rPr>
          <w:rFonts w:ascii="Times New Roman" w:hAnsi="Times New Roman"/>
          <w:lang w:val="en-US"/>
        </w:rPr>
        <w:t xml:space="preserve">has formed a </w:t>
      </w:r>
      <w:r w:rsidRPr="007D770B">
        <w:rPr>
          <w:rFonts w:ascii="Times New Roman" w:hAnsi="Times New Roman"/>
          <w:lang w:val="en-US"/>
        </w:rPr>
        <w:t>reasonable expectation that it will fulfill these obligations to the other parties</w:t>
      </w:r>
    </w:p>
    <w:p w14:paraId="61218BFA"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b/>
          <w:lang w:val="en-US"/>
        </w:rPr>
        <w:t xml:space="preserve">A binding event </w:t>
      </w:r>
      <w:r w:rsidRPr="007D770B">
        <w:rPr>
          <w:rFonts w:ascii="Times New Roman" w:hAnsi="Times New Roman"/>
          <w:lang w:val="en-US"/>
        </w:rPr>
        <w:t xml:space="preserve">is an event that gives rise to a legal or constructive obligation that the </w:t>
      </w:r>
      <w:r w:rsidR="00F9744B" w:rsidRPr="007D770B">
        <w:rPr>
          <w:rFonts w:ascii="Times New Roman" w:hAnsi="Times New Roman"/>
          <w:bCs/>
          <w:iCs/>
          <w:lang w:val="en-US"/>
        </w:rPr>
        <w:t xml:space="preserve">Bank </w:t>
      </w:r>
      <w:r w:rsidRPr="007D770B">
        <w:rPr>
          <w:rFonts w:ascii="Times New Roman" w:hAnsi="Times New Roman"/>
          <w:lang w:val="en-US"/>
        </w:rPr>
        <w:t>has no realistic alternative but to settle.</w:t>
      </w:r>
    </w:p>
    <w:p w14:paraId="5F03E34A" w14:textId="77777777" w:rsidR="009E2B77" w:rsidRPr="007D770B" w:rsidRDefault="009E2B77" w:rsidP="00F96B17">
      <w:pPr>
        <w:pStyle w:val="afffc"/>
        <w:spacing w:before="240" w:beforeAutospacing="0" w:after="240" w:afterAutospacing="0"/>
        <w:ind w:right="29"/>
        <w:jc w:val="both"/>
        <w:rPr>
          <w:rFonts w:ascii="Times New Roman" w:hAnsi="Times New Roman"/>
          <w:color w:val="auto"/>
          <w:sz w:val="20"/>
          <w:szCs w:val="20"/>
        </w:rPr>
      </w:pPr>
      <w:r w:rsidRPr="007D770B">
        <w:rPr>
          <w:rFonts w:ascii="Times New Roman" w:hAnsi="Times New Roman"/>
          <w:b/>
          <w:color w:val="auto"/>
          <w:sz w:val="20"/>
          <w:szCs w:val="20"/>
        </w:rPr>
        <w:t xml:space="preserve">A legal obligation </w:t>
      </w:r>
      <w:r w:rsidRPr="007D770B">
        <w:rPr>
          <w:rFonts w:ascii="Times New Roman" w:hAnsi="Times New Roman"/>
          <w:color w:val="auto"/>
          <w:sz w:val="20"/>
          <w:szCs w:val="20"/>
        </w:rPr>
        <w:t>is an obligation arising from:</w:t>
      </w:r>
    </w:p>
    <w:p w14:paraId="3333762F" w14:textId="77777777" w:rsidR="009E2B77" w:rsidRPr="007D770B" w:rsidRDefault="009E2B77" w:rsidP="00AE698A">
      <w:pPr>
        <w:pStyle w:val="afffc"/>
        <w:numPr>
          <w:ilvl w:val="0"/>
          <w:numId w:val="43"/>
        </w:numPr>
        <w:spacing w:before="240" w:beforeAutospacing="0" w:after="240" w:afterAutospacing="0"/>
        <w:ind w:right="29"/>
        <w:jc w:val="both"/>
        <w:rPr>
          <w:rFonts w:ascii="Times New Roman" w:hAnsi="Times New Roman"/>
          <w:color w:val="auto"/>
          <w:sz w:val="20"/>
          <w:szCs w:val="20"/>
        </w:rPr>
      </w:pPr>
      <w:r w:rsidRPr="007D770B">
        <w:rPr>
          <w:rFonts w:ascii="Times New Roman" w:hAnsi="Times New Roman"/>
          <w:color w:val="auto"/>
          <w:sz w:val="20"/>
          <w:szCs w:val="20"/>
        </w:rPr>
        <w:lastRenderedPageBreak/>
        <w:t>the treaty (through its express or implied terms);</w:t>
      </w:r>
    </w:p>
    <w:p w14:paraId="5849BCEB" w14:textId="77777777" w:rsidR="009E2B77" w:rsidRPr="002D4EA3" w:rsidRDefault="009E2B77" w:rsidP="00AE698A">
      <w:pPr>
        <w:pStyle w:val="afffc"/>
        <w:numPr>
          <w:ilvl w:val="0"/>
          <w:numId w:val="43"/>
        </w:numPr>
        <w:spacing w:before="240" w:beforeAutospacing="0" w:after="240" w:afterAutospacing="0"/>
        <w:ind w:right="29"/>
        <w:jc w:val="both"/>
        <w:rPr>
          <w:rFonts w:ascii="Times New Roman" w:hAnsi="Times New Roman"/>
          <w:color w:val="auto"/>
          <w:sz w:val="20"/>
          <w:szCs w:val="20"/>
          <w:lang w:val="ru-RU"/>
        </w:rPr>
      </w:pPr>
      <w:r w:rsidRPr="002D4EA3">
        <w:rPr>
          <w:rFonts w:ascii="Times New Roman" w:hAnsi="Times New Roman"/>
          <w:color w:val="auto"/>
          <w:sz w:val="20"/>
          <w:szCs w:val="20"/>
          <w:lang w:val="ru-RU"/>
        </w:rPr>
        <w:t>legislation; or</w:t>
      </w:r>
    </w:p>
    <w:p w14:paraId="1FE16707"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b/>
          <w:lang w:val="en-US"/>
        </w:rPr>
        <w:t xml:space="preserve">A provision </w:t>
      </w:r>
      <w:r w:rsidRPr="007D770B">
        <w:rPr>
          <w:rFonts w:ascii="Times New Roman" w:hAnsi="Times New Roman"/>
          <w:lang w:val="en-US"/>
        </w:rPr>
        <w:t xml:space="preserve">is a liability of uncertain amount or with an uncertain maturity. </w:t>
      </w:r>
    </w:p>
    <w:p w14:paraId="253A4159"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b/>
          <w:lang w:val="en-US"/>
        </w:rPr>
        <w:t xml:space="preserve">Restructuring </w:t>
      </w:r>
      <w:r w:rsidRPr="007D770B">
        <w:rPr>
          <w:rFonts w:ascii="Times New Roman" w:hAnsi="Times New Roman"/>
          <w:lang w:val="en-US"/>
        </w:rPr>
        <w:t xml:space="preserve">is a program planned and supervised by </w:t>
      </w:r>
      <w:r w:rsidR="00F9744B" w:rsidRPr="007D770B">
        <w:rPr>
          <w:rFonts w:ascii="Times New Roman" w:hAnsi="Times New Roman"/>
          <w:bCs/>
          <w:iCs/>
          <w:lang w:val="en-US"/>
        </w:rPr>
        <w:t xml:space="preserve">the Bank's </w:t>
      </w:r>
      <w:r w:rsidRPr="007D770B">
        <w:rPr>
          <w:rFonts w:ascii="Times New Roman" w:hAnsi="Times New Roman"/>
          <w:lang w:val="en-US"/>
        </w:rPr>
        <w:t xml:space="preserve">management that significantly changes the </w:t>
      </w:r>
      <w:r w:rsidR="00F9744B" w:rsidRPr="007D770B">
        <w:rPr>
          <w:rFonts w:ascii="Times New Roman" w:hAnsi="Times New Roman"/>
          <w:bCs/>
          <w:iCs/>
          <w:lang w:val="en-US"/>
        </w:rPr>
        <w:t>Bank's business</w:t>
      </w:r>
      <w:r w:rsidRPr="007D770B">
        <w:rPr>
          <w:rFonts w:ascii="Times New Roman" w:hAnsi="Times New Roman"/>
          <w:lang w:val="en-US"/>
        </w:rPr>
        <w:t>:</w:t>
      </w:r>
    </w:p>
    <w:p w14:paraId="46E9C9F3" w14:textId="77777777" w:rsidR="009E2B77" w:rsidRPr="007D770B" w:rsidRDefault="009E2B77" w:rsidP="00AE698A">
      <w:pPr>
        <w:numPr>
          <w:ilvl w:val="0"/>
          <w:numId w:val="44"/>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 xml:space="preserve">the scale of the </w:t>
      </w:r>
      <w:r w:rsidR="00F9744B" w:rsidRPr="007D770B">
        <w:rPr>
          <w:rFonts w:ascii="Times New Roman" w:hAnsi="Times New Roman"/>
          <w:bCs/>
          <w:iCs/>
          <w:lang w:val="en-US"/>
        </w:rPr>
        <w:t xml:space="preserve">Bank's </w:t>
      </w:r>
      <w:r w:rsidRPr="007D770B">
        <w:rPr>
          <w:rFonts w:ascii="Times New Roman" w:hAnsi="Times New Roman"/>
          <w:lang w:val="en-US"/>
        </w:rPr>
        <w:t>operations; or</w:t>
      </w:r>
    </w:p>
    <w:p w14:paraId="11F54838" w14:textId="77777777" w:rsidR="009E2B77" w:rsidRPr="007D770B" w:rsidRDefault="009E2B77" w:rsidP="00AE698A">
      <w:pPr>
        <w:numPr>
          <w:ilvl w:val="0"/>
          <w:numId w:val="44"/>
        </w:numPr>
        <w:spacing w:before="240" w:line="240" w:lineRule="auto"/>
        <w:rPr>
          <w:rFonts w:ascii="Times New Roman" w:hAnsi="Times New Roman"/>
          <w:lang w:val="en-US"/>
        </w:rPr>
      </w:pPr>
      <w:r w:rsidRPr="007D770B">
        <w:rPr>
          <w:rFonts w:ascii="Times New Roman" w:hAnsi="Times New Roman"/>
          <w:lang w:val="en-US"/>
        </w:rPr>
        <w:t>the way in which these activities are conducted.</w:t>
      </w:r>
    </w:p>
    <w:p w14:paraId="09E05720" w14:textId="6F62755A" w:rsidR="009E2B77" w:rsidRPr="007D770B" w:rsidRDefault="009E2B77" w:rsidP="00F96B17">
      <w:pPr>
        <w:pStyle w:val="afffc"/>
        <w:spacing w:before="240" w:beforeAutospacing="0" w:after="240" w:afterAutospacing="0"/>
        <w:ind w:right="34"/>
        <w:jc w:val="both"/>
        <w:rPr>
          <w:rFonts w:ascii="Times New Roman" w:hAnsi="Times New Roman"/>
          <w:color w:val="auto"/>
          <w:sz w:val="20"/>
          <w:szCs w:val="20"/>
          <w:lang w:eastAsia="ru-RU"/>
        </w:rPr>
      </w:pPr>
      <w:r w:rsidRPr="007D770B">
        <w:rPr>
          <w:rFonts w:ascii="Times New Roman" w:hAnsi="Times New Roman"/>
          <w:b/>
          <w:color w:val="auto"/>
          <w:sz w:val="20"/>
          <w:szCs w:val="20"/>
          <w:lang w:eastAsia="ru-RU"/>
        </w:rPr>
        <w:t xml:space="preserve">A contingent </w:t>
      </w:r>
      <w:r w:rsidRPr="007D770B">
        <w:rPr>
          <w:rFonts w:ascii="Times New Roman" w:hAnsi="Times New Roman"/>
          <w:color w:val="auto"/>
          <w:sz w:val="20"/>
          <w:szCs w:val="20"/>
          <w:lang w:eastAsia="ru-RU"/>
        </w:rPr>
        <w:t xml:space="preserve">asset is a possible asset that arises from past events and whose existence will be confirmed only upon the occurrence or non-occurrence of </w:t>
      </w:r>
      <w:r w:rsidR="00EE3CCF" w:rsidRPr="007D770B">
        <w:rPr>
          <w:rFonts w:ascii="Times New Roman" w:hAnsi="Times New Roman"/>
          <w:color w:val="auto"/>
          <w:sz w:val="20"/>
          <w:szCs w:val="20"/>
          <w:lang w:eastAsia="ru-RU"/>
        </w:rPr>
        <w:t xml:space="preserve">one </w:t>
      </w:r>
      <w:r w:rsidRPr="007D770B">
        <w:rPr>
          <w:rFonts w:ascii="Times New Roman" w:hAnsi="Times New Roman"/>
          <w:color w:val="auto"/>
          <w:sz w:val="20"/>
          <w:szCs w:val="20"/>
          <w:lang w:eastAsia="ru-RU"/>
        </w:rPr>
        <w:t xml:space="preserve">or more uncertain future events that are not wholly within the control of the </w:t>
      </w:r>
      <w:r w:rsidR="000F6CC6" w:rsidRPr="007D770B">
        <w:rPr>
          <w:rFonts w:ascii="Times New Roman" w:hAnsi="Times New Roman"/>
          <w:color w:val="auto"/>
          <w:sz w:val="20"/>
          <w:szCs w:val="20"/>
          <w:lang w:eastAsia="ru-RU"/>
        </w:rPr>
        <w:t>Bank</w:t>
      </w:r>
      <w:r w:rsidRPr="007D770B">
        <w:rPr>
          <w:rFonts w:ascii="Times New Roman" w:hAnsi="Times New Roman"/>
          <w:color w:val="auto"/>
          <w:sz w:val="20"/>
          <w:szCs w:val="20"/>
          <w:lang w:eastAsia="ru-RU"/>
        </w:rPr>
        <w:t>.</w:t>
      </w:r>
    </w:p>
    <w:p w14:paraId="7E7B24BD" w14:textId="77777777" w:rsidR="009E2B77" w:rsidRPr="002D4EA3" w:rsidRDefault="009E2B77" w:rsidP="00F96B17">
      <w:pPr>
        <w:pStyle w:val="pnumbered"/>
        <w:spacing w:before="240" w:beforeAutospacing="0" w:after="240" w:afterAutospacing="0"/>
        <w:jc w:val="both"/>
        <w:rPr>
          <w:sz w:val="20"/>
          <w:szCs w:val="20"/>
        </w:rPr>
      </w:pPr>
      <w:r w:rsidRPr="002D4EA3">
        <w:rPr>
          <w:b/>
          <w:sz w:val="20"/>
          <w:szCs w:val="20"/>
        </w:rPr>
        <w:t xml:space="preserve">A contingent liability </w:t>
      </w:r>
      <w:r w:rsidRPr="002D4EA3">
        <w:rPr>
          <w:sz w:val="20"/>
          <w:szCs w:val="20"/>
        </w:rPr>
        <w:t>is:</w:t>
      </w:r>
    </w:p>
    <w:p w14:paraId="553D56C0" w14:textId="5135FC5E" w:rsidR="009E2B77" w:rsidRPr="007D770B" w:rsidRDefault="009E2B77" w:rsidP="00AE698A">
      <w:pPr>
        <w:pStyle w:val="pnumbered"/>
        <w:numPr>
          <w:ilvl w:val="0"/>
          <w:numId w:val="45"/>
        </w:numPr>
        <w:spacing w:before="240" w:beforeAutospacing="0" w:after="240" w:afterAutospacing="0"/>
        <w:jc w:val="both"/>
        <w:rPr>
          <w:sz w:val="20"/>
          <w:szCs w:val="20"/>
          <w:lang w:val="en-US"/>
        </w:rPr>
      </w:pPr>
      <w:r w:rsidRPr="007D770B">
        <w:rPr>
          <w:sz w:val="20"/>
          <w:szCs w:val="20"/>
          <w:lang w:val="en-US"/>
        </w:rPr>
        <w:t xml:space="preserve">a contingent liability that arises from past events and whose existence will be confirmed only upon the occurrence or non-occurrence of </w:t>
      </w:r>
      <w:r w:rsidR="00EE3CCF" w:rsidRPr="007D770B">
        <w:rPr>
          <w:sz w:val="20"/>
          <w:szCs w:val="20"/>
          <w:lang w:val="en-US"/>
        </w:rPr>
        <w:t xml:space="preserve">one </w:t>
      </w:r>
      <w:r w:rsidRPr="007D770B">
        <w:rPr>
          <w:sz w:val="20"/>
          <w:szCs w:val="20"/>
          <w:lang w:val="en-US"/>
        </w:rPr>
        <w:t xml:space="preserve">or more uncertain future events that are not wholly within the control of the </w:t>
      </w:r>
      <w:r w:rsidR="00F96E48" w:rsidRPr="007D770B">
        <w:rPr>
          <w:sz w:val="20"/>
          <w:szCs w:val="20"/>
          <w:lang w:val="en-US"/>
        </w:rPr>
        <w:t>Bank</w:t>
      </w:r>
      <w:r w:rsidRPr="007D770B">
        <w:rPr>
          <w:sz w:val="20"/>
          <w:szCs w:val="20"/>
          <w:lang w:val="en-US"/>
        </w:rPr>
        <w:t>; or</w:t>
      </w:r>
    </w:p>
    <w:p w14:paraId="2D35F9C3" w14:textId="77777777" w:rsidR="009E2B77" w:rsidRPr="007D770B" w:rsidRDefault="009E2B77" w:rsidP="00AE698A">
      <w:pPr>
        <w:pStyle w:val="pnumbered"/>
        <w:numPr>
          <w:ilvl w:val="0"/>
          <w:numId w:val="45"/>
        </w:numPr>
        <w:spacing w:before="240" w:beforeAutospacing="0" w:after="240" w:afterAutospacing="0"/>
        <w:jc w:val="both"/>
        <w:rPr>
          <w:sz w:val="20"/>
          <w:szCs w:val="20"/>
          <w:lang w:val="en-US"/>
        </w:rPr>
      </w:pPr>
      <w:r w:rsidRPr="007D770B">
        <w:rPr>
          <w:sz w:val="20"/>
          <w:szCs w:val="20"/>
          <w:lang w:val="en-US"/>
        </w:rPr>
        <w:t>a present obligation that arises from past events but is not recognized because:</w:t>
      </w:r>
    </w:p>
    <w:p w14:paraId="0ABB8AE8" w14:textId="77777777" w:rsidR="009E2B77" w:rsidRPr="007D770B" w:rsidRDefault="009E2B77" w:rsidP="0066682B">
      <w:pPr>
        <w:pStyle w:val="pnumbered"/>
        <w:numPr>
          <w:ilvl w:val="1"/>
          <w:numId w:val="18"/>
        </w:numPr>
        <w:tabs>
          <w:tab w:val="clear" w:pos="1080"/>
          <w:tab w:val="num" w:pos="851"/>
          <w:tab w:val="num" w:pos="1170"/>
        </w:tabs>
        <w:spacing w:before="240" w:beforeAutospacing="0" w:after="240" w:afterAutospacing="0"/>
        <w:ind w:left="1170"/>
        <w:jc w:val="both"/>
        <w:rPr>
          <w:sz w:val="20"/>
          <w:szCs w:val="20"/>
          <w:lang w:val="en-US"/>
        </w:rPr>
      </w:pPr>
      <w:r w:rsidRPr="007D770B">
        <w:rPr>
          <w:sz w:val="20"/>
          <w:szCs w:val="20"/>
          <w:lang w:val="en-US"/>
        </w:rPr>
        <w:t xml:space="preserve">it is not probable that an outflow of resources embodying economic benefits will be required to settle the obligation; or </w:t>
      </w:r>
    </w:p>
    <w:p w14:paraId="57CC8A52" w14:textId="77777777" w:rsidR="009E2B77" w:rsidRPr="007D770B" w:rsidRDefault="009E2B77" w:rsidP="0066682B">
      <w:pPr>
        <w:pStyle w:val="pnumbered"/>
        <w:numPr>
          <w:ilvl w:val="1"/>
          <w:numId w:val="18"/>
        </w:numPr>
        <w:tabs>
          <w:tab w:val="clear" w:pos="1080"/>
          <w:tab w:val="num" w:pos="1134"/>
          <w:tab w:val="num" w:pos="1170"/>
        </w:tabs>
        <w:spacing w:before="240" w:beforeAutospacing="0" w:after="240" w:afterAutospacing="0"/>
        <w:ind w:left="1170"/>
        <w:jc w:val="both"/>
        <w:rPr>
          <w:sz w:val="20"/>
          <w:szCs w:val="20"/>
          <w:lang w:val="en-US"/>
        </w:rPr>
      </w:pPr>
      <w:r w:rsidRPr="007D770B">
        <w:rPr>
          <w:sz w:val="20"/>
          <w:szCs w:val="20"/>
          <w:lang w:val="en-US"/>
        </w:rPr>
        <w:t>the amount of the liability cannot be reliably estimated.</w:t>
      </w:r>
    </w:p>
    <w:p w14:paraId="5CE353CA" w14:textId="7AB557CD" w:rsidR="009E2B77" w:rsidRPr="007D770B" w:rsidRDefault="00FB0C0D" w:rsidP="00E61D21">
      <w:pPr>
        <w:pStyle w:val="3"/>
        <w:rPr>
          <w:lang w:val="en-US"/>
        </w:rPr>
      </w:pPr>
      <w:bookmarkStart w:id="207" w:name="_Toc271279851"/>
      <w:bookmarkStart w:id="208" w:name="_Toc168502063"/>
      <w:r w:rsidRPr="007D770B">
        <w:rPr>
          <w:lang w:val="en-US"/>
        </w:rPr>
        <w:t>7</w:t>
      </w:r>
      <w:r w:rsidR="009E2B77" w:rsidRPr="007D770B">
        <w:rPr>
          <w:lang w:val="en-US"/>
        </w:rPr>
        <w:t>.3 Accounting policies</w:t>
      </w:r>
      <w:bookmarkEnd w:id="207"/>
      <w:bookmarkEnd w:id="208"/>
    </w:p>
    <w:p w14:paraId="18124AB8" w14:textId="77777777" w:rsidR="009E2B77" w:rsidRPr="007D770B" w:rsidRDefault="009E2B77" w:rsidP="00F96B17">
      <w:pPr>
        <w:spacing w:before="240" w:line="240" w:lineRule="auto"/>
        <w:ind w:left="0"/>
        <w:rPr>
          <w:rFonts w:ascii="Times New Roman" w:hAnsi="Times New Roman"/>
          <w:b/>
          <w:lang w:val="en-US"/>
        </w:rPr>
      </w:pPr>
      <w:r w:rsidRPr="007D770B">
        <w:rPr>
          <w:rFonts w:ascii="Times New Roman" w:hAnsi="Times New Roman"/>
          <w:b/>
          <w:lang w:val="en-US"/>
        </w:rPr>
        <w:t>Recognition of provisions, contingent assets and contingent liabilities</w:t>
      </w:r>
    </w:p>
    <w:p w14:paraId="10C9429F" w14:textId="77777777" w:rsidR="009E2B77" w:rsidRPr="007D770B" w:rsidRDefault="009E2B77" w:rsidP="00F96B17">
      <w:pPr>
        <w:spacing w:before="240" w:line="240" w:lineRule="auto"/>
        <w:ind w:left="0"/>
        <w:rPr>
          <w:rFonts w:ascii="Times New Roman" w:hAnsi="Times New Roman"/>
          <w:b/>
          <w:lang w:val="en-US"/>
        </w:rPr>
      </w:pPr>
      <w:r w:rsidRPr="007D770B">
        <w:rPr>
          <w:rFonts w:ascii="Times New Roman" w:hAnsi="Times New Roman"/>
          <w:b/>
          <w:lang w:val="en-US"/>
        </w:rPr>
        <w:t>Recognition of provisions</w:t>
      </w:r>
    </w:p>
    <w:p w14:paraId="140D9612" w14:textId="77777777" w:rsidR="009E2B77" w:rsidRPr="007D770B" w:rsidRDefault="009E2B77" w:rsidP="00F96B17">
      <w:pPr>
        <w:spacing w:before="240" w:line="240" w:lineRule="auto"/>
        <w:ind w:left="0" w:right="34"/>
        <w:rPr>
          <w:rFonts w:ascii="Times New Roman" w:hAnsi="Times New Roman"/>
          <w:lang w:val="en-US"/>
        </w:rPr>
      </w:pPr>
      <w:r w:rsidRPr="007D770B">
        <w:rPr>
          <w:rFonts w:ascii="Times New Roman" w:hAnsi="Times New Roman"/>
          <w:lang w:val="en-US"/>
        </w:rPr>
        <w:t xml:space="preserve">A provision is recognized when the </w:t>
      </w:r>
      <w:r w:rsidR="00F9744B" w:rsidRPr="007D770B">
        <w:rPr>
          <w:rFonts w:ascii="Times New Roman" w:hAnsi="Times New Roman"/>
          <w:bCs/>
          <w:iCs/>
          <w:lang w:val="en-US"/>
        </w:rPr>
        <w:t xml:space="preserve">Bank </w:t>
      </w:r>
      <w:r w:rsidRPr="007D770B">
        <w:rPr>
          <w:rFonts w:ascii="Times New Roman" w:hAnsi="Times New Roman"/>
          <w:lang w:val="en-US"/>
        </w:rPr>
        <w:t>has a present obligation (legal or constructive) as a result of a past event, it is probable that an outflow of resources embodying economic benefits will be required to settle the obligation, and a reliable estimate of the amount of the obligation can be made.</w:t>
      </w:r>
    </w:p>
    <w:p w14:paraId="6842EEE1" w14:textId="77777777" w:rsidR="009E2B77" w:rsidRPr="007D770B" w:rsidRDefault="009E2B77" w:rsidP="00F96B17">
      <w:pPr>
        <w:spacing w:before="240" w:line="240" w:lineRule="auto"/>
        <w:ind w:left="0" w:right="34"/>
        <w:rPr>
          <w:rFonts w:ascii="Times New Roman" w:hAnsi="Times New Roman"/>
          <w:lang w:val="en-US"/>
        </w:rPr>
      </w:pPr>
      <w:r w:rsidRPr="007D770B">
        <w:rPr>
          <w:rFonts w:ascii="Times New Roman" w:hAnsi="Times New Roman"/>
          <w:lang w:val="en-US"/>
        </w:rPr>
        <w:t>Where the existence or absence of a present obligation is uncertain, a past event is considered to give rise to an existing obligation if, taking into account all available information, it is more likely than not that an obligation exists at the reporting date. The existence of a liability does not depend on whether the party to whom the liability is owed is known.</w:t>
      </w:r>
    </w:p>
    <w:p w14:paraId="6AD30C5F" w14:textId="77777777" w:rsidR="009E2B77" w:rsidRPr="007D770B" w:rsidRDefault="009E2B77" w:rsidP="00F96B17">
      <w:pPr>
        <w:spacing w:before="240" w:line="240" w:lineRule="auto"/>
        <w:ind w:left="0" w:right="34"/>
        <w:rPr>
          <w:rFonts w:ascii="Times New Roman" w:hAnsi="Times New Roman"/>
          <w:lang w:val="en-US"/>
        </w:rPr>
      </w:pPr>
      <w:r w:rsidRPr="007D770B">
        <w:rPr>
          <w:rFonts w:ascii="Times New Roman" w:hAnsi="Times New Roman"/>
          <w:lang w:val="en-US"/>
        </w:rPr>
        <w:t xml:space="preserve">Where the </w:t>
      </w:r>
      <w:r w:rsidR="00F9744B" w:rsidRPr="007D770B">
        <w:rPr>
          <w:rFonts w:ascii="Times New Roman" w:hAnsi="Times New Roman"/>
          <w:bCs/>
          <w:iCs/>
          <w:lang w:val="en-US"/>
        </w:rPr>
        <w:t xml:space="preserve">Bank </w:t>
      </w:r>
      <w:r w:rsidRPr="007D770B">
        <w:rPr>
          <w:rFonts w:ascii="Times New Roman" w:hAnsi="Times New Roman"/>
          <w:lang w:val="en-US"/>
        </w:rPr>
        <w:t>retains the ability to avoid certain expenses in order to continue as a going concern</w:t>
      </w:r>
      <w:r w:rsidR="009A2DA4" w:rsidRPr="007D770B">
        <w:rPr>
          <w:rFonts w:ascii="Times New Roman" w:hAnsi="Times New Roman"/>
          <w:lang w:val="en-US"/>
        </w:rPr>
        <w:t>,</w:t>
      </w:r>
      <w:r w:rsidRPr="007D770B">
        <w:rPr>
          <w:rFonts w:ascii="Times New Roman" w:hAnsi="Times New Roman"/>
          <w:lang w:val="en-US"/>
        </w:rPr>
        <w:t xml:space="preserve"> no liability for such expenses arises and no provision is recognized. The </w:t>
      </w:r>
      <w:r w:rsidR="00F9744B" w:rsidRPr="007D770B">
        <w:rPr>
          <w:rFonts w:ascii="Times New Roman" w:hAnsi="Times New Roman"/>
          <w:bCs/>
          <w:iCs/>
          <w:lang w:val="en-US"/>
        </w:rPr>
        <w:t xml:space="preserve">Bank </w:t>
      </w:r>
      <w:r w:rsidRPr="007D770B">
        <w:rPr>
          <w:rFonts w:ascii="Times New Roman" w:hAnsi="Times New Roman"/>
          <w:lang w:val="en-US"/>
        </w:rPr>
        <w:t>recognizes only those liabilities that exist at the end of the reporting period.</w:t>
      </w:r>
    </w:p>
    <w:p w14:paraId="3D8E8229" w14:textId="77777777" w:rsidR="009E2B77" w:rsidRPr="007D770B" w:rsidRDefault="009E2B77" w:rsidP="00F96B17">
      <w:pPr>
        <w:spacing w:before="240" w:line="240" w:lineRule="auto"/>
        <w:ind w:left="0" w:right="34"/>
        <w:rPr>
          <w:rFonts w:ascii="Times New Roman" w:hAnsi="Times New Roman"/>
          <w:lang w:val="en-US"/>
        </w:rPr>
      </w:pPr>
      <w:r w:rsidRPr="007D770B">
        <w:rPr>
          <w:rFonts w:ascii="Times New Roman" w:hAnsi="Times New Roman"/>
          <w:lang w:val="en-US"/>
        </w:rPr>
        <w:t>An outflow of resources or other event is considered probable if the probability that the event will occur is greater than the probability that it will not occur.</w:t>
      </w:r>
    </w:p>
    <w:p w14:paraId="1F243D3B" w14:textId="77777777" w:rsidR="009E2B77" w:rsidRPr="007D770B" w:rsidRDefault="009E2B77" w:rsidP="00F96B17">
      <w:pPr>
        <w:spacing w:before="240" w:line="240" w:lineRule="auto"/>
        <w:ind w:left="0" w:right="34"/>
        <w:rPr>
          <w:rFonts w:ascii="Times New Roman" w:hAnsi="Times New Roman"/>
          <w:lang w:val="en-US"/>
        </w:rPr>
      </w:pPr>
      <w:r w:rsidRPr="007D770B">
        <w:rPr>
          <w:rFonts w:ascii="Times New Roman" w:hAnsi="Times New Roman"/>
          <w:lang w:val="en-US"/>
        </w:rPr>
        <w:t xml:space="preserve">The </w:t>
      </w:r>
      <w:r w:rsidR="00F9744B" w:rsidRPr="007D770B">
        <w:rPr>
          <w:rFonts w:ascii="Times New Roman" w:hAnsi="Times New Roman"/>
          <w:bCs/>
          <w:iCs/>
          <w:lang w:val="en-US"/>
        </w:rPr>
        <w:t xml:space="preserve">Bank </w:t>
      </w:r>
      <w:r w:rsidRPr="007D770B">
        <w:rPr>
          <w:rFonts w:ascii="Times New Roman" w:hAnsi="Times New Roman"/>
          <w:lang w:val="en-US"/>
        </w:rPr>
        <w:t>does not recognize any provision for future operating losses.</w:t>
      </w:r>
    </w:p>
    <w:p w14:paraId="170C0371" w14:textId="77777777" w:rsidR="009E2B77" w:rsidRPr="007D770B" w:rsidRDefault="009E2B77" w:rsidP="00F96B17">
      <w:pPr>
        <w:spacing w:before="240" w:line="240" w:lineRule="auto"/>
        <w:ind w:left="0"/>
        <w:rPr>
          <w:rFonts w:ascii="Times New Roman" w:hAnsi="Times New Roman"/>
          <w:b/>
          <w:lang w:val="en-US"/>
        </w:rPr>
      </w:pPr>
      <w:r w:rsidRPr="007D770B">
        <w:rPr>
          <w:rFonts w:ascii="Times New Roman" w:hAnsi="Times New Roman"/>
          <w:b/>
          <w:lang w:val="en-US"/>
        </w:rPr>
        <w:t>Recognition of contingent liabilities</w:t>
      </w:r>
    </w:p>
    <w:p w14:paraId="0F4E3971" w14:textId="77777777" w:rsidR="009E2B77" w:rsidRPr="007D770B" w:rsidRDefault="009E2B77" w:rsidP="00F96B17">
      <w:pPr>
        <w:spacing w:before="240" w:line="240" w:lineRule="auto"/>
        <w:ind w:left="0"/>
        <w:rPr>
          <w:rFonts w:ascii="Times New Roman" w:hAnsi="Times New Roman"/>
          <w:lang w:val="en-US"/>
        </w:rPr>
      </w:pPr>
      <w:r w:rsidRPr="007D770B">
        <w:rPr>
          <w:rFonts w:ascii="Times New Roman" w:hAnsi="Times New Roman"/>
          <w:lang w:val="en-US"/>
        </w:rPr>
        <w:t xml:space="preserve">Where the </w:t>
      </w:r>
      <w:r w:rsidR="00F9744B" w:rsidRPr="007D770B">
        <w:rPr>
          <w:rFonts w:ascii="Times New Roman" w:hAnsi="Times New Roman"/>
          <w:bCs/>
          <w:iCs/>
          <w:lang w:val="en-US"/>
        </w:rPr>
        <w:t xml:space="preserve">Bank </w:t>
      </w:r>
      <w:r w:rsidRPr="007D770B">
        <w:rPr>
          <w:rFonts w:ascii="Times New Roman" w:hAnsi="Times New Roman"/>
          <w:lang w:val="en-US"/>
        </w:rPr>
        <w:t>is jointly and severally liable for an obligation, the portion of the obligation expected to be settled by the other parties is considered a contingent liability.</w:t>
      </w:r>
    </w:p>
    <w:p w14:paraId="46FE5BDF" w14:textId="77777777" w:rsidR="009E2B77" w:rsidRPr="007D770B" w:rsidRDefault="009E2B77" w:rsidP="00F96B17">
      <w:pPr>
        <w:spacing w:before="240" w:line="240" w:lineRule="auto"/>
        <w:ind w:left="0"/>
        <w:rPr>
          <w:rFonts w:ascii="Times New Roman" w:hAnsi="Times New Roman"/>
          <w:lang w:val="en-US"/>
        </w:rPr>
      </w:pPr>
      <w:r w:rsidRPr="007D770B">
        <w:rPr>
          <w:rFonts w:ascii="Times New Roman" w:hAnsi="Times New Roman"/>
          <w:lang w:val="en-US"/>
        </w:rPr>
        <w:t>Contingent liabilities are assessed on a continuous basis to determine whether it is probable that an outflow of resources embodying economic benefits will be required. A provision is recognized when the likelihood of an outflow of resources relating to an item previously considered a contingent liability arises in the period in which the likelihood changes.</w:t>
      </w:r>
    </w:p>
    <w:p w14:paraId="27176037" w14:textId="77777777" w:rsidR="009E2B77" w:rsidRPr="007D770B" w:rsidRDefault="009E2B77" w:rsidP="00F96B17">
      <w:pPr>
        <w:spacing w:before="240" w:line="240" w:lineRule="auto"/>
        <w:ind w:left="0"/>
        <w:rPr>
          <w:rFonts w:ascii="Times New Roman" w:hAnsi="Times New Roman"/>
          <w:b/>
          <w:lang w:val="en-US"/>
        </w:rPr>
      </w:pPr>
      <w:r w:rsidRPr="007D770B">
        <w:rPr>
          <w:rFonts w:ascii="Times New Roman" w:hAnsi="Times New Roman"/>
          <w:b/>
          <w:lang w:val="en-US"/>
        </w:rPr>
        <w:t>Recognition of contingent assets</w:t>
      </w:r>
    </w:p>
    <w:p w14:paraId="25159500" w14:textId="77777777" w:rsidR="009E2B77" w:rsidRPr="007D770B" w:rsidRDefault="009E2B77" w:rsidP="00F96B17">
      <w:pPr>
        <w:spacing w:before="240" w:line="240" w:lineRule="auto"/>
        <w:ind w:left="0"/>
        <w:rPr>
          <w:rFonts w:ascii="Times New Roman" w:hAnsi="Times New Roman"/>
          <w:lang w:val="en-US"/>
        </w:rPr>
      </w:pPr>
      <w:r w:rsidRPr="007D770B">
        <w:rPr>
          <w:rFonts w:ascii="Times New Roman" w:hAnsi="Times New Roman"/>
          <w:lang w:val="en-US"/>
        </w:rPr>
        <w:t xml:space="preserve">A contingent asset is disclosed in the financial statements when an inflow of economic benefits to the </w:t>
      </w:r>
      <w:r w:rsidR="00F9744B" w:rsidRPr="007D770B">
        <w:rPr>
          <w:rFonts w:ascii="Times New Roman" w:hAnsi="Times New Roman"/>
          <w:bCs/>
          <w:iCs/>
          <w:lang w:val="en-US"/>
        </w:rPr>
        <w:t xml:space="preserve">Bank </w:t>
      </w:r>
      <w:r w:rsidRPr="007D770B">
        <w:rPr>
          <w:rFonts w:ascii="Times New Roman" w:hAnsi="Times New Roman"/>
          <w:lang w:val="en-US"/>
        </w:rPr>
        <w:t xml:space="preserve">is probable. </w:t>
      </w:r>
    </w:p>
    <w:p w14:paraId="4801E050" w14:textId="77777777" w:rsidR="009E2B77" w:rsidRPr="007D770B" w:rsidRDefault="009E2B77" w:rsidP="00F96B17">
      <w:pPr>
        <w:spacing w:before="240" w:line="240" w:lineRule="auto"/>
        <w:ind w:left="0"/>
        <w:rPr>
          <w:rFonts w:ascii="Times New Roman" w:hAnsi="Times New Roman"/>
          <w:lang w:val="en-US"/>
        </w:rPr>
      </w:pPr>
      <w:r w:rsidRPr="007D770B">
        <w:rPr>
          <w:rFonts w:ascii="Times New Roman" w:hAnsi="Times New Roman"/>
          <w:lang w:val="en-US"/>
        </w:rPr>
        <w:lastRenderedPageBreak/>
        <w:t>If the receipt of an economic benefit is extremely uncertain, the related asset is not a contingent asset and is recognized in the financial statements.</w:t>
      </w:r>
    </w:p>
    <w:p w14:paraId="0B074990" w14:textId="77777777" w:rsidR="009E2B77" w:rsidRPr="007D770B" w:rsidRDefault="009E2B77" w:rsidP="00F96B17">
      <w:pPr>
        <w:autoSpaceDE w:val="0"/>
        <w:autoSpaceDN w:val="0"/>
        <w:adjustRightInd w:val="0"/>
        <w:spacing w:before="240" w:line="240" w:lineRule="auto"/>
        <w:ind w:left="0"/>
        <w:rPr>
          <w:rFonts w:ascii="Times New Roman" w:hAnsi="Times New Roman"/>
          <w:b/>
          <w:lang w:val="en-US"/>
        </w:rPr>
      </w:pPr>
      <w:r w:rsidRPr="007D770B">
        <w:rPr>
          <w:rFonts w:ascii="Times New Roman" w:hAnsi="Times New Roman"/>
          <w:b/>
          <w:lang w:val="en-US"/>
        </w:rPr>
        <w:t>Estimation of reserves</w:t>
      </w:r>
    </w:p>
    <w:p w14:paraId="319DCD64" w14:textId="77777777" w:rsidR="009E2B77" w:rsidRPr="007D770B" w:rsidRDefault="009E2B77" w:rsidP="00F96B17">
      <w:pPr>
        <w:pStyle w:val="Iauiue"/>
        <w:spacing w:before="240" w:after="240"/>
        <w:jc w:val="both"/>
        <w:rPr>
          <w:sz w:val="20"/>
          <w:szCs w:val="20"/>
          <w:lang w:val="en-US"/>
        </w:rPr>
      </w:pPr>
      <w:r w:rsidRPr="007D770B">
        <w:rPr>
          <w:sz w:val="20"/>
          <w:szCs w:val="20"/>
          <w:lang w:val="en-US"/>
        </w:rPr>
        <w:t xml:space="preserve">The amount recognized as a provision is the best estimate of the expenditure required to settle the present obligation at the reporting date. The best estimate of the </w:t>
      </w:r>
      <w:r w:rsidRPr="007D770B">
        <w:rPr>
          <w:rFonts w:eastAsia="Times New Roman"/>
          <w:i/>
          <w:sz w:val="20"/>
          <w:szCs w:val="20"/>
          <w:lang w:val="en-US"/>
        </w:rPr>
        <w:t xml:space="preserve">expenditure </w:t>
      </w:r>
      <w:r w:rsidRPr="007D770B">
        <w:rPr>
          <w:sz w:val="20"/>
          <w:szCs w:val="20"/>
          <w:lang w:val="en-US"/>
        </w:rPr>
        <w:t xml:space="preserve">required to settle the present obligation is the amount that the </w:t>
      </w:r>
      <w:r w:rsidR="00F9744B" w:rsidRPr="007D770B">
        <w:rPr>
          <w:bCs/>
          <w:iCs/>
          <w:sz w:val="20"/>
          <w:szCs w:val="20"/>
          <w:lang w:val="en-US"/>
        </w:rPr>
        <w:t xml:space="preserve">Bank </w:t>
      </w:r>
      <w:r w:rsidRPr="007D770B">
        <w:rPr>
          <w:sz w:val="20"/>
          <w:szCs w:val="20"/>
          <w:lang w:val="en-US"/>
        </w:rPr>
        <w:t xml:space="preserve">would reasonably pay to settle the obligation at the reporting date or to transfer it to a third party at that date. </w:t>
      </w:r>
    </w:p>
    <w:p w14:paraId="0DDD3206" w14:textId="77777777" w:rsidR="009E2B77" w:rsidRPr="007D770B" w:rsidRDefault="009E2B77" w:rsidP="00F96B17">
      <w:pPr>
        <w:pStyle w:val="Iauiue"/>
        <w:spacing w:before="240" w:after="240"/>
        <w:jc w:val="both"/>
        <w:rPr>
          <w:sz w:val="20"/>
          <w:szCs w:val="20"/>
          <w:lang w:val="en-US"/>
        </w:rPr>
      </w:pPr>
      <w:r w:rsidRPr="007D770B">
        <w:rPr>
          <w:sz w:val="20"/>
          <w:szCs w:val="20"/>
          <w:lang w:val="en-US"/>
        </w:rPr>
        <w:t xml:space="preserve">Estimates of results and financial effect are based on the judgment of the </w:t>
      </w:r>
      <w:r w:rsidR="00F9744B" w:rsidRPr="007D770B">
        <w:rPr>
          <w:bCs/>
          <w:iCs/>
          <w:sz w:val="20"/>
          <w:szCs w:val="20"/>
          <w:lang w:val="en-US"/>
        </w:rPr>
        <w:t xml:space="preserve">Bank's </w:t>
      </w:r>
      <w:r w:rsidRPr="007D770B">
        <w:rPr>
          <w:sz w:val="20"/>
          <w:szCs w:val="20"/>
          <w:lang w:val="en-US"/>
        </w:rPr>
        <w:t xml:space="preserve">management, supplemented by experience of similar transactions and, in some cases, reports of independent experts and additional evidence obtained from events after the reporting date. </w:t>
      </w:r>
    </w:p>
    <w:p w14:paraId="79D4C899" w14:textId="77777777" w:rsidR="009E2B77" w:rsidRPr="007D770B" w:rsidRDefault="009E2B77" w:rsidP="00F96B17">
      <w:pPr>
        <w:pStyle w:val="Iauiue"/>
        <w:spacing w:before="240" w:after="240"/>
        <w:jc w:val="both"/>
        <w:rPr>
          <w:sz w:val="20"/>
          <w:szCs w:val="20"/>
          <w:lang w:val="en-US"/>
        </w:rPr>
      </w:pPr>
      <w:r w:rsidRPr="007D770B">
        <w:rPr>
          <w:sz w:val="20"/>
          <w:szCs w:val="20"/>
          <w:lang w:val="en-US"/>
        </w:rPr>
        <w:t xml:space="preserve">When a liability is estimated, the most likely hypothesis may be the best estimate of the liability, but other possible hypotheses should be considered. When other possible hypotheses produce estimates that are principally significantly higher or significantly lower than the most likely hypothesis, the best estimate may be the highest or lowest amount, respectively. </w:t>
      </w:r>
    </w:p>
    <w:p w14:paraId="73208D2A" w14:textId="5DD0D6F2"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 xml:space="preserve">Provisions are measured on a pre-tax basis as the tax consequences of provisions and changes in provisions are discussed in section </w:t>
      </w:r>
      <w:r w:rsidR="001A2739" w:rsidRPr="007D770B">
        <w:rPr>
          <w:rFonts w:ascii="Times New Roman" w:hAnsi="Times New Roman"/>
          <w:lang w:val="en-US"/>
        </w:rPr>
        <w:t xml:space="preserve">13 </w:t>
      </w:r>
      <w:r w:rsidR="00802136" w:rsidRPr="007D770B">
        <w:rPr>
          <w:rFonts w:ascii="Times New Roman" w:hAnsi="Times New Roman"/>
          <w:lang w:val="en-US"/>
        </w:rPr>
        <w:t>"</w:t>
      </w:r>
      <w:r w:rsidRPr="007D770B">
        <w:rPr>
          <w:rFonts w:ascii="Times New Roman" w:hAnsi="Times New Roman"/>
          <w:lang w:val="en-US"/>
        </w:rPr>
        <w:t>Taxes (IAS 12)</w:t>
      </w:r>
      <w:r w:rsidR="00802136" w:rsidRPr="007D770B">
        <w:rPr>
          <w:rFonts w:ascii="Times New Roman" w:hAnsi="Times New Roman"/>
          <w:lang w:val="en-US"/>
        </w:rPr>
        <w:t xml:space="preserve">" </w:t>
      </w:r>
      <w:r w:rsidRPr="007D770B">
        <w:rPr>
          <w:rFonts w:ascii="Times New Roman" w:hAnsi="Times New Roman"/>
          <w:lang w:val="en-US"/>
        </w:rPr>
        <w:t xml:space="preserve">in Chapter </w:t>
      </w:r>
      <w:r w:rsidR="001F768A" w:rsidRPr="007D770B">
        <w:rPr>
          <w:rFonts w:ascii="Times New Roman" w:hAnsi="Times New Roman"/>
          <w:lang w:val="en-US"/>
        </w:rPr>
        <w:t xml:space="preserve">2 of these </w:t>
      </w:r>
      <w:r w:rsidRPr="007D770B">
        <w:rPr>
          <w:rFonts w:ascii="Times New Roman" w:hAnsi="Times New Roman"/>
          <w:lang w:val="en-US"/>
        </w:rPr>
        <w:t>accounting policies.</w:t>
      </w:r>
    </w:p>
    <w:p w14:paraId="42D48090"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When some or all of the costs required to settle a liability are expected to be recovered from another party (e.g., through the satisfaction of an insurance claim, indemnities or supplier guarantees), such recoveries are accounted for as follows:</w:t>
      </w:r>
    </w:p>
    <w:p w14:paraId="6D54FB56" w14:textId="77777777" w:rsidR="009E2B77" w:rsidRPr="007D770B" w:rsidRDefault="009E2B77" w:rsidP="00AE698A">
      <w:pPr>
        <w:numPr>
          <w:ilvl w:val="0"/>
          <w:numId w:val="46"/>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 xml:space="preserve">recovery is recognized when, and only when, the economic benefits are virtually certain; </w:t>
      </w:r>
    </w:p>
    <w:p w14:paraId="703B0913" w14:textId="77777777" w:rsidR="009E2B77" w:rsidRPr="007D770B" w:rsidRDefault="009E2B77" w:rsidP="00AE698A">
      <w:pPr>
        <w:numPr>
          <w:ilvl w:val="0"/>
          <w:numId w:val="46"/>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the amount recognized for reimbursement shall not exceed the amount of the provision;</w:t>
      </w:r>
    </w:p>
    <w:p w14:paraId="23D82167" w14:textId="77777777" w:rsidR="009E2B77" w:rsidRPr="007D770B" w:rsidRDefault="009E2B77" w:rsidP="00AE698A">
      <w:pPr>
        <w:numPr>
          <w:ilvl w:val="0"/>
          <w:numId w:val="46"/>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the reimbursement should be recognized as a separate asset;</w:t>
      </w:r>
    </w:p>
    <w:p w14:paraId="35863DDE" w14:textId="77777777" w:rsidR="009E2B77" w:rsidRPr="007D770B" w:rsidRDefault="009E2B77" w:rsidP="00AE698A">
      <w:pPr>
        <w:numPr>
          <w:ilvl w:val="0"/>
          <w:numId w:val="46"/>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in the statement of comprehensive income, the expense relating to the provision can be presented net of the amount recognized in respect of the recovery.</w:t>
      </w:r>
    </w:p>
    <w:p w14:paraId="7A003221" w14:textId="77777777" w:rsidR="009E2B77" w:rsidRPr="007D770B" w:rsidRDefault="009E2B77" w:rsidP="00F96B17">
      <w:pPr>
        <w:spacing w:before="240" w:line="240" w:lineRule="auto"/>
        <w:ind w:left="0"/>
        <w:rPr>
          <w:rFonts w:ascii="Times New Roman" w:hAnsi="Times New Roman"/>
          <w:lang w:val="en-US"/>
        </w:rPr>
      </w:pPr>
      <w:r w:rsidRPr="007D770B">
        <w:rPr>
          <w:rFonts w:ascii="Times New Roman" w:hAnsi="Times New Roman"/>
          <w:lang w:val="en-US"/>
        </w:rPr>
        <w:t>In assessing provisions, all risks and uncertainties inherent in the liability are taken into account.</w:t>
      </w:r>
    </w:p>
    <w:p w14:paraId="74901CF0" w14:textId="77777777" w:rsidR="009E2B77" w:rsidRPr="007D770B" w:rsidRDefault="009E2B77" w:rsidP="00F96B17">
      <w:pPr>
        <w:spacing w:before="240" w:line="240" w:lineRule="auto"/>
        <w:ind w:left="0"/>
        <w:rPr>
          <w:rFonts w:ascii="Times New Roman" w:hAnsi="Times New Roman"/>
          <w:lang w:val="en-US"/>
        </w:rPr>
      </w:pPr>
      <w:r w:rsidRPr="007D770B">
        <w:rPr>
          <w:rFonts w:ascii="Times New Roman" w:hAnsi="Times New Roman"/>
          <w:lang w:val="en-US"/>
        </w:rPr>
        <w:t>Where the effect of the time value of money is material (generally when the outflow of resources is expected to occur within a period exceeding 12 months), the amount of the provision is the present value of the expected cost of settling the obligation. The present value is calculated using a pre-tax rate(s) that reflects current market assessments of the time value of money and the risks specific to the liability. The discount rate should not reflect the risks that have been included in estimating future cash flows.</w:t>
      </w:r>
    </w:p>
    <w:p w14:paraId="57B31441" w14:textId="77777777" w:rsidR="009E2B77" w:rsidRPr="007D770B" w:rsidRDefault="009E2B77" w:rsidP="00F96B17">
      <w:pPr>
        <w:spacing w:before="240" w:line="240" w:lineRule="auto"/>
        <w:ind w:left="0"/>
        <w:rPr>
          <w:rFonts w:ascii="Times New Roman" w:hAnsi="Times New Roman"/>
          <w:lang w:val="en-US"/>
        </w:rPr>
      </w:pPr>
      <w:r w:rsidRPr="007D770B">
        <w:rPr>
          <w:rFonts w:ascii="Times New Roman" w:hAnsi="Times New Roman"/>
          <w:lang w:val="en-US"/>
        </w:rPr>
        <w:t>Future events, such as changes in legislation and technological developments, are taken into account in estimating provisions where there is sufficient objective evidence that they will occur. In many cases, it is not possible to obtain sufficient evidence that changes in legislation will occur until such changes are enacted.</w:t>
      </w:r>
    </w:p>
    <w:p w14:paraId="0C1CDF34" w14:textId="77777777" w:rsidR="009E2B77" w:rsidRPr="007D770B" w:rsidRDefault="009E2B77" w:rsidP="00F96B17">
      <w:pPr>
        <w:spacing w:before="240" w:line="240" w:lineRule="auto"/>
        <w:ind w:left="0"/>
        <w:rPr>
          <w:rFonts w:ascii="Times New Roman" w:hAnsi="Times New Roman"/>
          <w:lang w:val="en-US"/>
        </w:rPr>
      </w:pPr>
      <w:r w:rsidRPr="007D770B">
        <w:rPr>
          <w:rFonts w:ascii="Times New Roman" w:hAnsi="Times New Roman"/>
          <w:lang w:val="en-US"/>
        </w:rPr>
        <w:t>In estimating provisions, no gain on the expected disposal of assets is taken into account, even if the expected disposal is closely related to the event giving rise to the provision.</w:t>
      </w:r>
    </w:p>
    <w:p w14:paraId="4AAB7C59" w14:textId="77777777" w:rsidR="009E2B77" w:rsidRPr="007D770B" w:rsidRDefault="009E2B77" w:rsidP="00F96B17">
      <w:pPr>
        <w:spacing w:before="240" w:line="240" w:lineRule="auto"/>
        <w:ind w:left="0"/>
        <w:rPr>
          <w:rFonts w:ascii="Times New Roman" w:hAnsi="Times New Roman"/>
          <w:b/>
          <w:lang w:val="en-US"/>
        </w:rPr>
      </w:pPr>
      <w:r w:rsidRPr="007D770B">
        <w:rPr>
          <w:rFonts w:ascii="Times New Roman" w:hAnsi="Times New Roman"/>
          <w:b/>
          <w:lang w:val="en-US"/>
        </w:rPr>
        <w:t>Utilization of reserves and changes in reserves</w:t>
      </w:r>
    </w:p>
    <w:p w14:paraId="2FCE2D7D"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Provisions are required to be reviewed at each reporting date and adjusted to reflect the current best estimate. If it is no longer probable that an outflow of economic benefits will be required to settle the obligation, then the provision should be reversed.</w:t>
      </w:r>
    </w:p>
    <w:p w14:paraId="13B3CF02"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Only those expenses for which the reserve was originally created are charged against it.</w:t>
      </w:r>
    </w:p>
    <w:p w14:paraId="741934D9" w14:textId="77777777" w:rsidR="009E2B77" w:rsidRPr="007D770B" w:rsidRDefault="009E2B77" w:rsidP="00F96B17">
      <w:pPr>
        <w:spacing w:before="240" w:line="240" w:lineRule="auto"/>
        <w:ind w:left="0"/>
        <w:rPr>
          <w:rFonts w:ascii="Times New Roman" w:hAnsi="Times New Roman"/>
          <w:b/>
          <w:lang w:val="en-US"/>
        </w:rPr>
      </w:pPr>
      <w:r w:rsidRPr="007D770B">
        <w:rPr>
          <w:rFonts w:ascii="Times New Roman" w:hAnsi="Times New Roman"/>
          <w:b/>
          <w:lang w:val="en-US"/>
        </w:rPr>
        <w:t>Application of recognition and measurement rules</w:t>
      </w:r>
    </w:p>
    <w:p w14:paraId="060D60B9"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b/>
          <w:i/>
          <w:lang w:val="en-US"/>
        </w:rPr>
        <w:t xml:space="preserve">Future operating losses The </w:t>
      </w:r>
      <w:r w:rsidR="00F9744B" w:rsidRPr="007D770B">
        <w:rPr>
          <w:rFonts w:ascii="Times New Roman" w:hAnsi="Times New Roman"/>
          <w:bCs/>
          <w:iCs/>
          <w:lang w:val="en-US"/>
        </w:rPr>
        <w:t xml:space="preserve">Bank </w:t>
      </w:r>
      <w:r w:rsidRPr="007D770B">
        <w:rPr>
          <w:rFonts w:ascii="Times New Roman" w:hAnsi="Times New Roman"/>
          <w:lang w:val="en-US"/>
        </w:rPr>
        <w:t>does not provide for future operating losses as they do not meet the definition of a liability and the general recognition criteria established for provisions.</w:t>
      </w:r>
    </w:p>
    <w:p w14:paraId="4A443E4C" w14:textId="7DC5326A"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b/>
          <w:i/>
          <w:lang w:val="en-US"/>
        </w:rPr>
        <w:t xml:space="preserve">Onerous contracts The </w:t>
      </w:r>
      <w:r w:rsidR="00F9744B" w:rsidRPr="007D770B">
        <w:rPr>
          <w:rFonts w:ascii="Times New Roman" w:hAnsi="Times New Roman"/>
          <w:bCs/>
          <w:iCs/>
          <w:lang w:val="en-US"/>
        </w:rPr>
        <w:t xml:space="preserve">Bank </w:t>
      </w:r>
      <w:r w:rsidRPr="007D770B">
        <w:rPr>
          <w:rFonts w:ascii="Times New Roman" w:hAnsi="Times New Roman"/>
          <w:lang w:val="en-US"/>
        </w:rPr>
        <w:t xml:space="preserve">establishes provisions for future losses related to onerous contracts. For example, where there is a long-term contract to supply goods to </w:t>
      </w:r>
      <w:r w:rsidR="000F6CC6" w:rsidRPr="007D770B">
        <w:rPr>
          <w:rFonts w:ascii="Times New Roman" w:hAnsi="Times New Roman"/>
          <w:bCs/>
          <w:iCs/>
          <w:lang w:val="en-US"/>
        </w:rPr>
        <w:t xml:space="preserve">the Bank </w:t>
      </w:r>
      <w:r w:rsidRPr="007D770B">
        <w:rPr>
          <w:rFonts w:ascii="Times New Roman" w:hAnsi="Times New Roman"/>
          <w:lang w:val="en-US"/>
        </w:rPr>
        <w:t xml:space="preserve">for which the delivery price is lower than the cost of production, a provision </w:t>
      </w:r>
      <w:r w:rsidRPr="007D770B">
        <w:rPr>
          <w:rFonts w:ascii="Times New Roman" w:hAnsi="Times New Roman"/>
          <w:lang w:val="en-US"/>
        </w:rPr>
        <w:lastRenderedPageBreak/>
        <w:t xml:space="preserve">is made for unrecoverable costs, for example, the lower of a termination fee or the discounted amount of the loss. The </w:t>
      </w:r>
      <w:r w:rsidR="00F9744B" w:rsidRPr="007D770B">
        <w:rPr>
          <w:rFonts w:ascii="Times New Roman" w:hAnsi="Times New Roman"/>
          <w:bCs/>
          <w:iCs/>
          <w:lang w:val="en-US"/>
        </w:rPr>
        <w:t xml:space="preserve">Bank </w:t>
      </w:r>
      <w:r w:rsidRPr="007D770B">
        <w:rPr>
          <w:rFonts w:ascii="Times New Roman" w:hAnsi="Times New Roman"/>
          <w:lang w:val="en-US"/>
        </w:rPr>
        <w:t>recognizes any impairment loss on assets related to an onerous contract before any provision is made.</w:t>
      </w:r>
    </w:p>
    <w:p w14:paraId="3716C014"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b/>
          <w:i/>
          <w:lang w:val="en-US"/>
        </w:rPr>
        <w:t xml:space="preserve">Restructuring </w:t>
      </w:r>
      <w:r w:rsidRPr="007D770B">
        <w:rPr>
          <w:rFonts w:ascii="Times New Roman" w:hAnsi="Times New Roman"/>
          <w:lang w:val="en-US"/>
        </w:rPr>
        <w:t>The following are some examples of events that may fall within the definition of restructuring:</w:t>
      </w:r>
    </w:p>
    <w:p w14:paraId="7ED38A44" w14:textId="77777777" w:rsidR="009E2B77" w:rsidRPr="007D770B" w:rsidRDefault="009E2B77" w:rsidP="00AE698A">
      <w:pPr>
        <w:numPr>
          <w:ilvl w:val="0"/>
          <w:numId w:val="47"/>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the sale or discontinuation of a line of business;</w:t>
      </w:r>
    </w:p>
    <w:p w14:paraId="146C4C17" w14:textId="1BB74B60" w:rsidR="009E2B77" w:rsidRPr="007D770B" w:rsidRDefault="009E2B77" w:rsidP="00AE698A">
      <w:pPr>
        <w:numPr>
          <w:ilvl w:val="0"/>
          <w:numId w:val="47"/>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 xml:space="preserve">closure of business units in a country or </w:t>
      </w:r>
      <w:r w:rsidR="00EE3CCF" w:rsidRPr="007D770B">
        <w:rPr>
          <w:rFonts w:ascii="Times New Roman" w:hAnsi="Times New Roman"/>
          <w:lang w:val="en-US"/>
        </w:rPr>
        <w:t xml:space="preserve">region, </w:t>
      </w:r>
      <w:r w:rsidRPr="007D770B">
        <w:rPr>
          <w:rFonts w:ascii="Times New Roman" w:hAnsi="Times New Roman"/>
          <w:lang w:val="en-US"/>
        </w:rPr>
        <w:t>or relocation of business activities from one country or region to another;</w:t>
      </w:r>
    </w:p>
    <w:p w14:paraId="19AFCBB9" w14:textId="77777777" w:rsidR="009E2B77" w:rsidRPr="007D770B" w:rsidRDefault="009E2B77" w:rsidP="00AE698A">
      <w:pPr>
        <w:numPr>
          <w:ilvl w:val="0"/>
          <w:numId w:val="47"/>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changes in the management structure, such as the elimination of a management level; and</w:t>
      </w:r>
    </w:p>
    <w:p w14:paraId="082748FC" w14:textId="77777777" w:rsidR="009E2B77" w:rsidRPr="007D770B" w:rsidRDefault="009E2B77" w:rsidP="00AE698A">
      <w:pPr>
        <w:numPr>
          <w:ilvl w:val="0"/>
          <w:numId w:val="47"/>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 xml:space="preserve">a fundamental reorganization that has a significant impact on the nature and focus of the </w:t>
      </w:r>
      <w:r w:rsidR="00F9744B" w:rsidRPr="007D770B">
        <w:rPr>
          <w:rFonts w:ascii="Times New Roman" w:hAnsi="Times New Roman"/>
          <w:bCs/>
          <w:iCs/>
          <w:lang w:val="en-US"/>
        </w:rPr>
        <w:t xml:space="preserve">Bank's </w:t>
      </w:r>
      <w:r w:rsidRPr="007D770B">
        <w:rPr>
          <w:rFonts w:ascii="Times New Roman" w:hAnsi="Times New Roman"/>
          <w:lang w:val="en-US"/>
        </w:rPr>
        <w:t xml:space="preserve">operations. </w:t>
      </w:r>
    </w:p>
    <w:p w14:paraId="662797AD" w14:textId="77777777" w:rsidR="009E2B77" w:rsidRPr="007D770B" w:rsidRDefault="009E2B77" w:rsidP="007C658C">
      <w:pPr>
        <w:autoSpaceDE w:val="0"/>
        <w:autoSpaceDN w:val="0"/>
        <w:adjustRightInd w:val="0"/>
        <w:spacing w:before="240" w:line="240" w:lineRule="auto"/>
        <w:ind w:left="360"/>
        <w:rPr>
          <w:rFonts w:ascii="Times New Roman" w:hAnsi="Times New Roman"/>
          <w:lang w:val="en-US"/>
        </w:rPr>
      </w:pPr>
      <w:r w:rsidRPr="007D770B">
        <w:rPr>
          <w:rFonts w:ascii="Times New Roman" w:hAnsi="Times New Roman"/>
          <w:lang w:val="en-US"/>
        </w:rPr>
        <w:t xml:space="preserve">A provision for restructuring costs is recognized only when the general recognition criteria for a provision are met and, in particular, a provision for restructuring costs arises only when the </w:t>
      </w:r>
      <w:r w:rsidR="000F6CC6" w:rsidRPr="007D770B">
        <w:rPr>
          <w:rFonts w:ascii="Times New Roman" w:hAnsi="Times New Roman"/>
          <w:lang w:val="en-US"/>
        </w:rPr>
        <w:t>Bank</w:t>
      </w:r>
      <w:r w:rsidRPr="007D770B">
        <w:rPr>
          <w:rFonts w:ascii="Times New Roman" w:hAnsi="Times New Roman"/>
          <w:lang w:val="en-US"/>
        </w:rPr>
        <w:t>:</w:t>
      </w:r>
    </w:p>
    <w:p w14:paraId="17F2C787" w14:textId="77777777" w:rsidR="009E2B77" w:rsidRPr="007D770B" w:rsidRDefault="009E2B77" w:rsidP="00AE698A">
      <w:pPr>
        <w:numPr>
          <w:ilvl w:val="0"/>
          <w:numId w:val="47"/>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Has a detailed formal restructuring plan in place; and</w:t>
      </w:r>
    </w:p>
    <w:p w14:paraId="57DD4D4C" w14:textId="77777777" w:rsidR="009E2B77" w:rsidRPr="007D770B" w:rsidRDefault="005C46E8" w:rsidP="00AE698A">
      <w:pPr>
        <w:numPr>
          <w:ilvl w:val="0"/>
          <w:numId w:val="47"/>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 xml:space="preserve">created a </w:t>
      </w:r>
      <w:r w:rsidR="009E2B77" w:rsidRPr="007D770B">
        <w:rPr>
          <w:rFonts w:ascii="Times New Roman" w:hAnsi="Times New Roman"/>
          <w:lang w:val="en-US"/>
        </w:rPr>
        <w:t xml:space="preserve">reasonable expectation among those covered by the restructuring plan that the </w:t>
      </w:r>
      <w:r w:rsidR="00F9744B" w:rsidRPr="007D770B">
        <w:rPr>
          <w:rFonts w:ascii="Times New Roman" w:hAnsi="Times New Roman"/>
          <w:bCs/>
          <w:iCs/>
          <w:lang w:val="en-US"/>
        </w:rPr>
        <w:t xml:space="preserve">Bank </w:t>
      </w:r>
      <w:r w:rsidR="009E2B77" w:rsidRPr="007D770B">
        <w:rPr>
          <w:rFonts w:ascii="Times New Roman" w:hAnsi="Times New Roman"/>
          <w:lang w:val="en-US"/>
        </w:rPr>
        <w:t>would undertake the restructuring by initiating the restructuring plan or by announcing its main features.</w:t>
      </w:r>
    </w:p>
    <w:p w14:paraId="5FEB52D8"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If the restructuring entails the sale of the business, no obligation to sell arises until a legally enforceable sale agreement is signed.</w:t>
      </w:r>
    </w:p>
    <w:p w14:paraId="61D61A6F" w14:textId="77777777" w:rsidR="009E2B77" w:rsidRPr="007D770B" w:rsidRDefault="009E2B77" w:rsidP="00F96B17">
      <w:pPr>
        <w:spacing w:before="240" w:line="240" w:lineRule="auto"/>
        <w:ind w:left="0"/>
        <w:rPr>
          <w:rFonts w:ascii="Times New Roman" w:hAnsi="Times New Roman"/>
          <w:b/>
          <w:lang w:val="en-US"/>
        </w:rPr>
      </w:pPr>
      <w:r w:rsidRPr="007D770B">
        <w:rPr>
          <w:rFonts w:ascii="Times New Roman" w:hAnsi="Times New Roman"/>
          <w:b/>
          <w:lang w:val="en-US"/>
        </w:rPr>
        <w:t>Accounting for decommissioning provisions</w:t>
      </w:r>
    </w:p>
    <w:p w14:paraId="6DC0F8BA" w14:textId="06C2A9BD"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 xml:space="preserve">Provisions for decommissioning costs are recognized in full on a discounted basis </w:t>
      </w:r>
      <w:r w:rsidR="00EE3CCF" w:rsidRPr="007D770B">
        <w:rPr>
          <w:rFonts w:ascii="Times New Roman" w:hAnsi="Times New Roman"/>
          <w:lang w:val="en-US"/>
        </w:rPr>
        <w:t xml:space="preserve">using a </w:t>
      </w:r>
      <w:r w:rsidRPr="007D770B">
        <w:rPr>
          <w:rFonts w:ascii="Times New Roman" w:hAnsi="Times New Roman"/>
          <w:lang w:val="en-US"/>
        </w:rPr>
        <w:t>pre-tax rate that reflects current market assessments of the time value of money and the risks specific to the liability. The amount recognized is the present value of estimated future costs, determined in accordance with the terms of the contract, or based on expert opinion or as required by law, based on management's best estimates and available historical data. An increase in the provision reflecting the time value of money is included in finance costs.</w:t>
      </w:r>
    </w:p>
    <w:p w14:paraId="1F12E0B2"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In accounting, the present value of the asset retirement costs (equivalent to the amount of the provision on initial recognition) is included in the cost of the asset, which is subsequently depreciated together with the cost of the asset.</w:t>
      </w:r>
    </w:p>
    <w:p w14:paraId="3242E083"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Any change in the present value of the estimated costs is recognized as an adjustment to the provision and asset, including changes arising from exchange differences, if the amount of the provision is denominated in a foreign currency. In this case, the amount of the provision is translated at the market exchange rate at the date of the financial statements.</w:t>
      </w:r>
    </w:p>
    <w:p w14:paraId="4AABBEE2" w14:textId="609F43AC" w:rsidR="009E2B77" w:rsidRPr="007D770B" w:rsidRDefault="00FB0C0D" w:rsidP="00E61D21">
      <w:pPr>
        <w:pStyle w:val="3"/>
        <w:rPr>
          <w:lang w:val="en-US"/>
        </w:rPr>
      </w:pPr>
      <w:bookmarkStart w:id="209" w:name="_Toc248586862"/>
      <w:bookmarkStart w:id="210" w:name="_Toc271279852"/>
      <w:bookmarkStart w:id="211" w:name="_Toc168502064"/>
      <w:r w:rsidRPr="007D770B">
        <w:rPr>
          <w:lang w:val="en-US"/>
        </w:rPr>
        <w:t>7</w:t>
      </w:r>
      <w:r w:rsidR="009E2B77" w:rsidRPr="007D770B">
        <w:rPr>
          <w:lang w:val="en-US"/>
        </w:rPr>
        <w:t>.4 Disclosure of information</w:t>
      </w:r>
      <w:bookmarkEnd w:id="209"/>
      <w:bookmarkEnd w:id="210"/>
      <w:bookmarkEnd w:id="211"/>
    </w:p>
    <w:p w14:paraId="39C6ADE8"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 xml:space="preserve">For each class of provisions, the </w:t>
      </w:r>
      <w:r w:rsidR="00F9744B" w:rsidRPr="007D770B">
        <w:rPr>
          <w:rFonts w:ascii="Times New Roman" w:hAnsi="Times New Roman"/>
          <w:bCs/>
          <w:iCs/>
          <w:lang w:val="en-US"/>
        </w:rPr>
        <w:t xml:space="preserve">Bank </w:t>
      </w:r>
      <w:r w:rsidRPr="007D770B">
        <w:rPr>
          <w:rFonts w:ascii="Times New Roman" w:hAnsi="Times New Roman"/>
          <w:lang w:val="en-US"/>
        </w:rPr>
        <w:t>discloses the following information for the reporting period:</w:t>
      </w:r>
    </w:p>
    <w:p w14:paraId="160A73E7" w14:textId="510AB2D5" w:rsidR="009E2B77" w:rsidRPr="007D770B" w:rsidRDefault="009E2B77" w:rsidP="00AE698A">
      <w:pPr>
        <w:numPr>
          <w:ilvl w:val="0"/>
          <w:numId w:val="47"/>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balance sheet amount at the beginning and end of the period;</w:t>
      </w:r>
    </w:p>
    <w:p w14:paraId="2A0D177F" w14:textId="77777777" w:rsidR="009E2B77" w:rsidRPr="007D770B" w:rsidRDefault="009E2B77" w:rsidP="00AE698A">
      <w:pPr>
        <w:numPr>
          <w:ilvl w:val="0"/>
          <w:numId w:val="47"/>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additional reserves created during the period, including increases in existing reserves;</w:t>
      </w:r>
    </w:p>
    <w:p w14:paraId="534B2DEA" w14:textId="77777777" w:rsidR="009E2B77" w:rsidRPr="007D770B" w:rsidRDefault="009E2B77" w:rsidP="00AE698A">
      <w:pPr>
        <w:numPr>
          <w:ilvl w:val="0"/>
          <w:numId w:val="47"/>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amounts used (written off against the provision) during the period;</w:t>
      </w:r>
    </w:p>
    <w:p w14:paraId="062D4E7E" w14:textId="77777777" w:rsidR="009E2B77" w:rsidRPr="007D770B" w:rsidRDefault="009E2B77" w:rsidP="00AE698A">
      <w:pPr>
        <w:numPr>
          <w:ilvl w:val="0"/>
          <w:numId w:val="47"/>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unused amounts reversed during the period;</w:t>
      </w:r>
    </w:p>
    <w:p w14:paraId="1328DB25" w14:textId="77777777" w:rsidR="009E2B77" w:rsidRPr="007D770B" w:rsidRDefault="009E2B77" w:rsidP="00AE698A">
      <w:pPr>
        <w:numPr>
          <w:ilvl w:val="0"/>
          <w:numId w:val="47"/>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the increase during the period in the discounted amount arising from the passage of time and the result of any changes in the discount rate.</w:t>
      </w:r>
    </w:p>
    <w:p w14:paraId="216BC3BB" w14:textId="77777777" w:rsidR="009E2B77" w:rsidRPr="007D770B" w:rsidRDefault="009E2B77" w:rsidP="00F96B17">
      <w:pPr>
        <w:tabs>
          <w:tab w:val="left" w:pos="0"/>
          <w:tab w:val="left" w:pos="360"/>
        </w:tabs>
        <w:spacing w:before="240" w:line="240" w:lineRule="auto"/>
        <w:ind w:left="0" w:right="29"/>
        <w:rPr>
          <w:rFonts w:ascii="Times New Roman" w:hAnsi="Times New Roman"/>
          <w:lang w:val="en-US"/>
        </w:rPr>
      </w:pPr>
      <w:r w:rsidRPr="007D770B">
        <w:rPr>
          <w:rFonts w:ascii="Times New Roman" w:hAnsi="Times New Roman"/>
          <w:lang w:val="en-US"/>
        </w:rPr>
        <w:t>Comparative information is not required.</w:t>
      </w:r>
    </w:p>
    <w:p w14:paraId="3E4093A2" w14:textId="77777777" w:rsidR="009E2B77" w:rsidRPr="007D770B" w:rsidRDefault="009E2B77" w:rsidP="00F96B17">
      <w:pPr>
        <w:tabs>
          <w:tab w:val="left" w:pos="0"/>
          <w:tab w:val="left" w:pos="360"/>
        </w:tabs>
        <w:spacing w:before="240" w:line="240" w:lineRule="auto"/>
        <w:ind w:left="0" w:right="29"/>
        <w:rPr>
          <w:rFonts w:ascii="Times New Roman" w:hAnsi="Times New Roman"/>
          <w:lang w:val="en-US"/>
        </w:rPr>
      </w:pPr>
      <w:r w:rsidRPr="007D770B">
        <w:rPr>
          <w:rFonts w:ascii="Times New Roman" w:hAnsi="Times New Roman"/>
          <w:lang w:val="en-US"/>
        </w:rPr>
        <w:t xml:space="preserve">For each class of provisions, the </w:t>
      </w:r>
      <w:r w:rsidR="00F9744B" w:rsidRPr="007D770B">
        <w:rPr>
          <w:rFonts w:ascii="Times New Roman" w:hAnsi="Times New Roman"/>
          <w:bCs/>
          <w:iCs/>
          <w:lang w:val="en-US"/>
        </w:rPr>
        <w:t xml:space="preserve">Bank </w:t>
      </w:r>
      <w:r w:rsidRPr="007D770B">
        <w:rPr>
          <w:rFonts w:ascii="Times New Roman" w:hAnsi="Times New Roman"/>
          <w:lang w:val="en-US"/>
        </w:rPr>
        <w:t>also discloses the following information:</w:t>
      </w:r>
    </w:p>
    <w:p w14:paraId="4E6C7841" w14:textId="77777777" w:rsidR="009E2B77" w:rsidRPr="007D770B" w:rsidRDefault="009E2B77" w:rsidP="00AE698A">
      <w:pPr>
        <w:numPr>
          <w:ilvl w:val="0"/>
          <w:numId w:val="47"/>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A brief description of the nature of the obligation and the expected timing of the associated outflow of resources embodying economic benefits;</w:t>
      </w:r>
    </w:p>
    <w:p w14:paraId="324E3D9D" w14:textId="77777777" w:rsidR="009E2B77" w:rsidRPr="007D770B" w:rsidRDefault="009E2B77" w:rsidP="00AE698A">
      <w:pPr>
        <w:numPr>
          <w:ilvl w:val="0"/>
          <w:numId w:val="47"/>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lastRenderedPageBreak/>
        <w:t>An indication of the uncertainties relating to the amount or timing of such an outflow of resources;</w:t>
      </w:r>
    </w:p>
    <w:p w14:paraId="7E9E8E5E" w14:textId="77777777" w:rsidR="009E2B77" w:rsidRPr="007D770B" w:rsidRDefault="009E2B77" w:rsidP="00AE698A">
      <w:pPr>
        <w:numPr>
          <w:ilvl w:val="0"/>
          <w:numId w:val="47"/>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the amount of any expected consideration, with an indication of the amount of the asset that has been recognized for that expected consideration.</w:t>
      </w:r>
    </w:p>
    <w:p w14:paraId="23C8A04A" w14:textId="77777777" w:rsidR="009E2B77" w:rsidRPr="007D770B" w:rsidRDefault="009E2B77" w:rsidP="00F96B17">
      <w:pPr>
        <w:tabs>
          <w:tab w:val="left" w:pos="0"/>
          <w:tab w:val="left" w:pos="360"/>
        </w:tabs>
        <w:spacing w:before="240" w:line="240" w:lineRule="auto"/>
        <w:ind w:left="0" w:right="29"/>
        <w:rPr>
          <w:rFonts w:ascii="Times New Roman" w:hAnsi="Times New Roman"/>
          <w:lang w:val="en-US"/>
        </w:rPr>
      </w:pPr>
      <w:r w:rsidRPr="007D770B">
        <w:rPr>
          <w:rFonts w:ascii="Times New Roman" w:hAnsi="Times New Roman"/>
          <w:lang w:val="en-US"/>
        </w:rPr>
        <w:t xml:space="preserve">In the notes to the financial statements for each class of contingent liability at the reporting date, the </w:t>
      </w:r>
      <w:r w:rsidR="00F9744B" w:rsidRPr="007D770B">
        <w:rPr>
          <w:rFonts w:ascii="Times New Roman" w:hAnsi="Times New Roman"/>
          <w:lang w:val="en-US"/>
        </w:rPr>
        <w:t xml:space="preserve">Bank </w:t>
      </w:r>
      <w:r w:rsidRPr="007D770B">
        <w:rPr>
          <w:rFonts w:ascii="Times New Roman" w:hAnsi="Times New Roman"/>
          <w:lang w:val="en-US"/>
        </w:rPr>
        <w:t>discloses a brief description of the contingent liability and, if practicable:</w:t>
      </w:r>
    </w:p>
    <w:p w14:paraId="62B9FF56" w14:textId="77777777" w:rsidR="009E2B77" w:rsidRPr="007D770B" w:rsidRDefault="009E2B77" w:rsidP="00AE698A">
      <w:pPr>
        <w:numPr>
          <w:ilvl w:val="0"/>
          <w:numId w:val="47"/>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An indication of uncertainties related to the amount or timing of the withdrawal of resources;</w:t>
      </w:r>
    </w:p>
    <w:p w14:paraId="148578E3" w14:textId="77777777" w:rsidR="009E2B77" w:rsidRPr="007D770B" w:rsidRDefault="009E2B77" w:rsidP="00AE698A">
      <w:pPr>
        <w:numPr>
          <w:ilvl w:val="0"/>
          <w:numId w:val="47"/>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approximate value of the financial effect;</w:t>
      </w:r>
    </w:p>
    <w:p w14:paraId="5F7B4C7E" w14:textId="77777777" w:rsidR="009E2B77" w:rsidRPr="007D770B" w:rsidRDefault="009E2B77" w:rsidP="00AE698A">
      <w:pPr>
        <w:numPr>
          <w:ilvl w:val="0"/>
          <w:numId w:val="47"/>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the possibility of any reimbursement.</w:t>
      </w:r>
    </w:p>
    <w:p w14:paraId="1832682D"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 xml:space="preserve">For contingent assets, </w:t>
      </w:r>
      <w:r w:rsidR="00F9744B" w:rsidRPr="007D770B">
        <w:rPr>
          <w:rFonts w:ascii="Times New Roman" w:hAnsi="Times New Roman"/>
          <w:bCs/>
          <w:iCs/>
          <w:lang w:val="en-US"/>
        </w:rPr>
        <w:t xml:space="preserve">the Bank </w:t>
      </w:r>
      <w:r w:rsidRPr="007D770B">
        <w:rPr>
          <w:rFonts w:ascii="Times New Roman" w:hAnsi="Times New Roman"/>
          <w:lang w:val="en-US"/>
        </w:rPr>
        <w:t>discloses a brief description of the nature of the contingent assets at the reporting date and, where practicable, an estimate of their financial effect.</w:t>
      </w:r>
    </w:p>
    <w:p w14:paraId="60D33720" w14:textId="77777777" w:rsidR="00E9078E"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In extremely rare cases where disclosure of the information (in whole or in part) could reasonably be expected to seriously prejudice the Bank'</w:t>
      </w:r>
      <w:r w:rsidR="00F9744B" w:rsidRPr="007D770B">
        <w:rPr>
          <w:rFonts w:ascii="Times New Roman" w:hAnsi="Times New Roman"/>
          <w:bCs/>
          <w:iCs/>
          <w:lang w:val="en-US"/>
        </w:rPr>
        <w:t>s</w:t>
      </w:r>
      <w:r w:rsidRPr="007D770B">
        <w:rPr>
          <w:rFonts w:ascii="Times New Roman" w:hAnsi="Times New Roman"/>
          <w:lang w:val="en-US"/>
        </w:rPr>
        <w:t xml:space="preserve"> position in a dispute with other parties regarding a provision, contingent liability or contingent asset, the </w:t>
      </w:r>
      <w:r w:rsidR="00F9744B" w:rsidRPr="007D770B">
        <w:rPr>
          <w:rFonts w:ascii="Times New Roman" w:hAnsi="Times New Roman"/>
          <w:bCs/>
          <w:iCs/>
          <w:lang w:val="en-US"/>
        </w:rPr>
        <w:t xml:space="preserve">Bank </w:t>
      </w:r>
      <w:r w:rsidRPr="007D770B">
        <w:rPr>
          <w:rFonts w:ascii="Times New Roman" w:hAnsi="Times New Roman"/>
          <w:lang w:val="en-US"/>
        </w:rPr>
        <w:t xml:space="preserve">may choose not to disclose the information required above. Instead, the </w:t>
      </w:r>
      <w:r w:rsidR="00F9744B" w:rsidRPr="007D770B">
        <w:rPr>
          <w:rFonts w:ascii="Times New Roman" w:hAnsi="Times New Roman"/>
          <w:bCs/>
          <w:iCs/>
          <w:lang w:val="en-US"/>
        </w:rPr>
        <w:t xml:space="preserve">Bank </w:t>
      </w:r>
      <w:r w:rsidRPr="007D770B">
        <w:rPr>
          <w:rFonts w:ascii="Times New Roman" w:hAnsi="Times New Roman"/>
          <w:lang w:val="en-US"/>
        </w:rPr>
        <w:t>discloses the general nature of the dispute along with an indication that such information could not be disclosed and the reasons why this was not done.</w:t>
      </w:r>
    </w:p>
    <w:p w14:paraId="21F6A9FB" w14:textId="77777777" w:rsidR="00E9078E" w:rsidRPr="007D770B" w:rsidRDefault="00E9078E" w:rsidP="00F96B17">
      <w:pPr>
        <w:autoSpaceDE w:val="0"/>
        <w:autoSpaceDN w:val="0"/>
        <w:adjustRightInd w:val="0"/>
        <w:spacing w:before="240" w:line="240" w:lineRule="auto"/>
        <w:ind w:left="0"/>
        <w:rPr>
          <w:rFonts w:ascii="Times New Roman" w:hAnsi="Times New Roman"/>
          <w:lang w:val="en-US"/>
        </w:rPr>
      </w:pPr>
    </w:p>
    <w:p w14:paraId="0EE3D67B" w14:textId="77777777" w:rsidR="00E9078E" w:rsidRPr="007D770B" w:rsidRDefault="00E9078E" w:rsidP="00F96B17">
      <w:pPr>
        <w:autoSpaceDE w:val="0"/>
        <w:autoSpaceDN w:val="0"/>
        <w:adjustRightInd w:val="0"/>
        <w:spacing w:before="240" w:line="240" w:lineRule="auto"/>
        <w:ind w:left="0"/>
        <w:rPr>
          <w:rFonts w:ascii="Times New Roman" w:hAnsi="Times New Roman"/>
          <w:lang w:val="en-US"/>
        </w:rPr>
        <w:sectPr w:rsidR="00E9078E" w:rsidRPr="007D770B" w:rsidSect="000610F9">
          <w:headerReference w:type="even" r:id="rId49"/>
          <w:headerReference w:type="default" r:id="rId50"/>
          <w:headerReference w:type="first" r:id="rId51"/>
          <w:pgSz w:w="11906" w:h="16838"/>
          <w:pgMar w:top="1268" w:right="680" w:bottom="567" w:left="1134" w:header="510" w:footer="494" w:gutter="0"/>
          <w:cols w:space="708"/>
          <w:titlePg/>
          <w:docGrid w:linePitch="360"/>
        </w:sectPr>
      </w:pPr>
    </w:p>
    <w:p w14:paraId="55A7ED6C" w14:textId="6A4BDDAE" w:rsidR="009E2B77" w:rsidRPr="007D770B" w:rsidRDefault="009E2B77" w:rsidP="009B369C">
      <w:pPr>
        <w:pStyle w:val="2"/>
        <w:keepNext w:val="0"/>
        <w:keepLines w:val="0"/>
        <w:pageBreakBefore/>
        <w:spacing w:before="240"/>
        <w:jc w:val="both"/>
        <w:rPr>
          <w:rFonts w:ascii="Times New Roman" w:hAnsi="Times New Roman"/>
          <w:szCs w:val="20"/>
          <w:lang w:val="en-US"/>
        </w:rPr>
      </w:pPr>
      <w:bookmarkStart w:id="212" w:name="_Toc168502065"/>
      <w:bookmarkStart w:id="213" w:name="_Toc271279854"/>
      <w:r w:rsidRPr="007D770B">
        <w:rPr>
          <w:rFonts w:ascii="Times New Roman" w:hAnsi="Times New Roman"/>
          <w:szCs w:val="20"/>
          <w:lang w:val="en-US"/>
        </w:rPr>
        <w:lastRenderedPageBreak/>
        <w:t xml:space="preserve">Section </w:t>
      </w:r>
      <w:r w:rsidR="00FB0C0D" w:rsidRPr="007D770B">
        <w:rPr>
          <w:rFonts w:ascii="Times New Roman" w:hAnsi="Times New Roman"/>
          <w:szCs w:val="20"/>
          <w:lang w:val="en-US"/>
        </w:rPr>
        <w:t>8</w:t>
      </w:r>
      <w:r w:rsidRPr="007D770B">
        <w:rPr>
          <w:rFonts w:ascii="Times New Roman" w:hAnsi="Times New Roman"/>
          <w:szCs w:val="20"/>
          <w:lang w:val="en-US"/>
        </w:rPr>
        <w:t>. Employee benefits (IAS 19)</w:t>
      </w:r>
      <w:bookmarkEnd w:id="212"/>
    </w:p>
    <w:p w14:paraId="264C1FAD" w14:textId="5F43D9E1" w:rsidR="009E2B77" w:rsidRPr="007D770B" w:rsidRDefault="00FB0C0D" w:rsidP="00E61D21">
      <w:pPr>
        <w:pStyle w:val="3"/>
        <w:rPr>
          <w:lang w:val="en-US"/>
        </w:rPr>
      </w:pPr>
      <w:bookmarkStart w:id="214" w:name="_Toc168502066"/>
      <w:r w:rsidRPr="007D770B">
        <w:rPr>
          <w:lang w:val="en-US"/>
        </w:rPr>
        <w:t>8</w:t>
      </w:r>
      <w:r w:rsidR="009E2B77" w:rsidRPr="007D770B">
        <w:rPr>
          <w:lang w:val="en-US"/>
        </w:rPr>
        <w:t>.1 General provisions</w:t>
      </w:r>
      <w:bookmarkEnd w:id="213"/>
      <w:bookmarkEnd w:id="214"/>
    </w:p>
    <w:p w14:paraId="516808B6" w14:textId="77777777" w:rsidR="009E2B77" w:rsidRPr="007D770B" w:rsidRDefault="009E2B77" w:rsidP="00C05020">
      <w:pPr>
        <w:pStyle w:val="afffc"/>
        <w:spacing w:before="240" w:beforeAutospacing="0" w:after="240" w:afterAutospacing="0"/>
        <w:ind w:right="34"/>
        <w:jc w:val="both"/>
        <w:rPr>
          <w:rFonts w:ascii="Times New Roman" w:eastAsia="Calibri" w:hAnsi="Times New Roman"/>
          <w:color w:val="auto"/>
          <w:sz w:val="20"/>
          <w:szCs w:val="20"/>
        </w:rPr>
      </w:pPr>
      <w:r w:rsidRPr="007D770B">
        <w:rPr>
          <w:rFonts w:ascii="Times New Roman" w:eastAsia="Calibri" w:hAnsi="Times New Roman"/>
          <w:color w:val="auto"/>
          <w:sz w:val="20"/>
          <w:szCs w:val="20"/>
        </w:rPr>
        <w:t xml:space="preserve">This section applies to all employee benefits, including those provided under formalized plans or other formalized agreements between the </w:t>
      </w:r>
      <w:r w:rsidR="00F9744B" w:rsidRPr="007D770B">
        <w:rPr>
          <w:rFonts w:ascii="Times New Roman" w:eastAsia="Calibri" w:hAnsi="Times New Roman"/>
          <w:color w:val="auto"/>
          <w:sz w:val="20"/>
          <w:szCs w:val="20"/>
        </w:rPr>
        <w:t xml:space="preserve">Bank </w:t>
      </w:r>
      <w:r w:rsidRPr="007D770B">
        <w:rPr>
          <w:rFonts w:ascii="Times New Roman" w:eastAsia="Calibri" w:hAnsi="Times New Roman"/>
          <w:color w:val="auto"/>
          <w:sz w:val="20"/>
          <w:szCs w:val="20"/>
        </w:rPr>
        <w:t xml:space="preserve">and </w:t>
      </w:r>
      <w:r w:rsidR="00F57317" w:rsidRPr="007D770B">
        <w:rPr>
          <w:rFonts w:ascii="Times New Roman" w:eastAsia="Calibri" w:hAnsi="Times New Roman"/>
          <w:color w:val="auto"/>
          <w:sz w:val="20"/>
          <w:szCs w:val="20"/>
        </w:rPr>
        <w:t xml:space="preserve">its </w:t>
      </w:r>
      <w:r w:rsidRPr="007D770B">
        <w:rPr>
          <w:rFonts w:ascii="Times New Roman" w:eastAsia="Calibri" w:hAnsi="Times New Roman"/>
          <w:color w:val="auto"/>
          <w:sz w:val="20"/>
          <w:szCs w:val="20"/>
        </w:rPr>
        <w:t>employees, groups of employees, or their representatives</w:t>
      </w:r>
    </w:p>
    <w:p w14:paraId="1F23184B" w14:textId="77777777" w:rsidR="009E2B77" w:rsidRPr="002D4EA3" w:rsidRDefault="009E2B77" w:rsidP="00F96B17">
      <w:pPr>
        <w:spacing w:before="240" w:line="240" w:lineRule="auto"/>
        <w:ind w:left="0"/>
        <w:rPr>
          <w:rFonts w:ascii="Times New Roman" w:hAnsi="Times New Roman"/>
        </w:rPr>
      </w:pPr>
      <w:r w:rsidRPr="002D4EA3">
        <w:rPr>
          <w:rFonts w:ascii="Times New Roman" w:hAnsi="Times New Roman"/>
        </w:rPr>
        <w:t xml:space="preserve">Employee benefits </w:t>
      </w:r>
      <w:r w:rsidR="000D65CA" w:rsidRPr="002D4EA3">
        <w:rPr>
          <w:rFonts w:ascii="Times New Roman" w:hAnsi="Times New Roman"/>
        </w:rPr>
        <w:t>may include</w:t>
      </w:r>
      <w:r w:rsidR="007535A9">
        <w:rPr>
          <w:rFonts w:ascii="Times New Roman" w:hAnsi="Times New Roman"/>
        </w:rPr>
        <w:t>,</w:t>
      </w:r>
    </w:p>
    <w:p w14:paraId="2067B77C" w14:textId="77777777" w:rsidR="009E2B77" w:rsidRPr="007D770B" w:rsidRDefault="009E2B77" w:rsidP="00AE698A">
      <w:pPr>
        <w:numPr>
          <w:ilvl w:val="0"/>
          <w:numId w:val="142"/>
        </w:numPr>
        <w:spacing w:before="240" w:line="240" w:lineRule="auto"/>
        <w:rPr>
          <w:rFonts w:ascii="Times New Roman" w:hAnsi="Times New Roman"/>
          <w:lang w:val="en-US"/>
        </w:rPr>
      </w:pPr>
      <w:r w:rsidRPr="007D770B">
        <w:rPr>
          <w:rFonts w:ascii="Times New Roman" w:hAnsi="Times New Roman"/>
          <w:lang w:val="en-US"/>
        </w:rPr>
        <w:t xml:space="preserve">short-term employee benefits, such as wages, social security contributions, paid annual leave and </w:t>
      </w:r>
      <w:r w:rsidR="000434DC" w:rsidRPr="007D770B">
        <w:rPr>
          <w:rFonts w:ascii="Times New Roman" w:hAnsi="Times New Roman"/>
          <w:lang w:val="en-US"/>
        </w:rPr>
        <w:t xml:space="preserve">paid </w:t>
      </w:r>
      <w:r w:rsidRPr="007D770B">
        <w:rPr>
          <w:rFonts w:ascii="Times New Roman" w:hAnsi="Times New Roman"/>
          <w:lang w:val="en-US"/>
        </w:rPr>
        <w:t xml:space="preserve">sick </w:t>
      </w:r>
      <w:r w:rsidR="000434DC" w:rsidRPr="007D770B">
        <w:rPr>
          <w:rFonts w:ascii="Times New Roman" w:hAnsi="Times New Roman"/>
          <w:lang w:val="en-US"/>
        </w:rPr>
        <w:t>time</w:t>
      </w:r>
      <w:r w:rsidRPr="007D770B">
        <w:rPr>
          <w:rFonts w:ascii="Times New Roman" w:hAnsi="Times New Roman"/>
          <w:lang w:val="en-US"/>
        </w:rPr>
        <w:t xml:space="preserve">, profit-sharing and bonuses, and non-cash benefits (such as health care, housing and motor vehicles, and free or subsidized goods or services) for </w:t>
      </w:r>
      <w:r w:rsidR="00C532EC" w:rsidRPr="007D770B">
        <w:rPr>
          <w:rFonts w:ascii="Times New Roman" w:hAnsi="Times New Roman"/>
          <w:lang w:val="en-US"/>
        </w:rPr>
        <w:t xml:space="preserve">currently employed employees, </w:t>
      </w:r>
      <w:r w:rsidRPr="007D770B">
        <w:rPr>
          <w:rFonts w:ascii="Times New Roman" w:hAnsi="Times New Roman"/>
          <w:lang w:val="en-US"/>
        </w:rPr>
        <w:t>the full payment of which is expected before the expiration of twelve months after the end of the annual reporting period in which the employees rendered the related service</w:t>
      </w:r>
    </w:p>
    <w:p w14:paraId="45F6D967" w14:textId="77777777" w:rsidR="009E2B77" w:rsidRPr="007D770B" w:rsidRDefault="009E2B77" w:rsidP="00F96B17">
      <w:pPr>
        <w:spacing w:before="240" w:line="240" w:lineRule="auto"/>
        <w:ind w:left="0"/>
        <w:rPr>
          <w:rFonts w:ascii="Times New Roman" w:hAnsi="Times New Roman"/>
          <w:lang w:val="en-US"/>
        </w:rPr>
      </w:pPr>
      <w:r w:rsidRPr="007D770B">
        <w:rPr>
          <w:rFonts w:ascii="Times New Roman" w:hAnsi="Times New Roman"/>
          <w:lang w:val="en-US"/>
        </w:rPr>
        <w:t xml:space="preserve">Because each of the categories </w:t>
      </w:r>
      <w:r w:rsidR="00C9314A" w:rsidRPr="007D770B">
        <w:rPr>
          <w:rFonts w:ascii="Times New Roman" w:hAnsi="Times New Roman"/>
          <w:lang w:val="en-US"/>
        </w:rPr>
        <w:t xml:space="preserve">above </w:t>
      </w:r>
      <w:r w:rsidRPr="007D770B">
        <w:rPr>
          <w:rFonts w:ascii="Times New Roman" w:hAnsi="Times New Roman"/>
          <w:lang w:val="en-US"/>
        </w:rPr>
        <w:t>has different characteristics, this section establishes separate rules for each category.</w:t>
      </w:r>
    </w:p>
    <w:p w14:paraId="29FF1797" w14:textId="3BA778F8" w:rsidR="009E2B77" w:rsidRPr="007D770B" w:rsidRDefault="00FB0C0D" w:rsidP="00E61D21">
      <w:pPr>
        <w:pStyle w:val="3"/>
        <w:rPr>
          <w:lang w:val="en-US"/>
        </w:rPr>
      </w:pPr>
      <w:bookmarkStart w:id="215" w:name="wp999105"/>
      <w:bookmarkStart w:id="216" w:name="wp999106"/>
      <w:bookmarkStart w:id="217" w:name="wp999107"/>
      <w:bookmarkStart w:id="218" w:name="_Toc271279855"/>
      <w:bookmarkStart w:id="219" w:name="_Toc168502067"/>
      <w:bookmarkStart w:id="220" w:name="_Toc248586866"/>
      <w:bookmarkEnd w:id="215"/>
      <w:bookmarkEnd w:id="216"/>
      <w:bookmarkEnd w:id="217"/>
      <w:r w:rsidRPr="007D770B">
        <w:rPr>
          <w:lang w:val="en-US"/>
        </w:rPr>
        <w:t>8</w:t>
      </w:r>
      <w:r w:rsidR="009E2B77" w:rsidRPr="007D770B">
        <w:rPr>
          <w:lang w:val="en-US"/>
        </w:rPr>
        <w:t>.2 Definitions</w:t>
      </w:r>
      <w:bookmarkEnd w:id="218"/>
      <w:bookmarkEnd w:id="219"/>
    </w:p>
    <w:p w14:paraId="3A38C729" w14:textId="77777777" w:rsidR="009E2B77" w:rsidRPr="007D770B" w:rsidRDefault="009E2B77" w:rsidP="00F96B17">
      <w:pPr>
        <w:pStyle w:val="afffc"/>
        <w:spacing w:before="240" w:beforeAutospacing="0" w:after="240" w:afterAutospacing="0"/>
        <w:ind w:right="34"/>
        <w:jc w:val="both"/>
        <w:rPr>
          <w:rFonts w:ascii="Times New Roman" w:hAnsi="Times New Roman"/>
          <w:color w:val="auto"/>
          <w:sz w:val="20"/>
          <w:szCs w:val="20"/>
        </w:rPr>
      </w:pPr>
      <w:r w:rsidRPr="007D770B">
        <w:rPr>
          <w:rFonts w:ascii="Times New Roman" w:hAnsi="Times New Roman"/>
          <w:color w:val="auto"/>
          <w:sz w:val="20"/>
          <w:szCs w:val="20"/>
        </w:rPr>
        <w:t>The following terms are used in this section with the meanings indicated:</w:t>
      </w:r>
    </w:p>
    <w:p w14:paraId="2F3D386D" w14:textId="77777777" w:rsidR="009E2B77" w:rsidRPr="007D770B" w:rsidRDefault="009E2B77" w:rsidP="00F96B17">
      <w:pPr>
        <w:pStyle w:val="afffc"/>
        <w:spacing w:before="240" w:beforeAutospacing="0" w:after="240" w:afterAutospacing="0"/>
        <w:ind w:right="34"/>
        <w:jc w:val="both"/>
        <w:rPr>
          <w:rFonts w:ascii="Times New Roman" w:hAnsi="Times New Roman"/>
          <w:i/>
          <w:color w:val="auto"/>
          <w:sz w:val="20"/>
          <w:szCs w:val="20"/>
        </w:rPr>
      </w:pPr>
      <w:r w:rsidRPr="007D770B">
        <w:rPr>
          <w:rFonts w:ascii="Times New Roman" w:hAnsi="Times New Roman"/>
          <w:i/>
          <w:color w:val="auto"/>
          <w:sz w:val="20"/>
          <w:szCs w:val="20"/>
        </w:rPr>
        <w:t>Definitions related to employee benefits</w:t>
      </w:r>
    </w:p>
    <w:p w14:paraId="5AAA80D7" w14:textId="564903A0" w:rsidR="009271B8" w:rsidRPr="007D770B" w:rsidRDefault="009E2B77" w:rsidP="00F96B17">
      <w:pPr>
        <w:pStyle w:val="afffc"/>
        <w:spacing w:before="240" w:beforeAutospacing="0" w:after="240" w:afterAutospacing="0"/>
        <w:ind w:right="34"/>
        <w:jc w:val="both"/>
        <w:rPr>
          <w:rFonts w:ascii="Times New Roman" w:hAnsi="Times New Roman"/>
          <w:color w:val="0000FF"/>
          <w:sz w:val="20"/>
          <w:szCs w:val="20"/>
        </w:rPr>
      </w:pPr>
      <w:r w:rsidRPr="007D770B">
        <w:rPr>
          <w:rFonts w:ascii="Times New Roman" w:hAnsi="Times New Roman"/>
          <w:b/>
          <w:color w:val="auto"/>
          <w:sz w:val="20"/>
          <w:szCs w:val="20"/>
        </w:rPr>
        <w:t xml:space="preserve">Employee benefits </w:t>
      </w:r>
      <w:r w:rsidRPr="007D770B">
        <w:rPr>
          <w:rFonts w:ascii="Times New Roman" w:hAnsi="Times New Roman"/>
          <w:color w:val="auto"/>
          <w:sz w:val="20"/>
          <w:szCs w:val="20"/>
        </w:rPr>
        <w:t xml:space="preserve">- all forms of compensation provided </w:t>
      </w:r>
      <w:r w:rsidR="006C7F44" w:rsidRPr="007D770B">
        <w:rPr>
          <w:rFonts w:ascii="Times New Roman" w:hAnsi="Times New Roman"/>
          <w:color w:val="auto"/>
          <w:sz w:val="20"/>
          <w:szCs w:val="20"/>
        </w:rPr>
        <w:t>by</w:t>
      </w:r>
      <w:r w:rsidRPr="007D770B">
        <w:rPr>
          <w:rFonts w:ascii="Times New Roman" w:hAnsi="Times New Roman"/>
          <w:color w:val="auto"/>
          <w:sz w:val="20"/>
          <w:szCs w:val="20"/>
        </w:rPr>
        <w:t xml:space="preserve"> the </w:t>
      </w:r>
      <w:r w:rsidR="00F9744B" w:rsidRPr="007D770B">
        <w:rPr>
          <w:rFonts w:ascii="Times New Roman" w:hAnsi="Times New Roman"/>
          <w:bCs/>
          <w:iCs/>
          <w:sz w:val="20"/>
          <w:szCs w:val="20"/>
        </w:rPr>
        <w:t xml:space="preserve">Bank to </w:t>
      </w:r>
      <w:r w:rsidRPr="007D770B">
        <w:rPr>
          <w:rFonts w:ascii="Times New Roman" w:hAnsi="Times New Roman"/>
          <w:color w:val="auto"/>
          <w:sz w:val="20"/>
          <w:szCs w:val="20"/>
        </w:rPr>
        <w:t xml:space="preserve">its employees in return for services rendered or termination of </w:t>
      </w:r>
      <w:r w:rsidR="00EE3CCF" w:rsidRPr="007D770B">
        <w:rPr>
          <w:rFonts w:ascii="Times New Roman" w:hAnsi="Times New Roman"/>
          <w:color w:val="auto"/>
          <w:sz w:val="20"/>
          <w:szCs w:val="20"/>
        </w:rPr>
        <w:t>employment</w:t>
      </w:r>
      <w:r w:rsidRPr="007D770B">
        <w:rPr>
          <w:rFonts w:ascii="Times New Roman" w:hAnsi="Times New Roman"/>
          <w:color w:val="0000FF"/>
          <w:sz w:val="20"/>
          <w:szCs w:val="20"/>
        </w:rPr>
        <w:t>.</w:t>
      </w:r>
    </w:p>
    <w:p w14:paraId="5A1DB0BD" w14:textId="04BAD49E" w:rsidR="009E2B77" w:rsidRPr="007D770B" w:rsidRDefault="009E2B77" w:rsidP="00F96B17">
      <w:pPr>
        <w:pStyle w:val="afffc"/>
        <w:spacing w:before="240" w:beforeAutospacing="0" w:after="240" w:afterAutospacing="0"/>
        <w:ind w:right="34"/>
        <w:jc w:val="both"/>
        <w:rPr>
          <w:rFonts w:ascii="Times New Roman" w:hAnsi="Times New Roman"/>
          <w:color w:val="auto"/>
          <w:sz w:val="20"/>
          <w:szCs w:val="20"/>
        </w:rPr>
      </w:pPr>
      <w:r w:rsidRPr="007D770B">
        <w:rPr>
          <w:rFonts w:ascii="Times New Roman" w:hAnsi="Times New Roman"/>
          <w:b/>
          <w:color w:val="auto"/>
          <w:sz w:val="20"/>
          <w:szCs w:val="20"/>
        </w:rPr>
        <w:t xml:space="preserve">Short-term employee </w:t>
      </w:r>
      <w:r w:rsidRPr="007D770B">
        <w:rPr>
          <w:rFonts w:ascii="Times New Roman" w:hAnsi="Times New Roman"/>
          <w:color w:val="auto"/>
          <w:sz w:val="20"/>
          <w:szCs w:val="20"/>
        </w:rPr>
        <w:t xml:space="preserve">benefits are employee benefits (other than termination benefits) that are expected to be settled wholly before twelve months after the end of the annual reporting period in which the </w:t>
      </w:r>
      <w:r w:rsidR="00EE3CCF" w:rsidRPr="007D770B">
        <w:rPr>
          <w:rFonts w:ascii="Times New Roman" w:hAnsi="Times New Roman"/>
          <w:color w:val="auto"/>
          <w:sz w:val="20"/>
          <w:szCs w:val="20"/>
        </w:rPr>
        <w:t xml:space="preserve">employees rendered </w:t>
      </w:r>
      <w:r w:rsidR="00C04E96" w:rsidRPr="007D770B">
        <w:rPr>
          <w:rFonts w:ascii="Times New Roman" w:hAnsi="Times New Roman"/>
          <w:color w:val="auto"/>
          <w:sz w:val="20"/>
          <w:szCs w:val="20"/>
        </w:rPr>
        <w:t>their services</w:t>
      </w:r>
      <w:r w:rsidRPr="007D770B">
        <w:rPr>
          <w:rFonts w:ascii="Times New Roman" w:hAnsi="Times New Roman"/>
          <w:color w:val="auto"/>
          <w:sz w:val="20"/>
          <w:szCs w:val="20"/>
        </w:rPr>
        <w:t>.</w:t>
      </w:r>
    </w:p>
    <w:p w14:paraId="40122D6F" w14:textId="77777777" w:rsidR="007535A9" w:rsidRPr="007D770B" w:rsidRDefault="007535A9" w:rsidP="007535A9">
      <w:pPr>
        <w:pStyle w:val="Default"/>
        <w:spacing w:before="240" w:after="240"/>
        <w:jc w:val="both"/>
        <w:rPr>
          <w:color w:val="auto"/>
          <w:sz w:val="20"/>
          <w:szCs w:val="20"/>
        </w:rPr>
      </w:pPr>
      <w:r w:rsidRPr="007D770B">
        <w:rPr>
          <w:b/>
          <w:color w:val="auto"/>
          <w:sz w:val="20"/>
          <w:szCs w:val="20"/>
        </w:rPr>
        <w:t xml:space="preserve">Other long-term employee benefits </w:t>
      </w:r>
      <w:r w:rsidRPr="007D770B">
        <w:rPr>
          <w:color w:val="auto"/>
          <w:sz w:val="20"/>
          <w:szCs w:val="20"/>
        </w:rPr>
        <w:t>- all types of employee benefits other than short-term employee benefits</w:t>
      </w:r>
    </w:p>
    <w:p w14:paraId="1465CEF2" w14:textId="77777777" w:rsidR="007535A9" w:rsidRPr="007D770B" w:rsidRDefault="007535A9" w:rsidP="00F96B17">
      <w:pPr>
        <w:pStyle w:val="afffc"/>
        <w:spacing w:before="240" w:beforeAutospacing="0" w:after="240" w:afterAutospacing="0"/>
        <w:ind w:right="29"/>
        <w:jc w:val="both"/>
        <w:rPr>
          <w:rFonts w:ascii="Times New Roman" w:hAnsi="Times New Roman"/>
          <w:b/>
          <w:color w:val="auto"/>
          <w:sz w:val="20"/>
          <w:szCs w:val="20"/>
        </w:rPr>
      </w:pPr>
    </w:p>
    <w:p w14:paraId="20C0E8AA" w14:textId="7B3BEB51" w:rsidR="009E2B77" w:rsidRPr="007D770B" w:rsidRDefault="00FB0C0D" w:rsidP="00E61D21">
      <w:pPr>
        <w:pStyle w:val="3"/>
        <w:rPr>
          <w:lang w:val="en-US"/>
        </w:rPr>
      </w:pPr>
      <w:bookmarkStart w:id="221" w:name="_Toc271279856"/>
      <w:bookmarkStart w:id="222" w:name="_Toc168502068"/>
      <w:r w:rsidRPr="007D770B">
        <w:rPr>
          <w:lang w:val="en-US"/>
        </w:rPr>
        <w:t>8</w:t>
      </w:r>
      <w:r w:rsidR="009E2B77" w:rsidRPr="007D770B">
        <w:rPr>
          <w:lang w:val="en-US"/>
        </w:rPr>
        <w:t xml:space="preserve">.3 Classification </w:t>
      </w:r>
      <w:bookmarkEnd w:id="220"/>
      <w:bookmarkEnd w:id="221"/>
      <w:bookmarkEnd w:id="222"/>
    </w:p>
    <w:p w14:paraId="23AA97ED" w14:textId="77777777" w:rsidR="009E2B77" w:rsidRPr="007D770B" w:rsidRDefault="009E2B77" w:rsidP="00F96B17">
      <w:pPr>
        <w:spacing w:before="240" w:line="240" w:lineRule="auto"/>
        <w:ind w:left="0"/>
        <w:rPr>
          <w:rFonts w:ascii="Times New Roman" w:hAnsi="Times New Roman"/>
          <w:lang w:val="en-US"/>
        </w:rPr>
      </w:pPr>
      <w:r w:rsidRPr="007D770B">
        <w:rPr>
          <w:rFonts w:ascii="Times New Roman" w:hAnsi="Times New Roman"/>
          <w:lang w:val="en-US"/>
        </w:rPr>
        <w:t xml:space="preserve">Benefits provided by the </w:t>
      </w:r>
      <w:r w:rsidR="00F9744B" w:rsidRPr="007D770B">
        <w:rPr>
          <w:rFonts w:ascii="Times New Roman" w:hAnsi="Times New Roman"/>
          <w:bCs/>
          <w:iCs/>
          <w:lang w:val="en-US"/>
        </w:rPr>
        <w:t xml:space="preserve">Bank to </w:t>
      </w:r>
      <w:r w:rsidRPr="007D770B">
        <w:rPr>
          <w:rFonts w:ascii="Times New Roman" w:hAnsi="Times New Roman"/>
          <w:lang w:val="en-US"/>
        </w:rPr>
        <w:t>its employees are divided into four categories:</w:t>
      </w:r>
    </w:p>
    <w:p w14:paraId="62933497" w14:textId="77777777" w:rsidR="009E2B77" w:rsidRPr="007D770B" w:rsidRDefault="009E2B77" w:rsidP="00F96B17">
      <w:pPr>
        <w:spacing w:before="240" w:line="240" w:lineRule="auto"/>
        <w:ind w:left="0"/>
        <w:rPr>
          <w:rFonts w:ascii="Times New Roman" w:hAnsi="Times New Roman"/>
          <w:b/>
          <w:lang w:val="en-US"/>
        </w:rPr>
      </w:pPr>
      <w:r w:rsidRPr="007D770B">
        <w:rPr>
          <w:rFonts w:ascii="Times New Roman" w:hAnsi="Times New Roman"/>
          <w:b/>
          <w:lang w:val="en-US"/>
        </w:rPr>
        <w:t>Short-term employee benefits</w:t>
      </w:r>
    </w:p>
    <w:p w14:paraId="4455685C" w14:textId="77777777" w:rsidR="009E2B77" w:rsidRPr="007D770B" w:rsidRDefault="009E2B77" w:rsidP="00F96B17">
      <w:pPr>
        <w:spacing w:before="240" w:line="240" w:lineRule="auto"/>
        <w:ind w:left="0"/>
        <w:rPr>
          <w:rFonts w:ascii="Times New Roman" w:hAnsi="Times New Roman"/>
          <w:lang w:val="en-US"/>
        </w:rPr>
      </w:pPr>
      <w:r w:rsidRPr="007D770B">
        <w:rPr>
          <w:rFonts w:ascii="Times New Roman" w:hAnsi="Times New Roman"/>
          <w:lang w:val="en-US"/>
        </w:rPr>
        <w:t xml:space="preserve">Includes employee benefits to be paid within </w:t>
      </w:r>
      <w:r w:rsidR="00907AC0" w:rsidRPr="007D770B">
        <w:rPr>
          <w:rFonts w:ascii="Times New Roman" w:hAnsi="Times New Roman"/>
          <w:lang w:val="en-US"/>
        </w:rPr>
        <w:t xml:space="preserve">twelve </w:t>
      </w:r>
      <w:r w:rsidRPr="007D770B">
        <w:rPr>
          <w:rFonts w:ascii="Times New Roman" w:hAnsi="Times New Roman"/>
          <w:lang w:val="en-US"/>
        </w:rPr>
        <w:t>months after the end of the period in which the employees render the related service.</w:t>
      </w:r>
    </w:p>
    <w:p w14:paraId="1B9173A8" w14:textId="77777777" w:rsidR="009E2B77" w:rsidRPr="002D4EA3" w:rsidRDefault="009E2B77" w:rsidP="00F96B17">
      <w:pPr>
        <w:spacing w:before="240" w:line="240" w:lineRule="auto"/>
        <w:ind w:left="0"/>
        <w:rPr>
          <w:rFonts w:ascii="Times New Roman" w:hAnsi="Times New Roman"/>
        </w:rPr>
      </w:pPr>
      <w:r w:rsidRPr="002D4EA3">
        <w:rPr>
          <w:rFonts w:ascii="Times New Roman" w:hAnsi="Times New Roman"/>
        </w:rPr>
        <w:t>These include:</w:t>
      </w:r>
    </w:p>
    <w:p w14:paraId="360EAC87" w14:textId="77777777" w:rsidR="009E2B77" w:rsidRPr="007D770B" w:rsidRDefault="009E2B77" w:rsidP="00AE698A">
      <w:pPr>
        <w:numPr>
          <w:ilvl w:val="0"/>
          <w:numId w:val="141"/>
        </w:numPr>
        <w:spacing w:before="240" w:line="240" w:lineRule="auto"/>
        <w:rPr>
          <w:rFonts w:ascii="Times New Roman" w:hAnsi="Times New Roman"/>
          <w:lang w:val="en-US"/>
        </w:rPr>
      </w:pPr>
      <w:r w:rsidRPr="007D770B">
        <w:rPr>
          <w:rFonts w:ascii="Times New Roman" w:hAnsi="Times New Roman"/>
          <w:lang w:val="en-US"/>
        </w:rPr>
        <w:t xml:space="preserve">wages and social </w:t>
      </w:r>
      <w:r w:rsidR="00C54518" w:rsidRPr="007D770B">
        <w:rPr>
          <w:rFonts w:ascii="Times New Roman" w:hAnsi="Times New Roman"/>
          <w:lang w:val="en-US"/>
        </w:rPr>
        <w:t>security contributions</w:t>
      </w:r>
      <w:r w:rsidRPr="007D770B">
        <w:rPr>
          <w:rFonts w:ascii="Times New Roman" w:hAnsi="Times New Roman"/>
          <w:lang w:val="en-US"/>
        </w:rPr>
        <w:t>;</w:t>
      </w:r>
    </w:p>
    <w:p w14:paraId="6BFD8F3B" w14:textId="77777777" w:rsidR="009E2B77" w:rsidRPr="007D770B" w:rsidRDefault="009E2B77" w:rsidP="00AE698A">
      <w:pPr>
        <w:numPr>
          <w:ilvl w:val="0"/>
          <w:numId w:val="141"/>
        </w:numPr>
        <w:spacing w:before="240" w:line="240" w:lineRule="auto"/>
        <w:rPr>
          <w:rFonts w:ascii="Times New Roman" w:hAnsi="Times New Roman"/>
          <w:lang w:val="en-US"/>
        </w:rPr>
      </w:pPr>
      <w:r w:rsidRPr="007D770B">
        <w:rPr>
          <w:rFonts w:ascii="Times New Roman" w:hAnsi="Times New Roman"/>
          <w:lang w:val="en-US"/>
        </w:rPr>
        <w:t>Short-term absence from work during which employees are paid remuneration in the form of annual leave, sick pay and other benefits;</w:t>
      </w:r>
    </w:p>
    <w:p w14:paraId="796CC29E" w14:textId="77777777" w:rsidR="009E2B77" w:rsidRPr="002D4EA3" w:rsidRDefault="00C54518" w:rsidP="00AE698A">
      <w:pPr>
        <w:numPr>
          <w:ilvl w:val="0"/>
          <w:numId w:val="141"/>
        </w:numPr>
        <w:spacing w:before="240" w:line="240" w:lineRule="auto"/>
        <w:rPr>
          <w:rFonts w:ascii="Times New Roman" w:hAnsi="Times New Roman"/>
        </w:rPr>
      </w:pPr>
      <w:r w:rsidRPr="002D4EA3">
        <w:rPr>
          <w:rFonts w:ascii="Times New Roman" w:hAnsi="Times New Roman"/>
        </w:rPr>
        <w:t>profit participation and bonuses</w:t>
      </w:r>
      <w:r w:rsidR="009E2B77" w:rsidRPr="002D4EA3">
        <w:rPr>
          <w:rFonts w:ascii="Times New Roman" w:hAnsi="Times New Roman"/>
        </w:rPr>
        <w:t>;</w:t>
      </w:r>
    </w:p>
    <w:p w14:paraId="5C730EB9" w14:textId="77777777" w:rsidR="009E2B77" w:rsidRPr="007D770B" w:rsidRDefault="009E2B77" w:rsidP="00AE698A">
      <w:pPr>
        <w:numPr>
          <w:ilvl w:val="0"/>
          <w:numId w:val="141"/>
        </w:numPr>
        <w:spacing w:before="240" w:line="240" w:lineRule="auto"/>
        <w:rPr>
          <w:rFonts w:ascii="Times New Roman" w:hAnsi="Times New Roman"/>
          <w:lang w:val="en-US"/>
        </w:rPr>
      </w:pPr>
      <w:r w:rsidRPr="007D770B">
        <w:rPr>
          <w:rFonts w:ascii="Times New Roman" w:hAnsi="Times New Roman"/>
          <w:lang w:val="en-US"/>
        </w:rPr>
        <w:t xml:space="preserve">non-monetary rewards (health insurance, financial assistance for medical services, free or subsidized goods and services, housing, vehicles) for </w:t>
      </w:r>
      <w:r w:rsidR="009271B8" w:rsidRPr="007D770B">
        <w:rPr>
          <w:rFonts w:ascii="Times New Roman" w:hAnsi="Times New Roman"/>
          <w:lang w:val="en-US"/>
        </w:rPr>
        <w:t xml:space="preserve">currently employed </w:t>
      </w:r>
      <w:r w:rsidRPr="007D770B">
        <w:rPr>
          <w:rFonts w:ascii="Times New Roman" w:hAnsi="Times New Roman"/>
          <w:lang w:val="en-US"/>
        </w:rPr>
        <w:t>workers.</w:t>
      </w:r>
    </w:p>
    <w:p w14:paraId="4508BBA1" w14:textId="2BE2546C" w:rsidR="009E2B77" w:rsidRPr="007D770B" w:rsidRDefault="00FB0C0D" w:rsidP="00E61D21">
      <w:pPr>
        <w:pStyle w:val="3"/>
        <w:rPr>
          <w:lang w:val="en-US"/>
        </w:rPr>
      </w:pPr>
      <w:bookmarkStart w:id="223" w:name="_Toc248586867"/>
      <w:bookmarkStart w:id="224" w:name="_Toc271279857"/>
      <w:bookmarkStart w:id="225" w:name="_Toc168502069"/>
      <w:r w:rsidRPr="007D770B">
        <w:rPr>
          <w:lang w:val="en-US"/>
        </w:rPr>
        <w:t>8</w:t>
      </w:r>
      <w:r w:rsidR="009E2B77" w:rsidRPr="007D770B">
        <w:rPr>
          <w:lang w:val="en-US"/>
        </w:rPr>
        <w:t>.4</w:t>
      </w:r>
      <w:bookmarkEnd w:id="223"/>
      <w:r w:rsidR="009E2B77" w:rsidRPr="007D770B">
        <w:rPr>
          <w:lang w:val="en-US"/>
        </w:rPr>
        <w:t xml:space="preserve"> . Accounting policies</w:t>
      </w:r>
      <w:bookmarkEnd w:id="224"/>
      <w:bookmarkEnd w:id="225"/>
    </w:p>
    <w:p w14:paraId="7B12E2F5" w14:textId="77777777" w:rsidR="009E2B77" w:rsidRPr="007D770B" w:rsidRDefault="009E2B77" w:rsidP="00F96B17">
      <w:pPr>
        <w:spacing w:before="240" w:line="240" w:lineRule="auto"/>
        <w:ind w:left="0"/>
        <w:rPr>
          <w:rFonts w:ascii="Times New Roman" w:hAnsi="Times New Roman"/>
          <w:b/>
          <w:lang w:val="en-US"/>
        </w:rPr>
      </w:pPr>
      <w:r w:rsidRPr="007D770B">
        <w:rPr>
          <w:rFonts w:ascii="Times New Roman" w:hAnsi="Times New Roman"/>
          <w:b/>
          <w:lang w:val="en-US"/>
        </w:rPr>
        <w:t>Short-term employee benefits</w:t>
      </w:r>
    </w:p>
    <w:p w14:paraId="1E99B82F" w14:textId="77777777" w:rsidR="000D611C" w:rsidRPr="007D770B" w:rsidRDefault="009E2B77" w:rsidP="007535A9">
      <w:pPr>
        <w:spacing w:before="240" w:line="240" w:lineRule="auto"/>
        <w:ind w:left="0"/>
        <w:rPr>
          <w:rFonts w:ascii="Times New Roman" w:hAnsi="Times New Roman"/>
          <w:lang w:val="en-US"/>
        </w:rPr>
      </w:pPr>
      <w:r w:rsidRPr="007D770B">
        <w:rPr>
          <w:rFonts w:ascii="Times New Roman" w:hAnsi="Times New Roman"/>
          <w:lang w:val="en-US"/>
        </w:rPr>
        <w:t xml:space="preserve">The </w:t>
      </w:r>
      <w:r w:rsidR="00F9744B" w:rsidRPr="007D770B">
        <w:rPr>
          <w:rFonts w:ascii="Times New Roman" w:hAnsi="Times New Roman"/>
          <w:bCs/>
          <w:iCs/>
          <w:lang w:val="en-US"/>
        </w:rPr>
        <w:t xml:space="preserve">Bank </w:t>
      </w:r>
      <w:r w:rsidRPr="007D770B">
        <w:rPr>
          <w:rFonts w:ascii="Times New Roman" w:hAnsi="Times New Roman"/>
          <w:lang w:val="en-US"/>
        </w:rPr>
        <w:t>recognizes the undiscounted short-term employee benefits payable in exchange for services rendered by the employee</w:t>
      </w:r>
      <w:r w:rsidR="007535A9" w:rsidRPr="007D770B">
        <w:rPr>
          <w:rFonts w:ascii="Times New Roman" w:hAnsi="Times New Roman"/>
          <w:lang w:val="en-US"/>
        </w:rPr>
        <w:t xml:space="preserve">, </w:t>
      </w:r>
      <w:r w:rsidRPr="007D770B">
        <w:rPr>
          <w:rFonts w:ascii="Times New Roman" w:hAnsi="Times New Roman"/>
          <w:lang w:val="en-US"/>
        </w:rPr>
        <w:t xml:space="preserve">short-term employee benefits expense is recognized in the </w:t>
      </w:r>
      <w:r w:rsidR="000D611C" w:rsidRPr="007D770B">
        <w:rPr>
          <w:rFonts w:ascii="Times New Roman" w:hAnsi="Times New Roman"/>
          <w:lang w:val="en-US"/>
        </w:rPr>
        <w:t xml:space="preserve">statement of comprehensive income within </w:t>
      </w:r>
      <w:r w:rsidRPr="007D770B">
        <w:rPr>
          <w:rFonts w:ascii="Times New Roman" w:hAnsi="Times New Roman"/>
          <w:lang w:val="en-US"/>
        </w:rPr>
        <w:t xml:space="preserve">administrative </w:t>
      </w:r>
      <w:r w:rsidR="000D611C" w:rsidRPr="007D770B">
        <w:rPr>
          <w:rFonts w:ascii="Times New Roman" w:hAnsi="Times New Roman"/>
          <w:lang w:val="en-US"/>
        </w:rPr>
        <w:t xml:space="preserve">and other operating </w:t>
      </w:r>
      <w:r w:rsidRPr="007D770B">
        <w:rPr>
          <w:rFonts w:ascii="Times New Roman" w:hAnsi="Times New Roman"/>
          <w:lang w:val="en-US"/>
        </w:rPr>
        <w:t>expenses</w:t>
      </w:r>
    </w:p>
    <w:p w14:paraId="0A3B9B33" w14:textId="77777777" w:rsidR="009E2B77" w:rsidRPr="007D770B" w:rsidRDefault="009E2B77" w:rsidP="000D611C">
      <w:pPr>
        <w:spacing w:before="240" w:line="240" w:lineRule="auto"/>
        <w:ind w:left="0"/>
        <w:rPr>
          <w:rFonts w:ascii="Times New Roman" w:hAnsi="Times New Roman"/>
          <w:lang w:val="en-US"/>
        </w:rPr>
      </w:pPr>
      <w:r w:rsidRPr="007D770B">
        <w:rPr>
          <w:rFonts w:ascii="Times New Roman" w:hAnsi="Times New Roman"/>
          <w:lang w:val="en-US"/>
        </w:rPr>
        <w:t>For accounting purposes, paid absences from work are categorized as:</w:t>
      </w:r>
    </w:p>
    <w:p w14:paraId="2BBDA8E1" w14:textId="77777777" w:rsidR="009E2B77" w:rsidRPr="007D770B" w:rsidRDefault="009E2B77" w:rsidP="00AE698A">
      <w:pPr>
        <w:numPr>
          <w:ilvl w:val="0"/>
          <w:numId w:val="143"/>
        </w:numPr>
        <w:spacing w:before="240" w:line="240" w:lineRule="auto"/>
        <w:ind w:right="34"/>
        <w:rPr>
          <w:rFonts w:ascii="Times New Roman" w:hAnsi="Times New Roman"/>
          <w:lang w:val="en-US"/>
        </w:rPr>
      </w:pPr>
      <w:r w:rsidRPr="007D770B">
        <w:rPr>
          <w:rFonts w:ascii="Times New Roman" w:hAnsi="Times New Roman"/>
          <w:lang w:val="en-US"/>
        </w:rPr>
        <w:lastRenderedPageBreak/>
        <w:t xml:space="preserve">Accumulated paid absences that accrue over the period of an employee's service and can potentially be carried forward and utilized in future periods (carry-forward paid leave, cash compensation for unused vacation). The liability and expense for such benefits are recognized as employees render services that increase their entitlement to future paid absences from work (leave provision). The </w:t>
      </w:r>
      <w:r w:rsidR="00F9744B" w:rsidRPr="007D770B">
        <w:rPr>
          <w:rFonts w:ascii="Times New Roman" w:hAnsi="Times New Roman"/>
          <w:bCs/>
          <w:iCs/>
          <w:lang w:val="en-US"/>
        </w:rPr>
        <w:t xml:space="preserve">Bank </w:t>
      </w:r>
      <w:r w:rsidRPr="007D770B">
        <w:rPr>
          <w:rFonts w:ascii="Times New Roman" w:hAnsi="Times New Roman"/>
          <w:lang w:val="en-US"/>
        </w:rPr>
        <w:t>measures the expected cost of accrued paid leave as the additional amount expected to be paid to employees for unused vacation days accumulated as at the reporting date;</w:t>
      </w:r>
    </w:p>
    <w:p w14:paraId="26047FCE" w14:textId="77777777" w:rsidR="009E2B77" w:rsidRPr="007D770B" w:rsidRDefault="009E2B77" w:rsidP="00907AC0">
      <w:pPr>
        <w:tabs>
          <w:tab w:val="left" w:pos="720"/>
        </w:tabs>
        <w:spacing w:before="240" w:line="240" w:lineRule="auto"/>
        <w:ind w:left="720" w:right="34"/>
        <w:rPr>
          <w:rFonts w:ascii="Times New Roman" w:hAnsi="Times New Roman"/>
          <w:lang w:val="en-US"/>
        </w:rPr>
      </w:pPr>
      <w:r w:rsidRPr="007D770B">
        <w:rPr>
          <w:rFonts w:ascii="Times New Roman" w:hAnsi="Times New Roman"/>
          <w:lang w:val="en-US"/>
        </w:rPr>
        <w:t xml:space="preserve">The </w:t>
      </w:r>
      <w:r w:rsidR="00F9744B" w:rsidRPr="007D770B">
        <w:rPr>
          <w:rFonts w:ascii="Times New Roman" w:hAnsi="Times New Roman"/>
          <w:bCs/>
          <w:iCs/>
          <w:lang w:val="en-US"/>
        </w:rPr>
        <w:t xml:space="preserve">Bank </w:t>
      </w:r>
      <w:r w:rsidRPr="007D770B">
        <w:rPr>
          <w:rFonts w:ascii="Times New Roman" w:hAnsi="Times New Roman"/>
          <w:lang w:val="en-US"/>
        </w:rPr>
        <w:t>recognizes employee benefit costs in the form of the following accumulated paid leave balances:</w:t>
      </w:r>
    </w:p>
    <w:p w14:paraId="15A7C0EE" w14:textId="77777777" w:rsidR="009E2B77" w:rsidRPr="002D4EA3" w:rsidRDefault="009E2B77" w:rsidP="00AE698A">
      <w:pPr>
        <w:numPr>
          <w:ilvl w:val="0"/>
          <w:numId w:val="144"/>
        </w:numPr>
        <w:tabs>
          <w:tab w:val="left" w:pos="1440"/>
        </w:tabs>
        <w:spacing w:before="240" w:line="240" w:lineRule="auto"/>
        <w:ind w:left="1440" w:right="34"/>
        <w:rPr>
          <w:rFonts w:ascii="Times New Roman" w:hAnsi="Times New Roman"/>
        </w:rPr>
      </w:pPr>
      <w:r w:rsidRPr="002D4EA3">
        <w:rPr>
          <w:rFonts w:ascii="Times New Roman" w:hAnsi="Times New Roman"/>
        </w:rPr>
        <w:t>annual labor leave;</w:t>
      </w:r>
    </w:p>
    <w:p w14:paraId="5FA11BB0" w14:textId="77777777" w:rsidR="009E2B77" w:rsidRPr="007D770B" w:rsidRDefault="009E2B77" w:rsidP="00AE698A">
      <w:pPr>
        <w:numPr>
          <w:ilvl w:val="0"/>
          <w:numId w:val="144"/>
        </w:numPr>
        <w:tabs>
          <w:tab w:val="left" w:pos="1440"/>
        </w:tabs>
        <w:spacing w:before="240" w:line="240" w:lineRule="auto"/>
        <w:ind w:left="1440" w:right="34"/>
        <w:rPr>
          <w:rFonts w:ascii="Times New Roman" w:hAnsi="Times New Roman"/>
          <w:lang w:val="en-US"/>
        </w:rPr>
      </w:pPr>
      <w:r w:rsidRPr="007D770B">
        <w:rPr>
          <w:rFonts w:ascii="Times New Roman" w:hAnsi="Times New Roman"/>
          <w:lang w:val="en-US"/>
        </w:rPr>
        <w:t xml:space="preserve">annual additional labor leaves </w:t>
      </w:r>
      <w:r w:rsidR="00182389" w:rsidRPr="007D770B">
        <w:rPr>
          <w:rFonts w:ascii="Times New Roman" w:hAnsi="Times New Roman"/>
          <w:lang w:val="en-US"/>
        </w:rPr>
        <w:t xml:space="preserve">in accordance with the </w:t>
      </w:r>
      <w:r w:rsidR="00000562" w:rsidRPr="007D770B">
        <w:rPr>
          <w:rFonts w:ascii="Times New Roman" w:hAnsi="Times New Roman"/>
          <w:lang w:val="en-US"/>
        </w:rPr>
        <w:t xml:space="preserve">legislation of </w:t>
      </w:r>
      <w:r w:rsidR="00CD4EFA" w:rsidRPr="007D770B">
        <w:rPr>
          <w:rFonts w:ascii="Times New Roman" w:hAnsi="Times New Roman"/>
          <w:lang w:val="en-US"/>
        </w:rPr>
        <w:t>the Republic of Kazakhstan</w:t>
      </w:r>
      <w:r w:rsidR="00182389" w:rsidRPr="007D770B">
        <w:rPr>
          <w:rFonts w:ascii="Times New Roman" w:hAnsi="Times New Roman"/>
          <w:lang w:val="en-US"/>
        </w:rPr>
        <w:t xml:space="preserve">, Collective </w:t>
      </w:r>
      <w:r w:rsidR="00293254" w:rsidRPr="007D770B">
        <w:rPr>
          <w:rFonts w:ascii="Times New Roman" w:hAnsi="Times New Roman"/>
          <w:lang w:val="en-US"/>
        </w:rPr>
        <w:t xml:space="preserve">or </w:t>
      </w:r>
      <w:r w:rsidR="00182389" w:rsidRPr="007D770B">
        <w:rPr>
          <w:rFonts w:ascii="Times New Roman" w:hAnsi="Times New Roman"/>
          <w:lang w:val="en-US"/>
        </w:rPr>
        <w:t>labor agreements</w:t>
      </w:r>
      <w:r w:rsidR="00293254" w:rsidRPr="007D770B">
        <w:rPr>
          <w:rFonts w:ascii="Times New Roman" w:hAnsi="Times New Roman"/>
          <w:lang w:val="en-US"/>
        </w:rPr>
        <w:t xml:space="preserve">, other rules of the </w:t>
      </w:r>
      <w:r w:rsidR="00F9744B" w:rsidRPr="007D770B">
        <w:rPr>
          <w:rFonts w:ascii="Times New Roman" w:hAnsi="Times New Roman"/>
          <w:lang w:val="en-US"/>
        </w:rPr>
        <w:t>Bank</w:t>
      </w:r>
      <w:r w:rsidRPr="007D770B">
        <w:rPr>
          <w:rFonts w:ascii="Times New Roman" w:hAnsi="Times New Roman"/>
          <w:lang w:val="en-US"/>
        </w:rPr>
        <w:t>;</w:t>
      </w:r>
    </w:p>
    <w:p w14:paraId="42B015BD" w14:textId="77777777" w:rsidR="009E2B77" w:rsidRPr="007D770B" w:rsidRDefault="009E2B77" w:rsidP="00AE698A">
      <w:pPr>
        <w:numPr>
          <w:ilvl w:val="0"/>
          <w:numId w:val="144"/>
        </w:numPr>
        <w:tabs>
          <w:tab w:val="left" w:pos="1440"/>
        </w:tabs>
        <w:spacing w:before="240" w:line="240" w:lineRule="auto"/>
        <w:ind w:left="1440" w:right="34"/>
        <w:rPr>
          <w:rFonts w:ascii="Times New Roman" w:hAnsi="Times New Roman"/>
          <w:lang w:val="en-US"/>
        </w:rPr>
      </w:pPr>
      <w:r w:rsidRPr="007D770B">
        <w:rPr>
          <w:rFonts w:ascii="Times New Roman" w:hAnsi="Times New Roman"/>
          <w:lang w:val="en-US"/>
        </w:rPr>
        <w:t xml:space="preserve">compensation for unused labor leave in case of recall from vacation, </w:t>
      </w:r>
      <w:r w:rsidR="00182389" w:rsidRPr="007D770B">
        <w:rPr>
          <w:rFonts w:ascii="Times New Roman" w:hAnsi="Times New Roman"/>
          <w:lang w:val="en-US"/>
        </w:rPr>
        <w:t xml:space="preserve">termination of </w:t>
      </w:r>
      <w:r w:rsidRPr="007D770B">
        <w:rPr>
          <w:rFonts w:ascii="Times New Roman" w:hAnsi="Times New Roman"/>
          <w:lang w:val="en-US"/>
        </w:rPr>
        <w:t>employment contract;</w:t>
      </w:r>
    </w:p>
    <w:p w14:paraId="783ED597" w14:textId="77777777" w:rsidR="009E2B77" w:rsidRPr="007D770B" w:rsidRDefault="009E2B77" w:rsidP="00AE698A">
      <w:pPr>
        <w:numPr>
          <w:ilvl w:val="0"/>
          <w:numId w:val="143"/>
        </w:numPr>
        <w:spacing w:before="240" w:line="240" w:lineRule="auto"/>
        <w:ind w:right="34"/>
        <w:rPr>
          <w:rFonts w:ascii="Times New Roman" w:hAnsi="Times New Roman"/>
          <w:lang w:val="en-US"/>
        </w:rPr>
      </w:pPr>
      <w:r w:rsidRPr="007D770B">
        <w:rPr>
          <w:rFonts w:ascii="Times New Roman" w:hAnsi="Times New Roman"/>
          <w:lang w:val="en-US"/>
        </w:rPr>
        <w:t>Non-accumulating compensated absences that are not carried forward (sick leave). The liability and expense for such benefits are recognized only when the period of temporary disability occurs.</w:t>
      </w:r>
    </w:p>
    <w:p w14:paraId="1D94EB35" w14:textId="77777777" w:rsidR="009E2B77" w:rsidRPr="007D770B" w:rsidRDefault="00F9744B" w:rsidP="006E2779">
      <w:pPr>
        <w:tabs>
          <w:tab w:val="left" w:pos="720"/>
        </w:tabs>
        <w:spacing w:before="240" w:line="240" w:lineRule="auto"/>
        <w:ind w:left="360"/>
        <w:rPr>
          <w:rFonts w:ascii="Times New Roman" w:hAnsi="Times New Roman"/>
          <w:lang w:val="en-US"/>
        </w:rPr>
      </w:pPr>
      <w:r w:rsidRPr="007D770B">
        <w:rPr>
          <w:rFonts w:ascii="Times New Roman" w:hAnsi="Times New Roman"/>
          <w:bCs/>
          <w:iCs/>
          <w:lang w:val="en-US"/>
        </w:rPr>
        <w:t xml:space="preserve">The Bank </w:t>
      </w:r>
      <w:r w:rsidR="009E2B77" w:rsidRPr="007D770B">
        <w:rPr>
          <w:rFonts w:ascii="Times New Roman" w:hAnsi="Times New Roman"/>
          <w:lang w:val="en-US"/>
        </w:rPr>
        <w:t>also recognizes employee benefit costs in the form of the following social benefits and compensations (guarantees):</w:t>
      </w:r>
    </w:p>
    <w:p w14:paraId="751012B6" w14:textId="77777777" w:rsidR="009E2B77" w:rsidRPr="007D770B" w:rsidRDefault="009E2B77" w:rsidP="00AE698A">
      <w:pPr>
        <w:numPr>
          <w:ilvl w:val="0"/>
          <w:numId w:val="145"/>
        </w:numPr>
        <w:tabs>
          <w:tab w:val="num" w:pos="1440"/>
        </w:tabs>
        <w:spacing w:before="240" w:line="240" w:lineRule="auto"/>
        <w:ind w:left="1440"/>
        <w:rPr>
          <w:rFonts w:ascii="Times New Roman" w:hAnsi="Times New Roman"/>
          <w:lang w:val="en-US"/>
        </w:rPr>
      </w:pPr>
      <w:r w:rsidRPr="007D770B">
        <w:rPr>
          <w:rFonts w:ascii="Times New Roman" w:hAnsi="Times New Roman"/>
          <w:lang w:val="en-US"/>
        </w:rPr>
        <w:t>compensation payments for the time spent on business trips;</w:t>
      </w:r>
    </w:p>
    <w:p w14:paraId="04AAD4BF" w14:textId="77777777" w:rsidR="009E2B77" w:rsidRPr="007D770B" w:rsidRDefault="009E2B77" w:rsidP="00AE698A">
      <w:pPr>
        <w:numPr>
          <w:ilvl w:val="0"/>
          <w:numId w:val="145"/>
        </w:numPr>
        <w:tabs>
          <w:tab w:val="num" w:pos="1440"/>
        </w:tabs>
        <w:spacing w:before="240" w:line="240" w:lineRule="auto"/>
        <w:ind w:left="1440"/>
        <w:rPr>
          <w:rFonts w:ascii="Times New Roman" w:hAnsi="Times New Roman"/>
          <w:lang w:val="en-US"/>
        </w:rPr>
      </w:pPr>
      <w:r w:rsidRPr="007D770B">
        <w:rPr>
          <w:rFonts w:ascii="Times New Roman" w:hAnsi="Times New Roman"/>
          <w:lang w:val="en-US"/>
        </w:rPr>
        <w:t>compensation payments when an employee is transferred to another location by agreement of the parties;</w:t>
      </w:r>
    </w:p>
    <w:p w14:paraId="28B043FB" w14:textId="77777777" w:rsidR="009E2B77" w:rsidRPr="007D770B" w:rsidRDefault="009E2B77" w:rsidP="00AE698A">
      <w:pPr>
        <w:numPr>
          <w:ilvl w:val="0"/>
          <w:numId w:val="145"/>
        </w:numPr>
        <w:tabs>
          <w:tab w:val="num" w:pos="1440"/>
        </w:tabs>
        <w:spacing w:before="240" w:line="240" w:lineRule="auto"/>
        <w:ind w:left="1440"/>
        <w:rPr>
          <w:rFonts w:ascii="Times New Roman" w:hAnsi="Times New Roman"/>
          <w:lang w:val="en-US"/>
        </w:rPr>
      </w:pPr>
      <w:r w:rsidRPr="007D770B">
        <w:rPr>
          <w:rFonts w:ascii="Times New Roman" w:hAnsi="Times New Roman"/>
          <w:lang w:val="en-US"/>
        </w:rPr>
        <w:t xml:space="preserve">guarantees for an employee working in environmental disaster and radiation risk zones; </w:t>
      </w:r>
    </w:p>
    <w:p w14:paraId="0D2CCE8D" w14:textId="77777777" w:rsidR="009E2B77" w:rsidRPr="007D770B" w:rsidRDefault="009E2B77" w:rsidP="00AE698A">
      <w:pPr>
        <w:numPr>
          <w:ilvl w:val="0"/>
          <w:numId w:val="145"/>
        </w:numPr>
        <w:tabs>
          <w:tab w:val="num" w:pos="1440"/>
        </w:tabs>
        <w:spacing w:before="240" w:line="240" w:lineRule="auto"/>
        <w:ind w:left="1440"/>
        <w:rPr>
          <w:rFonts w:ascii="Times New Roman" w:hAnsi="Times New Roman"/>
          <w:lang w:val="en-US"/>
        </w:rPr>
      </w:pPr>
      <w:r w:rsidRPr="007D770B">
        <w:rPr>
          <w:rFonts w:ascii="Times New Roman" w:hAnsi="Times New Roman"/>
          <w:lang w:val="en-US"/>
        </w:rPr>
        <w:t>other types of benefits and compensations (guarantees) to employees in accordance with the laws of the Republic of Kazakhstan</w:t>
      </w:r>
      <w:r w:rsidR="00182389" w:rsidRPr="007D770B">
        <w:rPr>
          <w:rFonts w:ascii="Times New Roman" w:hAnsi="Times New Roman"/>
          <w:lang w:val="en-US"/>
        </w:rPr>
        <w:t xml:space="preserve">, </w:t>
      </w:r>
      <w:r w:rsidR="001C5EE8" w:rsidRPr="007D770B">
        <w:rPr>
          <w:rFonts w:ascii="Times New Roman" w:hAnsi="Times New Roman"/>
          <w:lang w:val="en-US"/>
        </w:rPr>
        <w:t xml:space="preserve">Collective </w:t>
      </w:r>
      <w:r w:rsidR="00182389" w:rsidRPr="007D770B">
        <w:rPr>
          <w:rFonts w:ascii="Times New Roman" w:hAnsi="Times New Roman"/>
          <w:lang w:val="en-US"/>
        </w:rPr>
        <w:t xml:space="preserve">Agreement </w:t>
      </w:r>
      <w:r w:rsidR="001C5EE8" w:rsidRPr="007D770B">
        <w:rPr>
          <w:rFonts w:ascii="Times New Roman" w:hAnsi="Times New Roman"/>
          <w:lang w:val="en-US"/>
        </w:rPr>
        <w:t xml:space="preserve">or </w:t>
      </w:r>
      <w:r w:rsidRPr="007D770B">
        <w:rPr>
          <w:rFonts w:ascii="Times New Roman" w:hAnsi="Times New Roman"/>
          <w:lang w:val="en-US"/>
        </w:rPr>
        <w:t xml:space="preserve">internal documents of the </w:t>
      </w:r>
      <w:r w:rsidR="00F9744B" w:rsidRPr="007D770B">
        <w:rPr>
          <w:rFonts w:ascii="Times New Roman" w:hAnsi="Times New Roman"/>
          <w:bCs/>
          <w:iCs/>
          <w:lang w:val="en-US"/>
        </w:rPr>
        <w:t>Bank</w:t>
      </w:r>
      <w:r w:rsidRPr="007D770B">
        <w:rPr>
          <w:rFonts w:ascii="Times New Roman" w:hAnsi="Times New Roman"/>
          <w:lang w:val="en-US"/>
        </w:rPr>
        <w:t>.</w:t>
      </w:r>
    </w:p>
    <w:p w14:paraId="0AFCACF3" w14:textId="77777777" w:rsidR="009E2B77" w:rsidRPr="007D770B" w:rsidRDefault="009E2B77" w:rsidP="00F96B17">
      <w:pPr>
        <w:spacing w:before="240" w:line="240" w:lineRule="auto"/>
        <w:ind w:left="0"/>
        <w:rPr>
          <w:rFonts w:ascii="Times New Roman" w:hAnsi="Times New Roman"/>
          <w:lang w:val="en-US"/>
        </w:rPr>
      </w:pPr>
      <w:r w:rsidRPr="007D770B">
        <w:rPr>
          <w:rFonts w:ascii="Times New Roman" w:hAnsi="Times New Roman"/>
          <w:lang w:val="en-US"/>
        </w:rPr>
        <w:t xml:space="preserve">The </w:t>
      </w:r>
      <w:r w:rsidR="00F9744B" w:rsidRPr="007D770B">
        <w:rPr>
          <w:rFonts w:ascii="Times New Roman" w:hAnsi="Times New Roman"/>
          <w:bCs/>
          <w:iCs/>
          <w:lang w:val="en-US"/>
        </w:rPr>
        <w:t xml:space="preserve">Bank </w:t>
      </w:r>
      <w:r w:rsidRPr="007D770B">
        <w:rPr>
          <w:rFonts w:ascii="Times New Roman" w:hAnsi="Times New Roman"/>
          <w:lang w:val="en-US"/>
        </w:rPr>
        <w:t>recognizes, by virtue of the obligations arising from practice and internal documents, the cost of providing non-monetary benefits such as health care to employees.</w:t>
      </w:r>
    </w:p>
    <w:p w14:paraId="1A83A2D2" w14:textId="77777777" w:rsidR="009E2B77" w:rsidRPr="007D770B" w:rsidRDefault="009E2B77" w:rsidP="00F96B17">
      <w:pPr>
        <w:spacing w:before="240" w:line="240" w:lineRule="auto"/>
        <w:ind w:left="0"/>
        <w:rPr>
          <w:rFonts w:ascii="Times New Roman" w:hAnsi="Times New Roman"/>
          <w:lang w:val="en-US"/>
        </w:rPr>
      </w:pPr>
      <w:r w:rsidRPr="007D770B">
        <w:rPr>
          <w:rFonts w:ascii="Times New Roman" w:hAnsi="Times New Roman"/>
          <w:lang w:val="en-US"/>
        </w:rPr>
        <w:t xml:space="preserve">The procedure for payment and amounts of benefits are determined by the legislation of the Republic of Kazakhstan and internal documents of the </w:t>
      </w:r>
      <w:r w:rsidR="00F9744B" w:rsidRPr="007D770B">
        <w:rPr>
          <w:rFonts w:ascii="Times New Roman" w:hAnsi="Times New Roman"/>
          <w:bCs/>
          <w:iCs/>
          <w:lang w:val="en-US"/>
        </w:rPr>
        <w:t>Bank</w:t>
      </w:r>
      <w:r w:rsidRPr="007D770B">
        <w:rPr>
          <w:rFonts w:ascii="Times New Roman" w:hAnsi="Times New Roman"/>
          <w:lang w:val="en-US"/>
        </w:rPr>
        <w:t>.</w:t>
      </w:r>
    </w:p>
    <w:p w14:paraId="470A2323" w14:textId="77777777" w:rsidR="009E2B77" w:rsidRPr="007D770B" w:rsidRDefault="009E2B77" w:rsidP="00F96B17">
      <w:pPr>
        <w:spacing w:before="240" w:line="240" w:lineRule="auto"/>
        <w:ind w:left="0"/>
        <w:rPr>
          <w:rFonts w:ascii="Times New Roman" w:hAnsi="Times New Roman"/>
          <w:lang w:val="en-US"/>
        </w:rPr>
      </w:pPr>
      <w:r w:rsidRPr="007D770B">
        <w:rPr>
          <w:rFonts w:ascii="Times New Roman" w:hAnsi="Times New Roman"/>
          <w:lang w:val="en-US"/>
        </w:rPr>
        <w:t xml:space="preserve">The </w:t>
      </w:r>
      <w:r w:rsidR="00F9744B" w:rsidRPr="007D770B">
        <w:rPr>
          <w:rFonts w:ascii="Times New Roman" w:hAnsi="Times New Roman"/>
          <w:bCs/>
          <w:iCs/>
          <w:lang w:val="en-US"/>
        </w:rPr>
        <w:t xml:space="preserve">Bank </w:t>
      </w:r>
      <w:r w:rsidRPr="007D770B">
        <w:rPr>
          <w:rFonts w:ascii="Times New Roman" w:hAnsi="Times New Roman"/>
          <w:lang w:val="en-US"/>
        </w:rPr>
        <w:t>recognizes, in accordance with internal documents, the cost of material assistance provided to an employee on a one-off basis in cases not related to work and charitable assistance in the following cases:</w:t>
      </w:r>
    </w:p>
    <w:p w14:paraId="6AF2CF2D" w14:textId="77777777" w:rsidR="00A45133" w:rsidRPr="007D770B" w:rsidRDefault="00A45133" w:rsidP="00AE698A">
      <w:pPr>
        <w:numPr>
          <w:ilvl w:val="0"/>
          <w:numId w:val="146"/>
        </w:numPr>
        <w:spacing w:before="240" w:line="240" w:lineRule="auto"/>
        <w:rPr>
          <w:rFonts w:ascii="Times New Roman" w:hAnsi="Times New Roman"/>
          <w:lang w:val="en-US"/>
        </w:rPr>
      </w:pPr>
      <w:r w:rsidRPr="007D770B">
        <w:rPr>
          <w:rFonts w:ascii="Times New Roman" w:hAnsi="Times New Roman"/>
          <w:lang w:val="en-US"/>
        </w:rPr>
        <w:t>material aid for health improvement;</w:t>
      </w:r>
    </w:p>
    <w:p w14:paraId="0002ECE9" w14:textId="77777777" w:rsidR="009E2B77" w:rsidRPr="007D770B" w:rsidRDefault="009E2B77" w:rsidP="00AE698A">
      <w:pPr>
        <w:numPr>
          <w:ilvl w:val="0"/>
          <w:numId w:val="146"/>
        </w:numPr>
        <w:spacing w:before="240" w:line="240" w:lineRule="auto"/>
        <w:rPr>
          <w:rFonts w:ascii="Times New Roman" w:hAnsi="Times New Roman"/>
          <w:lang w:val="en-US"/>
        </w:rPr>
      </w:pPr>
      <w:r w:rsidRPr="007D770B">
        <w:rPr>
          <w:rFonts w:ascii="Times New Roman" w:hAnsi="Times New Roman"/>
          <w:lang w:val="en-US"/>
        </w:rPr>
        <w:t xml:space="preserve">financial aid </w:t>
      </w:r>
      <w:r w:rsidR="00A45133" w:rsidRPr="007D770B">
        <w:rPr>
          <w:rFonts w:ascii="Times New Roman" w:hAnsi="Times New Roman"/>
          <w:lang w:val="en-US"/>
        </w:rPr>
        <w:t>in connection with the birth</w:t>
      </w:r>
      <w:r w:rsidRPr="007D770B">
        <w:rPr>
          <w:rFonts w:ascii="Times New Roman" w:hAnsi="Times New Roman"/>
          <w:lang w:val="en-US"/>
        </w:rPr>
        <w:t xml:space="preserve"> of a </w:t>
      </w:r>
      <w:r w:rsidR="00A45133" w:rsidRPr="007D770B">
        <w:rPr>
          <w:rFonts w:ascii="Times New Roman" w:hAnsi="Times New Roman"/>
          <w:lang w:val="en-US"/>
        </w:rPr>
        <w:t xml:space="preserve">child/adoption or adoption of children, in connection with the death of an employee, spouse, children, parents of an employee and </w:t>
      </w:r>
      <w:r w:rsidR="00182389" w:rsidRPr="007D770B">
        <w:rPr>
          <w:rFonts w:ascii="Times New Roman" w:hAnsi="Times New Roman"/>
          <w:lang w:val="en-US"/>
        </w:rPr>
        <w:t xml:space="preserve">other cases stipulated by </w:t>
      </w:r>
      <w:r w:rsidR="00F9744B" w:rsidRPr="007D770B">
        <w:rPr>
          <w:rFonts w:ascii="Times New Roman" w:hAnsi="Times New Roman"/>
          <w:lang w:val="en-US"/>
        </w:rPr>
        <w:t xml:space="preserve">the </w:t>
      </w:r>
      <w:r w:rsidR="00A45133" w:rsidRPr="007D770B">
        <w:rPr>
          <w:rFonts w:ascii="Times New Roman" w:hAnsi="Times New Roman"/>
          <w:lang w:val="en-US"/>
        </w:rPr>
        <w:t xml:space="preserve">Rules of social support to the </w:t>
      </w:r>
      <w:r w:rsidR="00F9744B" w:rsidRPr="007D770B">
        <w:rPr>
          <w:rFonts w:ascii="Times New Roman" w:hAnsi="Times New Roman"/>
          <w:lang w:val="en-US"/>
        </w:rPr>
        <w:t xml:space="preserve">Bank's </w:t>
      </w:r>
      <w:r w:rsidR="00A45133" w:rsidRPr="007D770B">
        <w:rPr>
          <w:rFonts w:ascii="Times New Roman" w:hAnsi="Times New Roman"/>
          <w:lang w:val="en-US"/>
        </w:rPr>
        <w:t>employees</w:t>
      </w:r>
      <w:r w:rsidRPr="007D770B">
        <w:rPr>
          <w:rFonts w:ascii="Times New Roman" w:hAnsi="Times New Roman"/>
          <w:lang w:val="en-US"/>
        </w:rPr>
        <w:t>;</w:t>
      </w:r>
    </w:p>
    <w:p w14:paraId="0B4747FE" w14:textId="77777777" w:rsidR="009E2B77" w:rsidRPr="007D770B" w:rsidRDefault="009E2B77" w:rsidP="00CD4EFA">
      <w:pPr>
        <w:spacing w:before="240" w:line="240" w:lineRule="auto"/>
        <w:ind w:left="0"/>
        <w:rPr>
          <w:rFonts w:ascii="Times New Roman" w:hAnsi="Times New Roman"/>
          <w:lang w:val="en-US"/>
        </w:rPr>
      </w:pPr>
      <w:r w:rsidRPr="007D770B">
        <w:rPr>
          <w:rFonts w:ascii="Times New Roman" w:hAnsi="Times New Roman"/>
          <w:lang w:val="en-US"/>
        </w:rPr>
        <w:t>Expenditure on bonuses and awards (including the value of non-cash bonuses) that are regular or recurring in nature is recognized over the period for which they are paid if:</w:t>
      </w:r>
    </w:p>
    <w:p w14:paraId="48A1883B" w14:textId="77777777" w:rsidR="009E2B77" w:rsidRPr="007D770B" w:rsidRDefault="009E2B77" w:rsidP="00AE698A">
      <w:pPr>
        <w:numPr>
          <w:ilvl w:val="0"/>
          <w:numId w:val="147"/>
        </w:numPr>
        <w:spacing w:before="240" w:line="240" w:lineRule="auto"/>
        <w:rPr>
          <w:rFonts w:ascii="Times New Roman" w:hAnsi="Times New Roman"/>
          <w:lang w:val="en-US"/>
        </w:rPr>
      </w:pPr>
      <w:r w:rsidRPr="007D770B">
        <w:rPr>
          <w:rFonts w:ascii="Times New Roman" w:hAnsi="Times New Roman"/>
          <w:lang w:val="en-US"/>
        </w:rPr>
        <w:t xml:space="preserve">The </w:t>
      </w:r>
      <w:r w:rsidR="00F9744B" w:rsidRPr="007D770B">
        <w:rPr>
          <w:rFonts w:ascii="Times New Roman" w:hAnsi="Times New Roman"/>
          <w:lang w:val="en-US"/>
        </w:rPr>
        <w:t xml:space="preserve">Bank </w:t>
      </w:r>
      <w:r w:rsidRPr="007D770B">
        <w:rPr>
          <w:rFonts w:ascii="Times New Roman" w:hAnsi="Times New Roman"/>
          <w:lang w:val="en-US"/>
        </w:rPr>
        <w:t>has an obligation arising from contractual or statutory requirements or customary practice;</w:t>
      </w:r>
    </w:p>
    <w:p w14:paraId="77F42681" w14:textId="77777777" w:rsidR="009E2B77" w:rsidRPr="007D770B" w:rsidRDefault="009E2B77" w:rsidP="00AE698A">
      <w:pPr>
        <w:numPr>
          <w:ilvl w:val="0"/>
          <w:numId w:val="147"/>
        </w:numPr>
        <w:spacing w:before="240" w:line="240" w:lineRule="auto"/>
        <w:rPr>
          <w:rFonts w:ascii="Times New Roman" w:hAnsi="Times New Roman"/>
          <w:lang w:val="en-US"/>
        </w:rPr>
      </w:pPr>
      <w:r w:rsidRPr="007D770B">
        <w:rPr>
          <w:rFonts w:ascii="Times New Roman" w:hAnsi="Times New Roman"/>
          <w:lang w:val="en-US"/>
        </w:rPr>
        <w:t>this liability can be reliably measured in monetary terms.</w:t>
      </w:r>
    </w:p>
    <w:p w14:paraId="6C76193F" w14:textId="77777777" w:rsidR="009E2B77" w:rsidRPr="007D770B" w:rsidRDefault="009E2B77" w:rsidP="00F96B17">
      <w:pPr>
        <w:spacing w:before="240" w:line="240" w:lineRule="auto"/>
        <w:ind w:left="0"/>
        <w:rPr>
          <w:rFonts w:ascii="Times New Roman" w:hAnsi="Times New Roman"/>
          <w:lang w:val="en-US"/>
        </w:rPr>
      </w:pPr>
      <w:r w:rsidRPr="007D770B">
        <w:rPr>
          <w:rFonts w:ascii="Times New Roman" w:hAnsi="Times New Roman"/>
          <w:lang w:val="en-US"/>
        </w:rPr>
        <w:t xml:space="preserve">Expenses and liabilities for non-recurring incentive payments (other than bonuses and year-end remuneration), including the value of in-kind benefits, are recognized in the reporting period in which the </w:t>
      </w:r>
      <w:r w:rsidR="00F9744B" w:rsidRPr="007D770B">
        <w:rPr>
          <w:rFonts w:ascii="Times New Roman" w:hAnsi="Times New Roman"/>
          <w:lang w:val="en-US"/>
        </w:rPr>
        <w:t xml:space="preserve">Bank makes </w:t>
      </w:r>
      <w:r w:rsidRPr="007D770B">
        <w:rPr>
          <w:rFonts w:ascii="Times New Roman" w:hAnsi="Times New Roman"/>
          <w:lang w:val="en-US"/>
        </w:rPr>
        <w:t>the decision to pay the related benefits.</w:t>
      </w:r>
    </w:p>
    <w:p w14:paraId="09B385CB" w14:textId="77777777" w:rsidR="009E2B77" w:rsidRPr="007D770B" w:rsidRDefault="009E2B77" w:rsidP="00F96B17">
      <w:pPr>
        <w:spacing w:before="240" w:line="240" w:lineRule="auto"/>
        <w:ind w:left="0"/>
        <w:rPr>
          <w:rFonts w:ascii="Times New Roman" w:hAnsi="Times New Roman"/>
          <w:lang w:val="en-US"/>
        </w:rPr>
      </w:pPr>
      <w:r w:rsidRPr="007D770B">
        <w:rPr>
          <w:rFonts w:ascii="Times New Roman" w:hAnsi="Times New Roman"/>
          <w:lang w:val="en-US"/>
        </w:rPr>
        <w:t>Lump-sum incentive payments are payments that are not of a regular or periodic nature.</w:t>
      </w:r>
    </w:p>
    <w:p w14:paraId="4720729F" w14:textId="77777777" w:rsidR="009E2B77" w:rsidRPr="007D770B" w:rsidRDefault="009E2B77" w:rsidP="00F96B17">
      <w:pPr>
        <w:spacing w:before="240" w:line="240" w:lineRule="auto"/>
        <w:ind w:left="0"/>
        <w:rPr>
          <w:rFonts w:ascii="Times New Roman" w:hAnsi="Times New Roman"/>
          <w:b/>
          <w:lang w:val="en-US"/>
        </w:rPr>
      </w:pPr>
      <w:bookmarkStart w:id="226" w:name="wp1005577"/>
      <w:bookmarkStart w:id="227" w:name="wp999414"/>
      <w:bookmarkStart w:id="228" w:name="wp999417"/>
      <w:bookmarkStart w:id="229" w:name="wp999421"/>
      <w:bookmarkEnd w:id="226"/>
      <w:bookmarkEnd w:id="227"/>
      <w:bookmarkEnd w:id="228"/>
      <w:bookmarkEnd w:id="229"/>
      <w:r w:rsidRPr="007D770B">
        <w:rPr>
          <w:rFonts w:ascii="Times New Roman" w:hAnsi="Times New Roman"/>
          <w:b/>
          <w:lang w:val="en-US"/>
        </w:rPr>
        <w:t>Other long-term employee benefits</w:t>
      </w:r>
    </w:p>
    <w:p w14:paraId="42DA083E" w14:textId="77777777" w:rsidR="009E2B77" w:rsidRPr="007D770B" w:rsidRDefault="009E2B77" w:rsidP="006E2779">
      <w:pPr>
        <w:tabs>
          <w:tab w:val="left" w:pos="0"/>
        </w:tabs>
        <w:spacing w:before="240" w:line="240" w:lineRule="auto"/>
        <w:ind w:left="0"/>
        <w:rPr>
          <w:rFonts w:ascii="Times New Roman" w:hAnsi="Times New Roman"/>
          <w:lang w:val="en-US"/>
        </w:rPr>
      </w:pPr>
      <w:r w:rsidRPr="007D770B">
        <w:rPr>
          <w:rFonts w:ascii="Times New Roman" w:hAnsi="Times New Roman"/>
          <w:lang w:val="en-US"/>
        </w:rPr>
        <w:t xml:space="preserve">Other long-term employee benefits </w:t>
      </w:r>
      <w:r w:rsidR="00A675F2" w:rsidRPr="007D770B">
        <w:rPr>
          <w:rFonts w:ascii="Times New Roman" w:hAnsi="Times New Roman"/>
          <w:lang w:val="en-US"/>
        </w:rPr>
        <w:t xml:space="preserve">may </w:t>
      </w:r>
      <w:r w:rsidR="00E210E5" w:rsidRPr="007D770B">
        <w:rPr>
          <w:rFonts w:ascii="Times New Roman" w:hAnsi="Times New Roman"/>
          <w:lang w:val="en-US"/>
        </w:rPr>
        <w:t xml:space="preserve">include </w:t>
      </w:r>
      <w:r w:rsidR="006E2779" w:rsidRPr="007D770B">
        <w:rPr>
          <w:rFonts w:ascii="Times New Roman" w:hAnsi="Times New Roman"/>
          <w:lang w:val="en-US"/>
        </w:rPr>
        <w:t xml:space="preserve">employee benefits </w:t>
      </w:r>
      <w:r w:rsidRPr="007D770B">
        <w:rPr>
          <w:rFonts w:ascii="Times New Roman" w:hAnsi="Times New Roman"/>
          <w:lang w:val="en-US"/>
        </w:rPr>
        <w:t xml:space="preserve">for which the </w:t>
      </w:r>
      <w:r w:rsidR="00F9744B" w:rsidRPr="007D770B">
        <w:rPr>
          <w:rFonts w:ascii="Times New Roman" w:hAnsi="Times New Roman"/>
          <w:lang w:val="en-US"/>
        </w:rPr>
        <w:t xml:space="preserve">Bank </w:t>
      </w:r>
      <w:r w:rsidRPr="007D770B">
        <w:rPr>
          <w:rFonts w:ascii="Times New Roman" w:hAnsi="Times New Roman"/>
          <w:lang w:val="en-US"/>
        </w:rPr>
        <w:t>has an obligation to pay in the future, such as deferred compensation.</w:t>
      </w:r>
    </w:p>
    <w:p w14:paraId="417AFB21" w14:textId="20EC12E3" w:rsidR="009E2B77" w:rsidRPr="007D770B" w:rsidRDefault="00FB0C0D" w:rsidP="00E61D21">
      <w:pPr>
        <w:pStyle w:val="3"/>
        <w:rPr>
          <w:lang w:val="en-US"/>
        </w:rPr>
      </w:pPr>
      <w:bookmarkStart w:id="230" w:name="_Toc271279858"/>
      <w:bookmarkStart w:id="231" w:name="_Toc168502070"/>
      <w:r w:rsidRPr="007D770B">
        <w:rPr>
          <w:lang w:val="en-US"/>
        </w:rPr>
        <w:lastRenderedPageBreak/>
        <w:t>8</w:t>
      </w:r>
      <w:r w:rsidR="009E2B77" w:rsidRPr="007D770B">
        <w:rPr>
          <w:lang w:val="en-US"/>
        </w:rPr>
        <w:t>.5 Disclosure of information</w:t>
      </w:r>
      <w:bookmarkEnd w:id="230"/>
      <w:bookmarkEnd w:id="231"/>
    </w:p>
    <w:p w14:paraId="2600FB34" w14:textId="77777777" w:rsidR="009E2B77" w:rsidRPr="007D770B" w:rsidRDefault="009E2B77" w:rsidP="00F96B17">
      <w:pPr>
        <w:spacing w:before="240" w:line="240" w:lineRule="auto"/>
        <w:ind w:left="0"/>
        <w:rPr>
          <w:rFonts w:ascii="Times New Roman" w:hAnsi="Times New Roman"/>
          <w:b/>
          <w:lang w:val="en-US"/>
        </w:rPr>
      </w:pPr>
      <w:r w:rsidRPr="007D770B">
        <w:rPr>
          <w:rFonts w:ascii="Times New Roman" w:hAnsi="Times New Roman"/>
          <w:b/>
          <w:lang w:val="en-US"/>
        </w:rPr>
        <w:t>Disclosure of information on short-term employee benefits</w:t>
      </w:r>
    </w:p>
    <w:p w14:paraId="0EB1C80B" w14:textId="35C29E53" w:rsidR="009E2B77" w:rsidRPr="007D770B" w:rsidRDefault="009E2B77" w:rsidP="00F96B17">
      <w:pPr>
        <w:spacing w:before="240" w:line="240" w:lineRule="auto"/>
        <w:ind w:left="0"/>
        <w:rPr>
          <w:rFonts w:ascii="Times New Roman" w:hAnsi="Times New Roman"/>
          <w:lang w:val="en-US"/>
        </w:rPr>
      </w:pPr>
      <w:r w:rsidRPr="007D770B">
        <w:rPr>
          <w:rFonts w:ascii="Times New Roman" w:hAnsi="Times New Roman"/>
          <w:lang w:val="en-US"/>
        </w:rPr>
        <w:t xml:space="preserve">Although this section of the accounting policy does not require specific disclosures about short-term employee benefits, other sections may require them. For example, Section </w:t>
      </w:r>
      <w:r w:rsidR="001A2739" w:rsidRPr="007D770B">
        <w:rPr>
          <w:rFonts w:ascii="Times New Roman" w:hAnsi="Times New Roman"/>
          <w:lang w:val="en-US"/>
        </w:rPr>
        <w:t xml:space="preserve">2 </w:t>
      </w:r>
      <w:r w:rsidRPr="007D770B">
        <w:rPr>
          <w:rFonts w:ascii="Times New Roman" w:hAnsi="Times New Roman"/>
          <w:lang w:val="en-US"/>
        </w:rPr>
        <w:t>Related Parties (IAS 24) of Chapter 3 requires disclosure of key management personnel benefits, Section 1 Presentation of Financial Statements (IAS 1) of Chapter 1 requires disclosure of the amount of employee benefit expense.</w:t>
      </w:r>
    </w:p>
    <w:p w14:paraId="555412C7" w14:textId="77777777" w:rsidR="0005635A" w:rsidRPr="007D770B" w:rsidRDefault="0005635A" w:rsidP="00F96B17">
      <w:pPr>
        <w:spacing w:before="240" w:line="240" w:lineRule="auto"/>
        <w:ind w:left="0"/>
        <w:rPr>
          <w:rFonts w:ascii="Times New Roman" w:hAnsi="Times New Roman"/>
          <w:lang w:val="en-US"/>
        </w:rPr>
      </w:pPr>
    </w:p>
    <w:p w14:paraId="156152C2" w14:textId="77777777" w:rsidR="000610F9" w:rsidRPr="007D770B" w:rsidRDefault="000610F9" w:rsidP="00F96B17">
      <w:pPr>
        <w:spacing w:before="240" w:line="240" w:lineRule="auto"/>
        <w:ind w:left="0"/>
        <w:rPr>
          <w:rFonts w:ascii="Times New Roman" w:hAnsi="Times New Roman"/>
          <w:lang w:val="en-US"/>
        </w:rPr>
        <w:sectPr w:rsidR="000610F9" w:rsidRPr="007D770B" w:rsidSect="000610F9">
          <w:headerReference w:type="even" r:id="rId52"/>
          <w:headerReference w:type="default" r:id="rId53"/>
          <w:headerReference w:type="first" r:id="rId54"/>
          <w:pgSz w:w="11906" w:h="16838"/>
          <w:pgMar w:top="1268" w:right="680" w:bottom="900" w:left="1134" w:header="510" w:footer="404" w:gutter="0"/>
          <w:cols w:space="708"/>
          <w:titlePg/>
          <w:docGrid w:linePitch="360"/>
        </w:sectPr>
      </w:pPr>
    </w:p>
    <w:p w14:paraId="51B0969F" w14:textId="5065C1E0" w:rsidR="009E2B77" w:rsidRPr="007D770B" w:rsidRDefault="009E2B77" w:rsidP="005B703E">
      <w:pPr>
        <w:pStyle w:val="2"/>
        <w:keepNext w:val="0"/>
        <w:keepLines w:val="0"/>
        <w:pageBreakBefore/>
        <w:spacing w:before="240"/>
        <w:jc w:val="both"/>
        <w:rPr>
          <w:rFonts w:ascii="Times New Roman" w:hAnsi="Times New Roman"/>
          <w:szCs w:val="20"/>
          <w:lang w:val="en-US" w:eastAsia="ru-RU"/>
        </w:rPr>
      </w:pPr>
      <w:bookmarkStart w:id="232" w:name="_Toc270001458"/>
      <w:bookmarkStart w:id="233" w:name="_Toc168502071"/>
      <w:r w:rsidRPr="007D770B">
        <w:rPr>
          <w:rFonts w:ascii="Times New Roman" w:hAnsi="Times New Roman"/>
          <w:szCs w:val="20"/>
          <w:lang w:val="en-US" w:eastAsia="ru-RU"/>
        </w:rPr>
        <w:lastRenderedPageBreak/>
        <w:t xml:space="preserve">Section </w:t>
      </w:r>
      <w:r w:rsidR="00B61F30" w:rsidRPr="007D770B">
        <w:rPr>
          <w:rFonts w:ascii="Times New Roman" w:hAnsi="Times New Roman"/>
          <w:szCs w:val="20"/>
          <w:lang w:val="en-US" w:eastAsia="ru-RU"/>
        </w:rPr>
        <w:t>9</w:t>
      </w:r>
      <w:r w:rsidRPr="007D770B">
        <w:rPr>
          <w:rFonts w:ascii="Times New Roman" w:hAnsi="Times New Roman"/>
          <w:szCs w:val="20"/>
          <w:lang w:val="en-US" w:eastAsia="ru-RU"/>
        </w:rPr>
        <w:t xml:space="preserve">. </w:t>
      </w:r>
      <w:bookmarkEnd w:id="232"/>
      <w:r w:rsidR="00036701" w:rsidRPr="007D770B">
        <w:rPr>
          <w:rFonts w:ascii="Times New Roman" w:hAnsi="Times New Roman"/>
          <w:szCs w:val="20"/>
          <w:lang w:val="en-US" w:eastAsia="ru-RU"/>
        </w:rPr>
        <w:t xml:space="preserve">Revenue from contracts with customers </w:t>
      </w:r>
      <w:r w:rsidRPr="007D770B">
        <w:rPr>
          <w:rFonts w:ascii="Times New Roman" w:hAnsi="Times New Roman"/>
          <w:szCs w:val="20"/>
          <w:lang w:val="en-US" w:eastAsia="ru-RU"/>
        </w:rPr>
        <w:t>(</w:t>
      </w:r>
      <w:r w:rsidR="007067A4" w:rsidRPr="007D770B">
        <w:rPr>
          <w:rFonts w:ascii="Times New Roman" w:hAnsi="Times New Roman"/>
          <w:szCs w:val="20"/>
          <w:lang w:val="en-US" w:eastAsia="ru-RU"/>
        </w:rPr>
        <w:t>IFRS 15</w:t>
      </w:r>
      <w:r w:rsidRPr="007D770B">
        <w:rPr>
          <w:rFonts w:ascii="Times New Roman" w:hAnsi="Times New Roman"/>
          <w:szCs w:val="20"/>
          <w:lang w:val="en-US" w:eastAsia="ru-RU"/>
        </w:rPr>
        <w:t>)</w:t>
      </w:r>
      <w:bookmarkEnd w:id="233"/>
    </w:p>
    <w:p w14:paraId="7E8F29CD" w14:textId="57DC527B" w:rsidR="009E2B77" w:rsidRPr="007D770B" w:rsidRDefault="00B61F30" w:rsidP="00E61D21">
      <w:pPr>
        <w:pStyle w:val="3"/>
        <w:rPr>
          <w:lang w:val="en-US"/>
        </w:rPr>
      </w:pPr>
      <w:bookmarkStart w:id="234" w:name="_Toc270001459"/>
      <w:bookmarkStart w:id="235" w:name="_Toc168502072"/>
      <w:r w:rsidRPr="007D770B">
        <w:rPr>
          <w:lang w:val="en-US"/>
        </w:rPr>
        <w:t>9</w:t>
      </w:r>
      <w:r w:rsidR="009E2B77" w:rsidRPr="007D770B">
        <w:rPr>
          <w:lang w:val="en-US"/>
        </w:rPr>
        <w:t>.1 General provisions</w:t>
      </w:r>
      <w:bookmarkEnd w:id="234"/>
      <w:bookmarkEnd w:id="235"/>
    </w:p>
    <w:p w14:paraId="699388AB" w14:textId="77777777" w:rsidR="007067A4" w:rsidRPr="007D770B" w:rsidRDefault="007067A4" w:rsidP="007067A4">
      <w:pPr>
        <w:spacing w:before="240" w:line="240" w:lineRule="auto"/>
        <w:ind w:left="0"/>
        <w:rPr>
          <w:rFonts w:ascii="Times New Roman" w:hAnsi="Times New Roman"/>
          <w:lang w:val="en-US" w:eastAsia="ru-RU"/>
        </w:rPr>
      </w:pPr>
      <w:r w:rsidRPr="007D770B">
        <w:rPr>
          <w:rFonts w:ascii="Times New Roman" w:hAnsi="Times New Roman"/>
          <w:lang w:val="en-US" w:eastAsia="ru-RU"/>
        </w:rPr>
        <w:t>The Bank recognizes revenue to reflect the transfer of promised goods or services to customers in an amount equal to the consideration to which the Bank expects to be entitled in exchange for the goods or services. The Bank analyzes the contractual terms and conditions and all relevant facts and circumstances following these principles:</w:t>
      </w:r>
    </w:p>
    <w:p w14:paraId="5BEEE52E" w14:textId="77777777" w:rsidR="007067A4" w:rsidRPr="007D770B" w:rsidRDefault="007067A4" w:rsidP="007067A4">
      <w:pPr>
        <w:spacing w:before="240" w:line="240" w:lineRule="auto"/>
        <w:ind w:left="0"/>
        <w:rPr>
          <w:rFonts w:ascii="Times New Roman" w:hAnsi="Times New Roman"/>
          <w:b/>
          <w:lang w:val="en-US" w:eastAsia="ru-RU"/>
        </w:rPr>
      </w:pPr>
      <w:r w:rsidRPr="007D770B">
        <w:rPr>
          <w:rFonts w:ascii="Times New Roman" w:hAnsi="Times New Roman"/>
          <w:b/>
          <w:lang w:val="en-US" w:eastAsia="ru-RU"/>
        </w:rPr>
        <w:t>Contract identification</w:t>
      </w:r>
    </w:p>
    <w:p w14:paraId="76DB067A" w14:textId="77777777" w:rsidR="007067A4" w:rsidRPr="007D770B" w:rsidRDefault="007067A4" w:rsidP="007067A4">
      <w:pPr>
        <w:spacing w:before="240" w:line="240" w:lineRule="auto"/>
        <w:ind w:left="0"/>
        <w:rPr>
          <w:rFonts w:ascii="Times New Roman" w:hAnsi="Times New Roman"/>
          <w:lang w:val="en-US" w:eastAsia="ru-RU"/>
        </w:rPr>
      </w:pPr>
      <w:bookmarkStart w:id="236" w:name="F31712415"/>
      <w:r w:rsidRPr="007D770B">
        <w:rPr>
          <w:rFonts w:ascii="Times New Roman" w:hAnsi="Times New Roman"/>
          <w:lang w:val="en-US" w:eastAsia="ru-RU"/>
        </w:rPr>
        <w:t>The bank will only consider the contract with the buyer if all the criteria listed below are met:</w:t>
      </w:r>
      <w:bookmarkEnd w:id="236"/>
    </w:p>
    <w:p w14:paraId="4B945E52" w14:textId="77777777" w:rsidR="007067A4" w:rsidRPr="007D770B" w:rsidRDefault="007067A4" w:rsidP="00AE698A">
      <w:pPr>
        <w:numPr>
          <w:ilvl w:val="4"/>
          <w:numId w:val="366"/>
        </w:numPr>
        <w:spacing w:before="120" w:after="120" w:line="240" w:lineRule="auto"/>
        <w:ind w:left="432"/>
        <w:rPr>
          <w:rFonts w:ascii="Times New Roman" w:hAnsi="Times New Roman"/>
          <w:lang w:val="en-US" w:eastAsia="ru-RU"/>
        </w:rPr>
      </w:pPr>
      <w:bookmarkStart w:id="237" w:name="F31712418"/>
      <w:r w:rsidRPr="007D770B">
        <w:rPr>
          <w:rFonts w:ascii="Times New Roman" w:hAnsi="Times New Roman"/>
          <w:lang w:val="en-US" w:eastAsia="ru-RU"/>
        </w:rPr>
        <w:t>the parties to the contract have approved the contract (in writing, orally or in accordance with other customary business practice) and undertake to perform the obligations set out in the contract;</w:t>
      </w:r>
      <w:bookmarkEnd w:id="237"/>
    </w:p>
    <w:p w14:paraId="15F34E20" w14:textId="77777777" w:rsidR="007067A4" w:rsidRPr="007D770B" w:rsidRDefault="007067A4" w:rsidP="00AE698A">
      <w:pPr>
        <w:numPr>
          <w:ilvl w:val="4"/>
          <w:numId w:val="366"/>
        </w:numPr>
        <w:spacing w:before="120" w:after="120" w:line="240" w:lineRule="auto"/>
        <w:ind w:left="432"/>
        <w:rPr>
          <w:rFonts w:ascii="Times New Roman" w:hAnsi="Times New Roman"/>
          <w:lang w:val="en-US" w:eastAsia="ru-RU"/>
        </w:rPr>
      </w:pPr>
      <w:bookmarkStart w:id="238" w:name="F31712420"/>
      <w:r w:rsidRPr="007D770B">
        <w:rPr>
          <w:rFonts w:ascii="Times New Roman" w:hAnsi="Times New Roman"/>
          <w:lang w:val="en-US" w:eastAsia="ru-RU"/>
        </w:rPr>
        <w:t>The bank can identify each party's rights in the goods or services to be transferred;</w:t>
      </w:r>
      <w:bookmarkEnd w:id="238"/>
    </w:p>
    <w:p w14:paraId="3208EF67" w14:textId="77777777" w:rsidR="007067A4" w:rsidRPr="007D770B" w:rsidRDefault="007067A4" w:rsidP="00AE698A">
      <w:pPr>
        <w:numPr>
          <w:ilvl w:val="4"/>
          <w:numId w:val="366"/>
        </w:numPr>
        <w:spacing w:before="120" w:after="120" w:line="240" w:lineRule="auto"/>
        <w:ind w:left="432"/>
        <w:rPr>
          <w:rFonts w:ascii="Times New Roman" w:hAnsi="Times New Roman"/>
          <w:lang w:val="en-US" w:eastAsia="ru-RU"/>
        </w:rPr>
      </w:pPr>
      <w:bookmarkStart w:id="239" w:name="F31712422"/>
      <w:r w:rsidRPr="007D770B">
        <w:rPr>
          <w:rFonts w:ascii="Times New Roman" w:hAnsi="Times New Roman"/>
          <w:lang w:val="en-US" w:eastAsia="ru-RU"/>
        </w:rPr>
        <w:t>The bank can identify the payment terms for the goods or services to be transferred;</w:t>
      </w:r>
      <w:bookmarkEnd w:id="239"/>
    </w:p>
    <w:p w14:paraId="1BD50ABA" w14:textId="77777777" w:rsidR="007067A4" w:rsidRPr="007D770B" w:rsidRDefault="007067A4" w:rsidP="00AE698A">
      <w:pPr>
        <w:numPr>
          <w:ilvl w:val="4"/>
          <w:numId w:val="366"/>
        </w:numPr>
        <w:spacing w:before="120" w:after="120" w:line="240" w:lineRule="auto"/>
        <w:ind w:left="432"/>
        <w:rPr>
          <w:rFonts w:ascii="Times New Roman" w:hAnsi="Times New Roman"/>
          <w:lang w:val="en-US" w:eastAsia="ru-RU"/>
        </w:rPr>
      </w:pPr>
      <w:bookmarkStart w:id="240" w:name="F31712424"/>
      <w:r w:rsidRPr="007D770B">
        <w:rPr>
          <w:rFonts w:ascii="Times New Roman" w:hAnsi="Times New Roman"/>
          <w:lang w:val="en-US" w:eastAsia="ru-RU"/>
        </w:rPr>
        <w:t>the contract has commercial substance (i.e. the risks, time allocation or magnitude of future cash flows expected to change as a result of the contract); and</w:t>
      </w:r>
      <w:bookmarkEnd w:id="240"/>
    </w:p>
    <w:p w14:paraId="57093FE9" w14:textId="77777777" w:rsidR="007067A4" w:rsidRPr="007D770B" w:rsidRDefault="007067A4" w:rsidP="00AE698A">
      <w:pPr>
        <w:numPr>
          <w:ilvl w:val="4"/>
          <w:numId w:val="366"/>
        </w:numPr>
        <w:spacing w:before="120" w:after="120" w:line="240" w:lineRule="auto"/>
        <w:ind w:left="432"/>
        <w:rPr>
          <w:rFonts w:ascii="Times New Roman" w:hAnsi="Times New Roman"/>
          <w:lang w:val="en-US" w:eastAsia="ru-RU"/>
        </w:rPr>
      </w:pPr>
      <w:bookmarkStart w:id="241" w:name="F31712426"/>
      <w:r w:rsidRPr="007D770B">
        <w:rPr>
          <w:rFonts w:ascii="Times New Roman" w:hAnsi="Times New Roman"/>
          <w:lang w:val="en-US" w:eastAsia="ru-RU"/>
        </w:rPr>
        <w:t>it is probable that the Bank will receive consideration to which it is entitled in exchange for goods or services to be transferred to the customer. In assessing the likelihood of receipt of consideration, the Bank shall consider only the buyer's ability and intention to pay that amount of consideration when due. The amount of consideration to which the Bank will be entitled may be less than the price specified in the contract if the consideration is variable because the Bank may offer the customer a concession in price .</w:t>
      </w:r>
      <w:bookmarkEnd w:id="241"/>
    </w:p>
    <w:p w14:paraId="18E5AC48" w14:textId="77777777" w:rsidR="007067A4" w:rsidRPr="007D770B" w:rsidRDefault="007067A4" w:rsidP="007067A4">
      <w:pPr>
        <w:spacing w:before="240" w:line="240" w:lineRule="auto"/>
        <w:ind w:left="0"/>
        <w:rPr>
          <w:rFonts w:ascii="Times New Roman" w:hAnsi="Times New Roman"/>
          <w:b/>
          <w:lang w:val="en-US" w:eastAsia="ru-RU"/>
        </w:rPr>
      </w:pPr>
      <w:r w:rsidRPr="007D770B">
        <w:rPr>
          <w:rFonts w:ascii="Times New Roman" w:hAnsi="Times New Roman"/>
          <w:b/>
          <w:lang w:val="en-US" w:eastAsia="ru-RU"/>
        </w:rPr>
        <w:t>Identification of performance obligations</w:t>
      </w:r>
    </w:p>
    <w:p w14:paraId="3E0F0971" w14:textId="77777777" w:rsidR="007067A4" w:rsidRPr="007D770B" w:rsidRDefault="007067A4" w:rsidP="007067A4">
      <w:pPr>
        <w:spacing w:before="240" w:line="240" w:lineRule="auto"/>
        <w:ind w:left="0"/>
        <w:rPr>
          <w:rFonts w:ascii="Times New Roman" w:hAnsi="Times New Roman"/>
          <w:lang w:val="en-US" w:eastAsia="ru-RU"/>
        </w:rPr>
      </w:pPr>
      <w:r w:rsidRPr="007D770B">
        <w:rPr>
          <w:rFonts w:ascii="Times New Roman" w:hAnsi="Times New Roman"/>
          <w:lang w:val="en-US" w:eastAsia="ru-RU"/>
        </w:rPr>
        <w:t>At contract inception, the Bank shall evaluate the goods or services promised under the contract with the customer and identify as a performance obligation each promise to transfer to the customer:</w:t>
      </w:r>
    </w:p>
    <w:p w14:paraId="61EA123C" w14:textId="77777777" w:rsidR="007067A4" w:rsidRPr="007D770B" w:rsidRDefault="007067A4" w:rsidP="00AE698A">
      <w:pPr>
        <w:numPr>
          <w:ilvl w:val="4"/>
          <w:numId w:val="366"/>
        </w:numPr>
        <w:spacing w:before="120" w:after="120" w:line="240" w:lineRule="auto"/>
        <w:ind w:left="432"/>
        <w:rPr>
          <w:rFonts w:ascii="Times New Roman" w:hAnsi="Times New Roman"/>
          <w:lang w:val="en-US" w:eastAsia="ru-RU"/>
        </w:rPr>
      </w:pPr>
      <w:r w:rsidRPr="007D770B">
        <w:rPr>
          <w:rFonts w:ascii="Times New Roman" w:hAnsi="Times New Roman"/>
          <w:lang w:val="en-US" w:eastAsia="ru-RU"/>
        </w:rPr>
        <w:t>A good or service (or bundle of goods or services) that is distinctive; or</w:t>
      </w:r>
    </w:p>
    <w:p w14:paraId="6BCA6DFF" w14:textId="77777777" w:rsidR="007067A4" w:rsidRPr="007D770B" w:rsidRDefault="007067A4" w:rsidP="00AE698A">
      <w:pPr>
        <w:numPr>
          <w:ilvl w:val="4"/>
          <w:numId w:val="366"/>
        </w:numPr>
        <w:spacing w:before="120" w:after="120" w:line="240" w:lineRule="auto"/>
        <w:ind w:left="432"/>
        <w:rPr>
          <w:rFonts w:ascii="Times New Roman" w:hAnsi="Times New Roman"/>
          <w:lang w:val="en-US" w:eastAsia="ru-RU"/>
        </w:rPr>
      </w:pPr>
      <w:r w:rsidRPr="007D770B">
        <w:rPr>
          <w:rFonts w:ascii="Times New Roman" w:hAnsi="Times New Roman"/>
          <w:lang w:val="en-US" w:eastAsia="ru-RU"/>
        </w:rPr>
        <w:t>A series of distinguishable goods or services that are substantially the same and are transferred to the purchaser in the same pattern.</w:t>
      </w:r>
    </w:p>
    <w:p w14:paraId="4FEAC68C" w14:textId="77777777" w:rsidR="007067A4" w:rsidRPr="007D770B" w:rsidRDefault="007067A4" w:rsidP="007067A4">
      <w:pPr>
        <w:spacing w:before="240" w:line="240" w:lineRule="auto"/>
        <w:ind w:left="0"/>
        <w:rPr>
          <w:rFonts w:ascii="Times New Roman" w:hAnsi="Times New Roman"/>
          <w:b/>
          <w:lang w:val="en-US" w:eastAsia="ru-RU"/>
        </w:rPr>
      </w:pPr>
      <w:r w:rsidRPr="007D770B">
        <w:rPr>
          <w:rFonts w:ascii="Times New Roman" w:hAnsi="Times New Roman"/>
          <w:b/>
          <w:lang w:val="en-US" w:eastAsia="ru-RU"/>
        </w:rPr>
        <w:t>Determination of the transaction price</w:t>
      </w:r>
    </w:p>
    <w:p w14:paraId="7CCFCCE3" w14:textId="77777777" w:rsidR="007067A4" w:rsidRPr="007D770B" w:rsidRDefault="007067A4" w:rsidP="007067A4">
      <w:pPr>
        <w:pStyle w:val="IASBNormalnpara"/>
        <w:ind w:left="0" w:firstLine="0"/>
        <w:rPr>
          <w:b/>
        </w:rPr>
      </w:pPr>
      <w:r w:rsidRPr="007D770B">
        <w:rPr>
          <w:rFonts w:eastAsia="Calibri"/>
          <w:sz w:val="20"/>
          <w:lang w:eastAsia="ru-RU"/>
        </w:rPr>
        <w:t>The Bank should analyze the terms of the contract and its customary business practices in determining the transaction price. The transaction price is the amount of consideration to which the Bank expects to be entitled in exchange for transferring promised goods or services to the customer, excluding amounts collected on behalf of third parties (e.g., certain sales taxes). The consideration promised under a contract with a customer may include fixed amounts, variable amounts or both.</w:t>
      </w:r>
    </w:p>
    <w:p w14:paraId="4AF40D1C" w14:textId="77777777" w:rsidR="007067A4" w:rsidRPr="007D770B" w:rsidRDefault="007067A4" w:rsidP="007067A4">
      <w:pPr>
        <w:spacing w:before="240" w:line="240" w:lineRule="auto"/>
        <w:ind w:left="0"/>
        <w:rPr>
          <w:rFonts w:ascii="Times New Roman" w:hAnsi="Times New Roman"/>
          <w:b/>
          <w:lang w:val="en-US" w:eastAsia="ru-RU"/>
        </w:rPr>
      </w:pPr>
      <w:r w:rsidRPr="007D770B">
        <w:rPr>
          <w:rFonts w:ascii="Times New Roman" w:hAnsi="Times New Roman"/>
          <w:b/>
          <w:lang w:val="en-US" w:eastAsia="ru-RU"/>
        </w:rPr>
        <w:t>Allocation of transaction price to performance obligations</w:t>
      </w:r>
    </w:p>
    <w:p w14:paraId="0FA7D3B3" w14:textId="77777777" w:rsidR="007067A4" w:rsidRPr="007D770B" w:rsidRDefault="007067A4" w:rsidP="007067A4">
      <w:pPr>
        <w:pStyle w:val="IASBNormalnpara"/>
        <w:ind w:left="0" w:firstLine="0"/>
        <w:rPr>
          <w:b/>
        </w:rPr>
      </w:pPr>
      <w:r w:rsidRPr="007D770B">
        <w:rPr>
          <w:rFonts w:eastAsia="Calibri"/>
          <w:sz w:val="20"/>
          <w:lang w:eastAsia="ru-RU"/>
        </w:rPr>
        <w:t>The Bank allocates the transaction price to each performance obligation (or distinct good or service) in an amount that reflects the consideration to which the Bank expects to be entitled in exchange for transferring the promised goods or services to the customer.</w:t>
      </w:r>
    </w:p>
    <w:p w14:paraId="34713C6A" w14:textId="77777777" w:rsidR="007067A4" w:rsidRPr="007D770B" w:rsidRDefault="007067A4" w:rsidP="007067A4">
      <w:pPr>
        <w:spacing w:before="240" w:line="240" w:lineRule="auto"/>
        <w:ind w:left="0"/>
        <w:rPr>
          <w:rFonts w:ascii="Times New Roman" w:hAnsi="Times New Roman"/>
          <w:i/>
          <w:lang w:val="en-US" w:eastAsia="ru-RU"/>
        </w:rPr>
      </w:pPr>
      <w:r w:rsidRPr="007D770B">
        <w:rPr>
          <w:rFonts w:ascii="Times New Roman" w:hAnsi="Times New Roman"/>
          <w:b/>
          <w:lang w:val="en-US" w:eastAsia="ru-RU"/>
        </w:rPr>
        <w:t>Revenue recognition</w:t>
      </w:r>
    </w:p>
    <w:p w14:paraId="772785CC" w14:textId="77777777" w:rsidR="007067A4" w:rsidRPr="007D770B" w:rsidRDefault="007067A4" w:rsidP="007067A4">
      <w:pPr>
        <w:pStyle w:val="IASBNormalnpara"/>
        <w:ind w:left="0" w:firstLine="0"/>
        <w:rPr>
          <w:b/>
        </w:rPr>
      </w:pPr>
      <w:r w:rsidRPr="007D770B">
        <w:rPr>
          <w:rFonts w:eastAsia="Calibri"/>
          <w:sz w:val="20"/>
          <w:lang w:eastAsia="ru-RU"/>
        </w:rPr>
        <w:t>The Bank shall recognize revenue when (or as) the Bank satisfies a performance obligation by transferring a promised good or service (i.e., an asset) to a customer. An asset is transferred when (or as) the customer obtains control of that asset.</w:t>
      </w:r>
    </w:p>
    <w:p w14:paraId="4244D467" w14:textId="6208F53F" w:rsidR="007067A4" w:rsidRPr="007D770B" w:rsidRDefault="00B61F30" w:rsidP="00E61D21">
      <w:pPr>
        <w:pStyle w:val="3"/>
        <w:rPr>
          <w:lang w:val="en-US"/>
        </w:rPr>
      </w:pPr>
      <w:bookmarkStart w:id="242" w:name="_Toc378283455"/>
      <w:bookmarkStart w:id="243" w:name="_Toc494187440"/>
      <w:bookmarkStart w:id="244" w:name="_Toc168502073"/>
      <w:bookmarkStart w:id="245" w:name="_Toc270001460"/>
      <w:r w:rsidRPr="007D770B">
        <w:rPr>
          <w:lang w:val="en-US"/>
        </w:rPr>
        <w:t>9</w:t>
      </w:r>
      <w:r w:rsidR="007067A4" w:rsidRPr="007D770B">
        <w:rPr>
          <w:lang w:val="en-US"/>
        </w:rPr>
        <w:t>.2 Definitions</w:t>
      </w:r>
      <w:bookmarkEnd w:id="242"/>
      <w:bookmarkEnd w:id="243"/>
      <w:bookmarkEnd w:id="244"/>
    </w:p>
    <w:p w14:paraId="65953F78" w14:textId="77777777" w:rsidR="007067A4" w:rsidRPr="007D770B" w:rsidRDefault="007067A4" w:rsidP="007067A4">
      <w:pPr>
        <w:spacing w:before="240" w:line="240" w:lineRule="auto"/>
        <w:ind w:left="0"/>
        <w:rPr>
          <w:rFonts w:ascii="Times New Roman" w:hAnsi="Times New Roman"/>
          <w:lang w:val="en-US" w:eastAsia="ru-RU"/>
        </w:rPr>
      </w:pPr>
      <w:r w:rsidRPr="007D770B">
        <w:rPr>
          <w:rFonts w:ascii="Times New Roman" w:hAnsi="Times New Roman"/>
          <w:b/>
          <w:lang w:val="en-US" w:eastAsia="ru-RU"/>
        </w:rPr>
        <w:t xml:space="preserve">A contract </w:t>
      </w:r>
      <w:r w:rsidRPr="007D770B">
        <w:rPr>
          <w:rFonts w:ascii="Times New Roman" w:hAnsi="Times New Roman"/>
          <w:lang w:val="en-US" w:eastAsia="ru-RU"/>
        </w:rPr>
        <w:t>is an agreement between two or more parties that creates enforceable rights and obligations.</w:t>
      </w:r>
    </w:p>
    <w:p w14:paraId="29B0C672" w14:textId="77777777" w:rsidR="007067A4" w:rsidRPr="007D770B" w:rsidRDefault="007067A4" w:rsidP="007067A4">
      <w:pPr>
        <w:spacing w:before="240" w:line="240" w:lineRule="auto"/>
        <w:ind w:left="0"/>
        <w:rPr>
          <w:rFonts w:ascii="Times New Roman" w:hAnsi="Times New Roman"/>
          <w:lang w:val="en-US" w:eastAsia="ru-RU"/>
        </w:rPr>
      </w:pPr>
      <w:r w:rsidRPr="007D770B">
        <w:rPr>
          <w:rFonts w:ascii="Times New Roman" w:hAnsi="Times New Roman"/>
          <w:b/>
          <w:lang w:val="en-US" w:eastAsia="ru-RU"/>
        </w:rPr>
        <w:t xml:space="preserve">Customer </w:t>
      </w:r>
      <w:r w:rsidRPr="007D770B">
        <w:rPr>
          <w:rFonts w:ascii="Times New Roman" w:hAnsi="Times New Roman"/>
          <w:lang w:val="en-US" w:eastAsia="ru-RU"/>
        </w:rPr>
        <w:t>is a party that has contracted with the Bank to receive goods or services resulting from the Bank's ordinary activities in exchange for consideration.</w:t>
      </w:r>
    </w:p>
    <w:p w14:paraId="7DB9D3CF" w14:textId="77777777" w:rsidR="007067A4" w:rsidRPr="007D770B" w:rsidRDefault="007067A4" w:rsidP="007067A4">
      <w:pPr>
        <w:spacing w:before="240" w:line="240" w:lineRule="auto"/>
        <w:ind w:left="0"/>
        <w:rPr>
          <w:rFonts w:ascii="Times New Roman" w:hAnsi="Times New Roman"/>
          <w:lang w:val="en-US" w:eastAsia="ru-RU"/>
        </w:rPr>
      </w:pPr>
      <w:r w:rsidRPr="007D770B">
        <w:rPr>
          <w:rFonts w:ascii="Times New Roman" w:hAnsi="Times New Roman"/>
          <w:b/>
          <w:lang w:val="en-US" w:eastAsia="ru-RU"/>
        </w:rPr>
        <w:lastRenderedPageBreak/>
        <w:t xml:space="preserve">Income is an </w:t>
      </w:r>
      <w:r w:rsidRPr="007D770B">
        <w:rPr>
          <w:rFonts w:ascii="Times New Roman" w:hAnsi="Times New Roman"/>
          <w:lang w:val="en-US" w:eastAsia="ru-RU"/>
        </w:rPr>
        <w:t>increase in economic benefits during the reporting period in the form of receipts or improvements in the quality of assets or decreases in the amount of liabilities that result in an increase in equity that is not attributable to contributions from equity participants.</w:t>
      </w:r>
    </w:p>
    <w:p w14:paraId="5CFFA894" w14:textId="77777777" w:rsidR="007067A4" w:rsidRPr="007D770B" w:rsidRDefault="007067A4" w:rsidP="007067A4">
      <w:pPr>
        <w:spacing w:before="240" w:line="240" w:lineRule="auto"/>
        <w:ind w:left="0"/>
        <w:rPr>
          <w:rFonts w:ascii="Times New Roman" w:hAnsi="Times New Roman"/>
          <w:lang w:val="en-US" w:eastAsia="ru-RU"/>
        </w:rPr>
      </w:pPr>
      <w:r w:rsidRPr="007D770B">
        <w:rPr>
          <w:rFonts w:ascii="Times New Roman" w:hAnsi="Times New Roman"/>
          <w:b/>
          <w:lang w:val="en-US" w:eastAsia="ru-RU"/>
        </w:rPr>
        <w:t xml:space="preserve">Duty to perform </w:t>
      </w:r>
      <w:r w:rsidRPr="007D770B">
        <w:rPr>
          <w:rFonts w:ascii="Times New Roman" w:hAnsi="Times New Roman"/>
          <w:lang w:val="en-US" w:eastAsia="ru-RU"/>
        </w:rPr>
        <w:t>- a promise in a contract with a buyer to transfer to the buyer:</w:t>
      </w:r>
    </w:p>
    <w:p w14:paraId="56F323AF" w14:textId="77777777" w:rsidR="007067A4" w:rsidRPr="007D770B" w:rsidRDefault="007067A4" w:rsidP="00AE698A">
      <w:pPr>
        <w:numPr>
          <w:ilvl w:val="0"/>
          <w:numId w:val="48"/>
        </w:numPr>
        <w:spacing w:before="120" w:after="120" w:line="240" w:lineRule="auto"/>
        <w:rPr>
          <w:rFonts w:ascii="Times New Roman" w:hAnsi="Times New Roman"/>
          <w:lang w:val="en-US" w:eastAsia="ru-RU"/>
        </w:rPr>
      </w:pPr>
      <w:r w:rsidRPr="007D770B">
        <w:rPr>
          <w:rFonts w:ascii="Times New Roman" w:hAnsi="Times New Roman"/>
          <w:lang w:val="en-US" w:eastAsia="ru-RU"/>
        </w:rPr>
        <w:t>A good or service (or bundle of goods or services) that is distinctive; or</w:t>
      </w:r>
    </w:p>
    <w:p w14:paraId="48ACDC52" w14:textId="057671EC" w:rsidR="007067A4" w:rsidRPr="007D770B" w:rsidRDefault="007067A4" w:rsidP="00AE698A">
      <w:pPr>
        <w:numPr>
          <w:ilvl w:val="0"/>
          <w:numId w:val="48"/>
        </w:numPr>
        <w:spacing w:before="120" w:after="120" w:line="240" w:lineRule="auto"/>
        <w:rPr>
          <w:rFonts w:ascii="Times New Roman" w:hAnsi="Times New Roman"/>
          <w:lang w:val="en-US" w:eastAsia="ru-RU"/>
        </w:rPr>
      </w:pPr>
      <w:r w:rsidRPr="007D770B">
        <w:rPr>
          <w:rFonts w:ascii="Times New Roman" w:hAnsi="Times New Roman"/>
          <w:lang w:val="en-US" w:eastAsia="ru-RU"/>
        </w:rPr>
        <w:t>A series of distinguishable goods or services that are substantially the same and are transferred to the customer in the same pattern.</w:t>
      </w:r>
    </w:p>
    <w:p w14:paraId="2A8D1746" w14:textId="77777777" w:rsidR="007067A4" w:rsidRPr="007D770B" w:rsidRDefault="007067A4" w:rsidP="007067A4">
      <w:pPr>
        <w:spacing w:before="240" w:line="240" w:lineRule="auto"/>
        <w:ind w:left="0"/>
        <w:rPr>
          <w:rFonts w:ascii="Times New Roman" w:hAnsi="Times New Roman"/>
          <w:lang w:val="en-US" w:eastAsia="ru-RU"/>
        </w:rPr>
      </w:pPr>
      <w:r w:rsidRPr="007D770B">
        <w:rPr>
          <w:rFonts w:ascii="Times New Roman" w:hAnsi="Times New Roman"/>
          <w:b/>
          <w:lang w:val="en-US" w:eastAsia="ru-RU"/>
        </w:rPr>
        <w:t xml:space="preserve">Transaction price (for a contract with a customer) </w:t>
      </w:r>
      <w:r w:rsidRPr="007D770B">
        <w:rPr>
          <w:rFonts w:ascii="Times New Roman" w:hAnsi="Times New Roman"/>
          <w:lang w:val="en-US" w:eastAsia="ru-RU"/>
        </w:rPr>
        <w:t>is the amount of consideration to which the Bank expects to be entitled in exchange for transferring promised goods or services to the customer, excluding amounts received on behalf of third parties.</w:t>
      </w:r>
    </w:p>
    <w:p w14:paraId="214CE022" w14:textId="285B4E45" w:rsidR="007067A4" w:rsidRPr="007D770B" w:rsidRDefault="00B61F30" w:rsidP="00E61D21">
      <w:pPr>
        <w:pStyle w:val="3"/>
        <w:rPr>
          <w:lang w:val="en-US"/>
        </w:rPr>
      </w:pPr>
      <w:bookmarkStart w:id="246" w:name="_Toc270001461"/>
      <w:bookmarkStart w:id="247" w:name="_Toc494187441"/>
      <w:bookmarkStart w:id="248" w:name="_Toc168502074"/>
      <w:bookmarkEnd w:id="245"/>
      <w:r w:rsidRPr="007D770B">
        <w:rPr>
          <w:lang w:val="en-US" w:eastAsia="ru-RU"/>
        </w:rPr>
        <w:t>9</w:t>
      </w:r>
      <w:r w:rsidR="007067A4" w:rsidRPr="007D770B">
        <w:rPr>
          <w:lang w:val="en-US"/>
        </w:rPr>
        <w:t>.3 Classification</w:t>
      </w:r>
      <w:bookmarkEnd w:id="246"/>
      <w:bookmarkEnd w:id="247"/>
      <w:bookmarkEnd w:id="248"/>
    </w:p>
    <w:p w14:paraId="1D3F466E" w14:textId="77777777" w:rsidR="007067A4" w:rsidRPr="007D770B" w:rsidRDefault="007067A4" w:rsidP="007067A4">
      <w:pPr>
        <w:spacing w:before="240" w:line="240" w:lineRule="auto"/>
        <w:ind w:left="0"/>
        <w:rPr>
          <w:rFonts w:ascii="Times New Roman" w:hAnsi="Times New Roman"/>
          <w:lang w:val="en-US" w:eastAsia="ru-RU"/>
        </w:rPr>
      </w:pPr>
      <w:r w:rsidRPr="007D770B">
        <w:rPr>
          <w:rFonts w:ascii="Times New Roman" w:hAnsi="Times New Roman"/>
          <w:lang w:val="en-US"/>
        </w:rPr>
        <w:t xml:space="preserve">The Bank </w:t>
      </w:r>
      <w:r w:rsidRPr="007D770B">
        <w:rPr>
          <w:rFonts w:ascii="Times New Roman" w:hAnsi="Times New Roman"/>
          <w:lang w:val="en-US" w:eastAsia="ru-RU"/>
        </w:rPr>
        <w:t>uses the following classification of income for financial reporting purposes:</w:t>
      </w:r>
    </w:p>
    <w:p w14:paraId="1F7DBEC8" w14:textId="77777777" w:rsidR="007067A4" w:rsidRPr="002D4EA3" w:rsidRDefault="007067A4" w:rsidP="007067A4">
      <w:pPr>
        <w:spacing w:before="240" w:line="240" w:lineRule="auto"/>
        <w:ind w:left="0"/>
        <w:rPr>
          <w:rFonts w:ascii="Times New Roman" w:hAnsi="Times New Roman"/>
          <w:lang w:eastAsia="ru-RU"/>
        </w:rPr>
      </w:pPr>
      <w:r w:rsidRPr="002D4EA3">
        <w:rPr>
          <w:rFonts w:ascii="Times New Roman" w:hAnsi="Times New Roman"/>
          <w:lang w:eastAsia="ru-RU"/>
        </w:rPr>
        <w:t>Revenues include:</w:t>
      </w:r>
    </w:p>
    <w:p w14:paraId="360CC9CF" w14:textId="77777777" w:rsidR="007067A4" w:rsidRPr="002D4EA3" w:rsidRDefault="007067A4" w:rsidP="00AE698A">
      <w:pPr>
        <w:numPr>
          <w:ilvl w:val="0"/>
          <w:numId w:val="48"/>
        </w:numPr>
        <w:spacing w:before="120" w:after="120" w:line="240" w:lineRule="auto"/>
        <w:rPr>
          <w:rFonts w:ascii="Times New Roman" w:hAnsi="Times New Roman"/>
          <w:lang w:eastAsia="ru-RU"/>
        </w:rPr>
      </w:pPr>
      <w:r w:rsidRPr="002D4EA3">
        <w:rPr>
          <w:rFonts w:ascii="Times New Roman" w:hAnsi="Times New Roman"/>
          <w:lang w:eastAsia="ru-RU"/>
        </w:rPr>
        <w:t>interest income</w:t>
      </w:r>
      <w:r w:rsidRPr="002D4EA3">
        <w:rPr>
          <w:rFonts w:ascii="Times New Roman" w:hAnsi="Times New Roman"/>
          <w:lang w:val="en-GB" w:eastAsia="ru-RU"/>
        </w:rPr>
        <w:t>;</w:t>
      </w:r>
    </w:p>
    <w:p w14:paraId="23A6EB29" w14:textId="77777777" w:rsidR="007067A4" w:rsidRPr="002D4EA3" w:rsidRDefault="007067A4" w:rsidP="00AE698A">
      <w:pPr>
        <w:numPr>
          <w:ilvl w:val="0"/>
          <w:numId w:val="48"/>
        </w:numPr>
        <w:spacing w:before="120" w:after="120" w:line="240" w:lineRule="auto"/>
        <w:rPr>
          <w:rFonts w:ascii="Times New Roman" w:hAnsi="Times New Roman"/>
          <w:lang w:eastAsia="ru-RU"/>
        </w:rPr>
      </w:pPr>
      <w:r w:rsidRPr="002D4EA3">
        <w:rPr>
          <w:rFonts w:ascii="Times New Roman" w:hAnsi="Times New Roman"/>
          <w:lang w:eastAsia="ru-RU"/>
        </w:rPr>
        <w:t>commission income</w:t>
      </w:r>
      <w:r w:rsidRPr="002D4EA3">
        <w:rPr>
          <w:rFonts w:ascii="Times New Roman" w:hAnsi="Times New Roman"/>
          <w:lang w:val="en-GB" w:eastAsia="ru-RU"/>
        </w:rPr>
        <w:t>;</w:t>
      </w:r>
    </w:p>
    <w:p w14:paraId="55983905" w14:textId="77777777" w:rsidR="007067A4" w:rsidRPr="007D770B" w:rsidRDefault="007067A4" w:rsidP="00AE698A">
      <w:pPr>
        <w:numPr>
          <w:ilvl w:val="0"/>
          <w:numId w:val="48"/>
        </w:numPr>
        <w:spacing w:before="120" w:after="120" w:line="240" w:lineRule="auto"/>
        <w:rPr>
          <w:rFonts w:ascii="Times New Roman" w:hAnsi="Times New Roman"/>
          <w:lang w:val="en-US" w:eastAsia="ru-RU"/>
        </w:rPr>
      </w:pPr>
      <w:r w:rsidRPr="007D770B">
        <w:rPr>
          <w:rFonts w:ascii="Times New Roman" w:hAnsi="Times New Roman"/>
          <w:lang w:val="en-US" w:eastAsia="ru-RU"/>
        </w:rPr>
        <w:t xml:space="preserve">gains on debt securities </w:t>
      </w:r>
      <w:r w:rsidRPr="007D770B">
        <w:rPr>
          <w:rFonts w:ascii="Times New Roman" w:hAnsi="Times New Roman"/>
          <w:lang w:val="en-US"/>
        </w:rPr>
        <w:t xml:space="preserve">at fair value through </w:t>
      </w:r>
      <w:r w:rsidRPr="007D770B">
        <w:rPr>
          <w:rFonts w:ascii="Times New Roman" w:hAnsi="Times New Roman"/>
          <w:lang w:val="en-US" w:eastAsia="ru-RU"/>
        </w:rPr>
        <w:t xml:space="preserve">other comprehensive income; </w:t>
      </w:r>
    </w:p>
    <w:p w14:paraId="4BD04657" w14:textId="77777777" w:rsidR="007067A4" w:rsidRPr="007D770B" w:rsidRDefault="007067A4" w:rsidP="00AE698A">
      <w:pPr>
        <w:numPr>
          <w:ilvl w:val="0"/>
          <w:numId w:val="48"/>
        </w:numPr>
        <w:spacing w:before="120" w:after="120" w:line="240" w:lineRule="auto"/>
        <w:rPr>
          <w:rFonts w:ascii="Times New Roman" w:hAnsi="Times New Roman"/>
          <w:lang w:val="en-US" w:eastAsia="ru-RU"/>
        </w:rPr>
      </w:pPr>
      <w:r w:rsidRPr="007D770B">
        <w:rPr>
          <w:rFonts w:ascii="Times New Roman" w:hAnsi="Times New Roman"/>
          <w:lang w:val="en-US" w:eastAsia="ru-RU"/>
        </w:rPr>
        <w:t xml:space="preserve">income on securities measured at amortized cost; </w:t>
      </w:r>
    </w:p>
    <w:p w14:paraId="10274310" w14:textId="77777777" w:rsidR="007067A4" w:rsidRPr="007D770B" w:rsidRDefault="007067A4" w:rsidP="00AE698A">
      <w:pPr>
        <w:numPr>
          <w:ilvl w:val="0"/>
          <w:numId w:val="48"/>
        </w:numPr>
        <w:spacing w:before="120" w:after="120" w:line="240" w:lineRule="auto"/>
        <w:rPr>
          <w:rFonts w:ascii="Times New Roman" w:hAnsi="Times New Roman"/>
          <w:lang w:val="en-US" w:eastAsia="ru-RU"/>
        </w:rPr>
      </w:pPr>
      <w:r w:rsidRPr="007D770B">
        <w:rPr>
          <w:rFonts w:ascii="Times New Roman" w:hAnsi="Times New Roman"/>
          <w:lang w:val="en-US" w:eastAsia="ru-RU"/>
        </w:rPr>
        <w:t>income from foreign currency transactions;</w:t>
      </w:r>
    </w:p>
    <w:p w14:paraId="4D446CEA" w14:textId="77777777" w:rsidR="007067A4" w:rsidRPr="007D770B" w:rsidRDefault="007067A4" w:rsidP="00AE698A">
      <w:pPr>
        <w:numPr>
          <w:ilvl w:val="0"/>
          <w:numId w:val="48"/>
        </w:numPr>
        <w:spacing w:before="120" w:after="120" w:line="240" w:lineRule="auto"/>
        <w:rPr>
          <w:rFonts w:ascii="Times New Roman" w:hAnsi="Times New Roman"/>
          <w:lang w:val="en-US" w:eastAsia="ru-RU"/>
        </w:rPr>
      </w:pPr>
      <w:r w:rsidRPr="007D770B">
        <w:rPr>
          <w:rFonts w:ascii="Times New Roman" w:hAnsi="Times New Roman"/>
          <w:lang w:val="en-US" w:eastAsia="ru-RU"/>
        </w:rPr>
        <w:t>income from financial derivative instruments;</w:t>
      </w:r>
    </w:p>
    <w:p w14:paraId="55133E60" w14:textId="77777777" w:rsidR="007067A4" w:rsidRPr="002D4EA3" w:rsidRDefault="007067A4" w:rsidP="00AE698A">
      <w:pPr>
        <w:numPr>
          <w:ilvl w:val="0"/>
          <w:numId w:val="48"/>
        </w:numPr>
        <w:spacing w:before="120" w:after="120" w:line="240" w:lineRule="auto"/>
        <w:rPr>
          <w:rFonts w:ascii="Times New Roman" w:hAnsi="Times New Roman"/>
          <w:lang w:eastAsia="ru-RU"/>
        </w:rPr>
      </w:pPr>
      <w:r w:rsidRPr="002D4EA3">
        <w:rPr>
          <w:rFonts w:ascii="Times New Roman" w:hAnsi="Times New Roman"/>
          <w:lang w:eastAsia="ru-RU"/>
        </w:rPr>
        <w:t>income on repo transactions</w:t>
      </w:r>
      <w:r w:rsidRPr="002D4EA3">
        <w:rPr>
          <w:rFonts w:ascii="Times New Roman" w:hAnsi="Times New Roman"/>
          <w:lang w:val="en-GB" w:eastAsia="ru-RU"/>
        </w:rPr>
        <w:t>;</w:t>
      </w:r>
    </w:p>
    <w:p w14:paraId="40D123EC" w14:textId="77777777" w:rsidR="007067A4" w:rsidRPr="002D4EA3" w:rsidRDefault="007067A4" w:rsidP="00AE698A">
      <w:pPr>
        <w:numPr>
          <w:ilvl w:val="0"/>
          <w:numId w:val="48"/>
        </w:numPr>
        <w:spacing w:before="120" w:after="120" w:line="240" w:lineRule="auto"/>
        <w:rPr>
          <w:rFonts w:ascii="Times New Roman" w:hAnsi="Times New Roman"/>
          <w:lang w:eastAsia="ru-RU"/>
        </w:rPr>
      </w:pPr>
      <w:r w:rsidRPr="002D4EA3">
        <w:rPr>
          <w:rFonts w:ascii="Times New Roman" w:hAnsi="Times New Roman"/>
          <w:lang w:eastAsia="ru-RU"/>
        </w:rPr>
        <w:t>finance lease income</w:t>
      </w:r>
      <w:r w:rsidRPr="002D4EA3">
        <w:rPr>
          <w:rFonts w:ascii="Times New Roman" w:hAnsi="Times New Roman"/>
          <w:lang w:val="en-GB" w:eastAsia="ru-RU"/>
        </w:rPr>
        <w:t>;</w:t>
      </w:r>
    </w:p>
    <w:p w14:paraId="325BE582" w14:textId="77777777" w:rsidR="007067A4" w:rsidRPr="002D4EA3" w:rsidRDefault="007067A4" w:rsidP="00AE698A">
      <w:pPr>
        <w:numPr>
          <w:ilvl w:val="0"/>
          <w:numId w:val="48"/>
        </w:numPr>
        <w:spacing w:before="120" w:after="120" w:line="240" w:lineRule="auto"/>
        <w:rPr>
          <w:rFonts w:ascii="Times New Roman" w:hAnsi="Times New Roman"/>
          <w:lang w:eastAsia="ru-RU"/>
        </w:rPr>
      </w:pPr>
      <w:r w:rsidRPr="002D4EA3">
        <w:rPr>
          <w:rFonts w:ascii="Times New Roman" w:hAnsi="Times New Roman"/>
          <w:lang w:eastAsia="ru-RU"/>
        </w:rPr>
        <w:t>foreign exchange gain</w:t>
      </w:r>
      <w:r>
        <w:rPr>
          <w:rFonts w:ascii="Times New Roman" w:hAnsi="Times New Roman"/>
          <w:lang w:eastAsia="ru-RU"/>
        </w:rPr>
        <w:t>.</w:t>
      </w:r>
    </w:p>
    <w:p w14:paraId="0A807EBA" w14:textId="77777777" w:rsidR="007067A4" w:rsidRPr="007D770B" w:rsidRDefault="007067A4" w:rsidP="007067A4">
      <w:pPr>
        <w:spacing w:before="240" w:line="240" w:lineRule="auto"/>
        <w:ind w:left="0"/>
        <w:rPr>
          <w:rFonts w:ascii="Times New Roman" w:hAnsi="Times New Roman"/>
          <w:lang w:val="en-US" w:eastAsia="ru-RU"/>
        </w:rPr>
      </w:pPr>
      <w:r w:rsidRPr="007D770B">
        <w:rPr>
          <w:rFonts w:ascii="Times New Roman" w:hAnsi="Times New Roman"/>
          <w:lang w:val="en-US" w:eastAsia="ru-RU"/>
        </w:rPr>
        <w:t>Income from non-core activities of the Bank, comprising:</w:t>
      </w:r>
    </w:p>
    <w:p w14:paraId="7E8A5885" w14:textId="77777777" w:rsidR="007067A4" w:rsidRPr="007D770B" w:rsidRDefault="007067A4" w:rsidP="00AE698A">
      <w:pPr>
        <w:numPr>
          <w:ilvl w:val="0"/>
          <w:numId w:val="223"/>
        </w:numPr>
        <w:spacing w:before="120" w:after="120" w:line="240" w:lineRule="auto"/>
        <w:rPr>
          <w:rFonts w:ascii="Times New Roman" w:hAnsi="Times New Roman"/>
          <w:lang w:val="en-US" w:eastAsia="ru-RU"/>
        </w:rPr>
      </w:pPr>
      <w:r w:rsidRPr="007D770B">
        <w:rPr>
          <w:rFonts w:ascii="Times New Roman" w:hAnsi="Times New Roman"/>
          <w:lang w:val="en-US" w:eastAsia="ru-RU"/>
        </w:rPr>
        <w:t>income from sale of fixed and intangible assets</w:t>
      </w:r>
    </w:p>
    <w:p w14:paraId="1C72D3F0" w14:textId="77777777" w:rsidR="007067A4" w:rsidRPr="002D4EA3" w:rsidRDefault="007067A4" w:rsidP="00AE698A">
      <w:pPr>
        <w:numPr>
          <w:ilvl w:val="0"/>
          <w:numId w:val="223"/>
        </w:numPr>
        <w:spacing w:before="120" w:after="120" w:line="240" w:lineRule="auto"/>
        <w:rPr>
          <w:rFonts w:ascii="Times New Roman" w:hAnsi="Times New Roman"/>
          <w:lang w:eastAsia="ru-RU"/>
        </w:rPr>
      </w:pPr>
      <w:bookmarkStart w:id="249" w:name="_Toc270001462"/>
      <w:r w:rsidRPr="002D4EA3">
        <w:rPr>
          <w:rFonts w:ascii="Times New Roman" w:hAnsi="Times New Roman"/>
          <w:lang w:eastAsia="ru-RU"/>
        </w:rPr>
        <w:t>others.</w:t>
      </w:r>
    </w:p>
    <w:p w14:paraId="7C396E22" w14:textId="77777777" w:rsidR="007067A4" w:rsidRPr="007D770B" w:rsidRDefault="007067A4" w:rsidP="007067A4">
      <w:pPr>
        <w:spacing w:before="240" w:line="240" w:lineRule="auto"/>
        <w:ind w:left="0"/>
        <w:rPr>
          <w:rFonts w:ascii="Times New Roman" w:hAnsi="Times New Roman"/>
          <w:lang w:val="en-US" w:eastAsia="ru-RU"/>
        </w:rPr>
      </w:pPr>
      <w:r w:rsidRPr="007D770B">
        <w:rPr>
          <w:rFonts w:ascii="Times New Roman" w:hAnsi="Times New Roman"/>
          <w:lang w:val="en-US" w:eastAsia="ru-RU"/>
        </w:rPr>
        <w:t xml:space="preserve">Depending on the nature of the transactions and when new transactions arise, </w:t>
      </w:r>
      <w:r w:rsidRPr="007D770B">
        <w:rPr>
          <w:rFonts w:ascii="Times New Roman" w:hAnsi="Times New Roman"/>
          <w:lang w:val="en-US"/>
        </w:rPr>
        <w:t xml:space="preserve">the Bank </w:t>
      </w:r>
      <w:r w:rsidRPr="007D770B">
        <w:rPr>
          <w:rFonts w:ascii="Times New Roman" w:hAnsi="Times New Roman"/>
          <w:lang w:val="en-US" w:eastAsia="ru-RU"/>
        </w:rPr>
        <w:t>may add new classifications of types of financial income and income from non-core activities.</w:t>
      </w:r>
    </w:p>
    <w:p w14:paraId="42430749" w14:textId="77777777" w:rsidR="007067A4" w:rsidRPr="007D770B" w:rsidRDefault="007067A4" w:rsidP="00E61D21">
      <w:pPr>
        <w:pStyle w:val="3"/>
        <w:rPr>
          <w:lang w:val="en-US"/>
        </w:rPr>
      </w:pPr>
      <w:bookmarkStart w:id="250" w:name="_Toc378283458"/>
      <w:bookmarkStart w:id="251" w:name="_Toc494187442"/>
      <w:bookmarkStart w:id="252" w:name="_Toc168502075"/>
      <w:r w:rsidRPr="007D770B">
        <w:rPr>
          <w:lang w:val="en-US"/>
        </w:rPr>
        <w:t>9.4 Disclosure of information</w:t>
      </w:r>
      <w:bookmarkEnd w:id="250"/>
      <w:bookmarkEnd w:id="251"/>
      <w:bookmarkEnd w:id="252"/>
    </w:p>
    <w:p w14:paraId="207B5BF4" w14:textId="77777777" w:rsidR="007067A4" w:rsidRPr="007D770B" w:rsidRDefault="007067A4" w:rsidP="007067A4">
      <w:pPr>
        <w:spacing w:before="240" w:line="240" w:lineRule="auto"/>
        <w:ind w:left="0"/>
        <w:rPr>
          <w:rFonts w:ascii="Times New Roman" w:hAnsi="Times New Roman"/>
          <w:lang w:val="en-US" w:eastAsia="ru-RU"/>
        </w:rPr>
      </w:pPr>
      <w:r w:rsidRPr="007D770B">
        <w:rPr>
          <w:rFonts w:ascii="Times New Roman" w:hAnsi="Times New Roman"/>
          <w:lang w:val="en-US" w:eastAsia="ru-RU"/>
        </w:rPr>
        <w:t>The Bank's financial statements disclose sufficient information to enable users of the financial statements to understand the nature, amount, timing and uncertainty of revenue and cash flows arising from contracts with customers. To achieve this objective, the Bank discloses qualitative and quantitative information about all of the following:</w:t>
      </w:r>
    </w:p>
    <w:p w14:paraId="378370B7" w14:textId="77777777" w:rsidR="007067A4" w:rsidRPr="002D4EA3" w:rsidRDefault="007067A4" w:rsidP="00AE698A">
      <w:pPr>
        <w:numPr>
          <w:ilvl w:val="0"/>
          <w:numId w:val="49"/>
        </w:numPr>
        <w:tabs>
          <w:tab w:val="left" w:pos="360"/>
        </w:tabs>
        <w:spacing w:before="120" w:after="120" w:line="240" w:lineRule="auto"/>
        <w:rPr>
          <w:rFonts w:ascii="Times New Roman" w:hAnsi="Times New Roman"/>
        </w:rPr>
      </w:pPr>
      <w:r w:rsidRPr="00266847">
        <w:rPr>
          <w:rFonts w:ascii="Times New Roman" w:hAnsi="Times New Roman"/>
        </w:rPr>
        <w:t>contracts with customers</w:t>
      </w:r>
      <w:r w:rsidRPr="002D4EA3">
        <w:rPr>
          <w:rFonts w:ascii="Times New Roman" w:hAnsi="Times New Roman"/>
        </w:rPr>
        <w:t>;</w:t>
      </w:r>
    </w:p>
    <w:p w14:paraId="4887E47D" w14:textId="77777777" w:rsidR="007067A4" w:rsidRPr="007D770B" w:rsidRDefault="007067A4" w:rsidP="00AE698A">
      <w:pPr>
        <w:numPr>
          <w:ilvl w:val="0"/>
          <w:numId w:val="49"/>
        </w:numPr>
        <w:tabs>
          <w:tab w:val="left" w:pos="360"/>
        </w:tabs>
        <w:spacing w:before="120" w:after="120" w:line="240" w:lineRule="auto"/>
        <w:rPr>
          <w:rFonts w:ascii="Times New Roman" w:hAnsi="Times New Roman"/>
          <w:lang w:val="en-US"/>
        </w:rPr>
      </w:pPr>
      <w:r w:rsidRPr="007D770B">
        <w:rPr>
          <w:rFonts w:ascii="Times New Roman" w:hAnsi="Times New Roman"/>
          <w:lang w:val="en-US"/>
        </w:rPr>
        <w:t>significant judgments and changes in judgment with respect to such treaties;</w:t>
      </w:r>
    </w:p>
    <w:p w14:paraId="2055583E" w14:textId="130BE607" w:rsidR="007067A4" w:rsidRPr="007D770B" w:rsidRDefault="007067A4" w:rsidP="00AE698A">
      <w:pPr>
        <w:numPr>
          <w:ilvl w:val="0"/>
          <w:numId w:val="49"/>
        </w:numPr>
        <w:tabs>
          <w:tab w:val="left" w:pos="360"/>
        </w:tabs>
        <w:spacing w:before="120" w:after="120" w:line="240" w:lineRule="auto"/>
        <w:rPr>
          <w:rFonts w:ascii="Times New Roman" w:hAnsi="Times New Roman"/>
          <w:lang w:val="en-US"/>
        </w:rPr>
      </w:pPr>
      <w:bookmarkStart w:id="253" w:name="_Toc494187443"/>
      <w:r w:rsidRPr="007D770B">
        <w:rPr>
          <w:rFonts w:ascii="Times New Roman" w:hAnsi="Times New Roman"/>
          <w:lang w:val="en-US"/>
        </w:rPr>
        <w:t xml:space="preserve">assets recognized in connection with the costs of entering into or fulfilling a contract with customers </w:t>
      </w:r>
      <w:bookmarkEnd w:id="249"/>
      <w:bookmarkEnd w:id="253"/>
    </w:p>
    <w:p w14:paraId="05270B48" w14:textId="77777777" w:rsidR="007067A4" w:rsidRPr="007D770B" w:rsidRDefault="007067A4" w:rsidP="007067A4">
      <w:pPr>
        <w:spacing w:before="240" w:line="240" w:lineRule="auto"/>
        <w:ind w:left="0"/>
        <w:rPr>
          <w:rFonts w:ascii="Times New Roman" w:hAnsi="Times New Roman"/>
          <w:lang w:val="en-US" w:eastAsia="ru-RU"/>
        </w:rPr>
      </w:pPr>
      <w:r w:rsidRPr="007D770B">
        <w:rPr>
          <w:rFonts w:ascii="Times New Roman" w:hAnsi="Times New Roman"/>
          <w:lang w:val="en-US" w:eastAsia="ru-RU"/>
        </w:rPr>
        <w:t>The Bank discloses the following material items of income:</w:t>
      </w:r>
    </w:p>
    <w:p w14:paraId="45E88AF1" w14:textId="77777777" w:rsidR="007067A4" w:rsidRPr="00415A1F" w:rsidRDefault="007067A4" w:rsidP="007067A4">
      <w:pPr>
        <w:spacing w:before="240" w:line="240" w:lineRule="auto"/>
        <w:ind w:left="0"/>
        <w:rPr>
          <w:rFonts w:ascii="Times New Roman" w:hAnsi="Times New Roman"/>
          <w:b/>
        </w:rPr>
      </w:pPr>
      <w:r w:rsidRPr="00415A1F">
        <w:rPr>
          <w:rFonts w:ascii="Times New Roman" w:hAnsi="Times New Roman"/>
          <w:b/>
        </w:rPr>
        <w:t>Interest income</w:t>
      </w:r>
    </w:p>
    <w:p w14:paraId="05272BD3" w14:textId="77777777" w:rsidR="007067A4" w:rsidRPr="007D770B" w:rsidRDefault="007067A4" w:rsidP="00AE698A">
      <w:pPr>
        <w:numPr>
          <w:ilvl w:val="0"/>
          <w:numId w:val="230"/>
        </w:numPr>
        <w:spacing w:before="120" w:after="120" w:line="240" w:lineRule="auto"/>
        <w:rPr>
          <w:rFonts w:ascii="Times New Roman" w:hAnsi="Times New Roman"/>
          <w:lang w:val="en-US"/>
        </w:rPr>
      </w:pPr>
      <w:r w:rsidRPr="007D770B">
        <w:rPr>
          <w:rFonts w:ascii="Times New Roman" w:hAnsi="Times New Roman"/>
          <w:lang w:val="en-US"/>
        </w:rPr>
        <w:t>loans and advances to customers</w:t>
      </w:r>
      <w:r w:rsidRPr="00415A1F">
        <w:rPr>
          <w:rFonts w:ascii="Times New Roman" w:hAnsi="Times New Roman"/>
          <w:lang w:val="en-GB"/>
        </w:rPr>
        <w:t>;</w:t>
      </w:r>
    </w:p>
    <w:p w14:paraId="4AC9032F" w14:textId="77777777" w:rsidR="007067A4" w:rsidRPr="007D770B" w:rsidRDefault="007067A4" w:rsidP="00AE698A">
      <w:pPr>
        <w:numPr>
          <w:ilvl w:val="0"/>
          <w:numId w:val="230"/>
        </w:numPr>
        <w:spacing w:before="120" w:after="120" w:line="240" w:lineRule="auto"/>
        <w:rPr>
          <w:rFonts w:ascii="Times New Roman" w:hAnsi="Times New Roman"/>
          <w:lang w:val="en-US"/>
        </w:rPr>
      </w:pPr>
      <w:r w:rsidRPr="007D770B">
        <w:rPr>
          <w:rFonts w:ascii="Times New Roman" w:hAnsi="Times New Roman"/>
          <w:lang w:val="en-US"/>
        </w:rPr>
        <w:t>debt securities at fair value through other comprehensive income;</w:t>
      </w:r>
    </w:p>
    <w:p w14:paraId="1C8C117F" w14:textId="77777777" w:rsidR="007067A4" w:rsidRPr="007D770B" w:rsidRDefault="007067A4" w:rsidP="00AE698A">
      <w:pPr>
        <w:numPr>
          <w:ilvl w:val="0"/>
          <w:numId w:val="230"/>
        </w:numPr>
        <w:spacing w:before="120" w:after="120" w:line="240" w:lineRule="auto"/>
        <w:rPr>
          <w:rFonts w:ascii="Times New Roman" w:hAnsi="Times New Roman"/>
          <w:lang w:val="en-US"/>
        </w:rPr>
      </w:pPr>
      <w:r w:rsidRPr="007D770B">
        <w:rPr>
          <w:rFonts w:ascii="Times New Roman" w:hAnsi="Times New Roman"/>
          <w:lang w:val="en-US"/>
        </w:rPr>
        <w:t>securities measured at amortized cost;</w:t>
      </w:r>
    </w:p>
    <w:p w14:paraId="4487EC6F" w14:textId="77777777" w:rsidR="007067A4" w:rsidRPr="00415A1F" w:rsidRDefault="007067A4" w:rsidP="00AE698A">
      <w:pPr>
        <w:numPr>
          <w:ilvl w:val="0"/>
          <w:numId w:val="230"/>
        </w:numPr>
        <w:spacing w:before="120" w:after="120" w:line="240" w:lineRule="auto"/>
        <w:rPr>
          <w:rFonts w:ascii="Times New Roman" w:hAnsi="Times New Roman"/>
        </w:rPr>
      </w:pPr>
      <w:r w:rsidRPr="00415A1F">
        <w:rPr>
          <w:rFonts w:ascii="Times New Roman" w:hAnsi="Times New Roman"/>
        </w:rPr>
        <w:t>funds in other banks</w:t>
      </w:r>
      <w:r w:rsidRPr="00415A1F">
        <w:rPr>
          <w:rFonts w:ascii="Times New Roman" w:hAnsi="Times New Roman"/>
          <w:lang w:val="en-GB"/>
        </w:rPr>
        <w:t>;</w:t>
      </w:r>
    </w:p>
    <w:p w14:paraId="2D863A1D" w14:textId="77777777" w:rsidR="007067A4" w:rsidRPr="007D770B" w:rsidRDefault="007067A4" w:rsidP="00AE698A">
      <w:pPr>
        <w:numPr>
          <w:ilvl w:val="0"/>
          <w:numId w:val="230"/>
        </w:numPr>
        <w:spacing w:before="120" w:after="120" w:line="240" w:lineRule="auto"/>
        <w:rPr>
          <w:rFonts w:ascii="Times New Roman" w:hAnsi="Times New Roman"/>
          <w:lang w:val="en-US"/>
        </w:rPr>
      </w:pPr>
      <w:r w:rsidRPr="007D770B">
        <w:rPr>
          <w:rFonts w:ascii="Times New Roman" w:hAnsi="Times New Roman"/>
          <w:lang w:val="en-US"/>
        </w:rPr>
        <w:lastRenderedPageBreak/>
        <w:t>debt securities at fair value through profit or loss;</w:t>
      </w:r>
    </w:p>
    <w:p w14:paraId="11703192" w14:textId="77777777" w:rsidR="007067A4" w:rsidRPr="007D770B" w:rsidRDefault="007067A4" w:rsidP="00AE698A">
      <w:pPr>
        <w:numPr>
          <w:ilvl w:val="0"/>
          <w:numId w:val="230"/>
        </w:numPr>
        <w:spacing w:before="120" w:after="120" w:line="240" w:lineRule="auto"/>
        <w:rPr>
          <w:rFonts w:ascii="Times New Roman" w:hAnsi="Times New Roman"/>
          <w:lang w:val="en-US"/>
        </w:rPr>
      </w:pPr>
      <w:r w:rsidRPr="007D770B">
        <w:rPr>
          <w:rFonts w:ascii="Times New Roman" w:hAnsi="Times New Roman"/>
          <w:lang w:val="en-US"/>
        </w:rPr>
        <w:t>repurchase receivables - securities at fair value through profit or loss;</w:t>
      </w:r>
    </w:p>
    <w:p w14:paraId="182A6903" w14:textId="77777777" w:rsidR="007067A4" w:rsidRPr="007D770B" w:rsidRDefault="007067A4" w:rsidP="00AE698A">
      <w:pPr>
        <w:numPr>
          <w:ilvl w:val="0"/>
          <w:numId w:val="230"/>
        </w:numPr>
        <w:spacing w:before="120" w:after="120" w:line="240" w:lineRule="auto"/>
        <w:rPr>
          <w:rFonts w:ascii="Times New Roman" w:hAnsi="Times New Roman"/>
          <w:lang w:val="en-US"/>
        </w:rPr>
      </w:pPr>
      <w:r w:rsidRPr="007D770B">
        <w:rPr>
          <w:rFonts w:ascii="Times New Roman" w:hAnsi="Times New Roman"/>
          <w:lang w:val="en-US"/>
        </w:rPr>
        <w:t>repurchase receivables - securities at fair value through other comprehensive income;</w:t>
      </w:r>
    </w:p>
    <w:p w14:paraId="2E0B49B2" w14:textId="77777777" w:rsidR="007067A4" w:rsidRPr="00415A1F" w:rsidRDefault="007067A4" w:rsidP="00AE698A">
      <w:pPr>
        <w:numPr>
          <w:ilvl w:val="0"/>
          <w:numId w:val="230"/>
        </w:numPr>
        <w:spacing w:before="120" w:after="120" w:line="240" w:lineRule="auto"/>
        <w:rPr>
          <w:rFonts w:ascii="Times New Roman" w:hAnsi="Times New Roman"/>
        </w:rPr>
      </w:pPr>
      <w:r w:rsidRPr="00415A1F">
        <w:rPr>
          <w:rFonts w:ascii="Times New Roman" w:hAnsi="Times New Roman"/>
        </w:rPr>
        <w:t>cash and cash equivalents;</w:t>
      </w:r>
    </w:p>
    <w:p w14:paraId="0216EE96" w14:textId="77777777" w:rsidR="007067A4" w:rsidRPr="00415A1F" w:rsidRDefault="007067A4" w:rsidP="00AE698A">
      <w:pPr>
        <w:numPr>
          <w:ilvl w:val="0"/>
          <w:numId w:val="230"/>
        </w:numPr>
        <w:spacing w:before="120" w:after="120" w:line="240" w:lineRule="auto"/>
        <w:rPr>
          <w:rFonts w:ascii="Times New Roman" w:hAnsi="Times New Roman"/>
        </w:rPr>
      </w:pPr>
      <w:r w:rsidRPr="00415A1F">
        <w:rPr>
          <w:rFonts w:ascii="Times New Roman" w:hAnsi="Times New Roman"/>
        </w:rPr>
        <w:t>finance lease receivables;</w:t>
      </w:r>
    </w:p>
    <w:p w14:paraId="44CB9774" w14:textId="77777777" w:rsidR="007067A4" w:rsidRPr="00415A1F" w:rsidRDefault="007067A4" w:rsidP="00AE698A">
      <w:pPr>
        <w:numPr>
          <w:ilvl w:val="0"/>
          <w:numId w:val="230"/>
        </w:numPr>
        <w:spacing w:before="120" w:after="120" w:line="240" w:lineRule="auto"/>
        <w:rPr>
          <w:rFonts w:ascii="Times New Roman" w:hAnsi="Times New Roman"/>
        </w:rPr>
      </w:pPr>
      <w:r w:rsidRPr="00415A1F">
        <w:rPr>
          <w:rFonts w:ascii="Times New Roman" w:hAnsi="Times New Roman"/>
        </w:rPr>
        <w:t>others.</w:t>
      </w:r>
    </w:p>
    <w:p w14:paraId="517E285D" w14:textId="77777777" w:rsidR="007067A4" w:rsidRPr="008E021A" w:rsidRDefault="007067A4" w:rsidP="007067A4">
      <w:pPr>
        <w:spacing w:before="240" w:line="240" w:lineRule="auto"/>
        <w:ind w:left="0"/>
        <w:rPr>
          <w:rFonts w:ascii="Times New Roman" w:hAnsi="Times New Roman"/>
          <w:b/>
          <w:lang w:eastAsia="ru-RU"/>
        </w:rPr>
      </w:pPr>
      <w:r w:rsidRPr="008E021A">
        <w:rPr>
          <w:rFonts w:ascii="Times New Roman" w:hAnsi="Times New Roman"/>
          <w:b/>
          <w:lang w:eastAsia="ru-RU"/>
        </w:rPr>
        <w:t>Fee and commission income</w:t>
      </w:r>
    </w:p>
    <w:p w14:paraId="6FDF65DA" w14:textId="77777777" w:rsidR="007067A4" w:rsidRPr="008E021A" w:rsidRDefault="007067A4" w:rsidP="00AE698A">
      <w:pPr>
        <w:numPr>
          <w:ilvl w:val="0"/>
          <w:numId w:val="231"/>
        </w:numPr>
        <w:spacing w:before="240" w:line="240" w:lineRule="auto"/>
        <w:rPr>
          <w:rFonts w:ascii="Times New Roman" w:hAnsi="Times New Roman"/>
          <w:lang w:eastAsia="ru-RU"/>
        </w:rPr>
      </w:pPr>
      <w:r w:rsidRPr="008E021A">
        <w:rPr>
          <w:rFonts w:ascii="Times New Roman" w:hAnsi="Times New Roman"/>
          <w:lang w:eastAsia="ru-RU"/>
        </w:rPr>
        <w:t>settlement transactions</w:t>
      </w:r>
      <w:r>
        <w:rPr>
          <w:rFonts w:ascii="Times New Roman" w:hAnsi="Times New Roman"/>
          <w:lang w:val="en-US" w:eastAsia="ru-RU"/>
        </w:rPr>
        <w:t>;</w:t>
      </w:r>
    </w:p>
    <w:p w14:paraId="685355E0" w14:textId="77777777" w:rsidR="007067A4" w:rsidRPr="008E021A" w:rsidRDefault="007067A4" w:rsidP="00AE698A">
      <w:pPr>
        <w:numPr>
          <w:ilvl w:val="0"/>
          <w:numId w:val="231"/>
        </w:numPr>
        <w:spacing w:before="240" w:line="240" w:lineRule="auto"/>
        <w:rPr>
          <w:rFonts w:ascii="Times New Roman" w:hAnsi="Times New Roman"/>
          <w:lang w:eastAsia="ru-RU"/>
        </w:rPr>
      </w:pPr>
      <w:r w:rsidRPr="008E021A">
        <w:rPr>
          <w:rFonts w:ascii="Times New Roman" w:hAnsi="Times New Roman"/>
          <w:lang w:eastAsia="ru-RU"/>
        </w:rPr>
        <w:t>cash transactions</w:t>
      </w:r>
      <w:r>
        <w:rPr>
          <w:rFonts w:ascii="Times New Roman" w:hAnsi="Times New Roman"/>
          <w:lang w:val="en-US" w:eastAsia="ru-RU"/>
        </w:rPr>
        <w:t>;</w:t>
      </w:r>
    </w:p>
    <w:p w14:paraId="601271FA" w14:textId="1435A986" w:rsidR="007067A4" w:rsidRPr="007D770B" w:rsidRDefault="00A930E4" w:rsidP="00AE698A">
      <w:pPr>
        <w:numPr>
          <w:ilvl w:val="0"/>
          <w:numId w:val="231"/>
        </w:numPr>
        <w:spacing w:before="240" w:line="240" w:lineRule="auto"/>
        <w:rPr>
          <w:rFonts w:ascii="Times New Roman" w:hAnsi="Times New Roman"/>
          <w:lang w:val="en-US" w:eastAsia="ru-RU"/>
        </w:rPr>
      </w:pPr>
      <w:r w:rsidRPr="007D770B">
        <w:rPr>
          <w:rFonts w:ascii="Times New Roman" w:hAnsi="Times New Roman"/>
          <w:lang w:val="en-US" w:eastAsia="ru-RU"/>
        </w:rPr>
        <w:t>fees for increasing the contractual amount of housing construction savings;</w:t>
      </w:r>
    </w:p>
    <w:p w14:paraId="73F7C083" w14:textId="02A15E93" w:rsidR="00A930E4" w:rsidRPr="008E021A" w:rsidRDefault="00A930E4" w:rsidP="00AE698A">
      <w:pPr>
        <w:numPr>
          <w:ilvl w:val="0"/>
          <w:numId w:val="231"/>
        </w:numPr>
        <w:spacing w:before="240" w:line="240" w:lineRule="auto"/>
        <w:rPr>
          <w:rFonts w:ascii="Times New Roman" w:hAnsi="Times New Roman"/>
          <w:lang w:eastAsia="ru-RU"/>
        </w:rPr>
      </w:pPr>
      <w:r>
        <w:rPr>
          <w:rFonts w:ascii="Times New Roman" w:hAnsi="Times New Roman"/>
          <w:lang w:eastAsia="ru-RU"/>
        </w:rPr>
        <w:t>transfer transactions;</w:t>
      </w:r>
    </w:p>
    <w:p w14:paraId="3EAB6A79" w14:textId="77777777" w:rsidR="007067A4" w:rsidRPr="008E021A" w:rsidRDefault="007067A4" w:rsidP="00AE698A">
      <w:pPr>
        <w:numPr>
          <w:ilvl w:val="0"/>
          <w:numId w:val="231"/>
        </w:numPr>
        <w:spacing w:before="240" w:line="240" w:lineRule="auto"/>
        <w:rPr>
          <w:rFonts w:ascii="Times New Roman" w:hAnsi="Times New Roman"/>
          <w:lang w:eastAsia="ru-RU"/>
        </w:rPr>
      </w:pPr>
      <w:r w:rsidRPr="008E021A">
        <w:rPr>
          <w:rFonts w:ascii="Times New Roman" w:hAnsi="Times New Roman"/>
          <w:lang w:eastAsia="ru-RU"/>
        </w:rPr>
        <w:t>securities transactions</w:t>
      </w:r>
      <w:r>
        <w:rPr>
          <w:rFonts w:ascii="Times New Roman" w:hAnsi="Times New Roman"/>
          <w:lang w:val="en-US" w:eastAsia="ru-RU"/>
        </w:rPr>
        <w:t>;</w:t>
      </w:r>
    </w:p>
    <w:p w14:paraId="512077F3" w14:textId="77777777" w:rsidR="007067A4" w:rsidRDefault="007067A4" w:rsidP="00AE698A">
      <w:pPr>
        <w:numPr>
          <w:ilvl w:val="0"/>
          <w:numId w:val="231"/>
        </w:numPr>
        <w:spacing w:before="240" w:line="240" w:lineRule="auto"/>
        <w:rPr>
          <w:rFonts w:ascii="Times New Roman" w:hAnsi="Times New Roman"/>
          <w:lang w:eastAsia="ru-RU"/>
        </w:rPr>
      </w:pPr>
      <w:r>
        <w:rPr>
          <w:rFonts w:ascii="Times New Roman" w:hAnsi="Times New Roman"/>
          <w:lang w:eastAsia="ru-RU"/>
        </w:rPr>
        <w:t>fiduciary management operations</w:t>
      </w:r>
      <w:r>
        <w:rPr>
          <w:rFonts w:ascii="Times New Roman" w:hAnsi="Times New Roman"/>
          <w:lang w:val="en-US" w:eastAsia="ru-RU"/>
        </w:rPr>
        <w:t>;</w:t>
      </w:r>
    </w:p>
    <w:p w14:paraId="65A696DE" w14:textId="77777777" w:rsidR="007067A4" w:rsidRPr="00A9435B" w:rsidRDefault="007067A4" w:rsidP="00AE698A">
      <w:pPr>
        <w:numPr>
          <w:ilvl w:val="0"/>
          <w:numId w:val="231"/>
        </w:numPr>
        <w:spacing w:before="240" w:line="240" w:lineRule="auto"/>
        <w:rPr>
          <w:rFonts w:ascii="Times New Roman" w:hAnsi="Times New Roman"/>
          <w:lang w:eastAsia="ru-RU"/>
        </w:rPr>
      </w:pPr>
      <w:r>
        <w:rPr>
          <w:rFonts w:ascii="Times New Roman" w:hAnsi="Times New Roman"/>
          <w:lang w:eastAsia="ru-RU"/>
        </w:rPr>
        <w:t xml:space="preserve">services </w:t>
      </w:r>
      <w:r w:rsidRPr="00A9435B">
        <w:rPr>
          <w:rFonts w:ascii="Times New Roman" w:hAnsi="Times New Roman"/>
          <w:lang w:eastAsia="ru-RU"/>
        </w:rPr>
        <w:t>under agency agreements;</w:t>
      </w:r>
    </w:p>
    <w:p w14:paraId="42F6AA93" w14:textId="77777777" w:rsidR="007067A4" w:rsidRPr="008E021A" w:rsidRDefault="007067A4" w:rsidP="00AE698A">
      <w:pPr>
        <w:numPr>
          <w:ilvl w:val="0"/>
          <w:numId w:val="231"/>
        </w:numPr>
        <w:spacing w:before="240" w:line="240" w:lineRule="auto"/>
        <w:rPr>
          <w:rFonts w:ascii="Times New Roman" w:hAnsi="Times New Roman"/>
          <w:lang w:eastAsia="ru-RU"/>
        </w:rPr>
      </w:pPr>
      <w:r w:rsidRPr="00A9435B">
        <w:rPr>
          <w:rFonts w:ascii="Times New Roman" w:hAnsi="Times New Roman"/>
          <w:lang w:eastAsia="ru-RU"/>
        </w:rPr>
        <w:t xml:space="preserve">subsidy and guarantee </w:t>
      </w:r>
      <w:r>
        <w:rPr>
          <w:rFonts w:ascii="Times New Roman" w:hAnsi="Times New Roman"/>
          <w:lang w:eastAsia="ru-RU"/>
        </w:rPr>
        <w:t>programs;</w:t>
      </w:r>
    </w:p>
    <w:p w14:paraId="0BFAA0C6" w14:textId="77777777" w:rsidR="007067A4" w:rsidRPr="008E021A" w:rsidRDefault="007067A4" w:rsidP="00AE698A">
      <w:pPr>
        <w:numPr>
          <w:ilvl w:val="0"/>
          <w:numId w:val="231"/>
        </w:numPr>
        <w:spacing w:before="240" w:line="240" w:lineRule="auto"/>
        <w:rPr>
          <w:rFonts w:ascii="Times New Roman" w:hAnsi="Times New Roman"/>
          <w:lang w:eastAsia="ru-RU"/>
        </w:rPr>
      </w:pPr>
      <w:r>
        <w:rPr>
          <w:rFonts w:ascii="Times New Roman" w:hAnsi="Times New Roman"/>
          <w:lang w:eastAsia="ru-RU"/>
        </w:rPr>
        <w:t>others</w:t>
      </w:r>
      <w:r>
        <w:rPr>
          <w:rFonts w:ascii="Times New Roman" w:hAnsi="Times New Roman"/>
          <w:lang w:val="en-US" w:eastAsia="ru-RU"/>
        </w:rPr>
        <w:t>.</w:t>
      </w:r>
    </w:p>
    <w:p w14:paraId="28F67777" w14:textId="5646C7B4" w:rsidR="007067A4" w:rsidRPr="00D25E89" w:rsidRDefault="00D25E89" w:rsidP="007067A4">
      <w:pPr>
        <w:spacing w:before="240" w:line="240" w:lineRule="auto"/>
        <w:ind w:left="0"/>
        <w:rPr>
          <w:rFonts w:ascii="Times New Roman" w:hAnsi="Times New Roman"/>
          <w:b/>
          <w:lang w:eastAsia="ru-RU"/>
        </w:rPr>
      </w:pPr>
      <w:r>
        <w:rPr>
          <w:rFonts w:ascii="Times New Roman" w:hAnsi="Times New Roman"/>
          <w:b/>
          <w:lang w:eastAsia="ru-RU"/>
        </w:rPr>
        <w:t>Other operating income</w:t>
      </w:r>
    </w:p>
    <w:p w14:paraId="1251D82A" w14:textId="77777777" w:rsidR="007067A4" w:rsidRPr="007D770B" w:rsidRDefault="007067A4" w:rsidP="00AE698A">
      <w:pPr>
        <w:numPr>
          <w:ilvl w:val="0"/>
          <w:numId w:val="232"/>
        </w:numPr>
        <w:spacing w:before="240" w:line="240" w:lineRule="auto"/>
        <w:rPr>
          <w:rFonts w:ascii="Times New Roman" w:hAnsi="Times New Roman"/>
          <w:lang w:val="en-US" w:eastAsia="ru-RU"/>
        </w:rPr>
      </w:pPr>
      <w:r w:rsidRPr="007D770B">
        <w:rPr>
          <w:rFonts w:ascii="Times New Roman" w:hAnsi="Times New Roman"/>
          <w:lang w:val="en-US" w:eastAsia="ru-RU"/>
        </w:rPr>
        <w:t>the proceeds of a bargain purchase;</w:t>
      </w:r>
    </w:p>
    <w:p w14:paraId="68DE851E" w14:textId="77777777" w:rsidR="007067A4" w:rsidRPr="007D770B" w:rsidRDefault="007067A4" w:rsidP="00AE698A">
      <w:pPr>
        <w:numPr>
          <w:ilvl w:val="0"/>
          <w:numId w:val="232"/>
        </w:numPr>
        <w:spacing w:before="240" w:line="240" w:lineRule="auto"/>
        <w:rPr>
          <w:rFonts w:ascii="Times New Roman" w:hAnsi="Times New Roman"/>
          <w:lang w:val="en-US" w:eastAsia="ru-RU"/>
        </w:rPr>
      </w:pPr>
      <w:r w:rsidRPr="007D770B">
        <w:rPr>
          <w:rFonts w:ascii="Times New Roman" w:hAnsi="Times New Roman"/>
          <w:lang w:val="en-US" w:eastAsia="ru-RU"/>
        </w:rPr>
        <w:t>gain on disposal of property, plant and equipment;</w:t>
      </w:r>
    </w:p>
    <w:p w14:paraId="3BA5C324" w14:textId="77777777" w:rsidR="007067A4" w:rsidRPr="007D770B" w:rsidRDefault="007067A4" w:rsidP="00AE698A">
      <w:pPr>
        <w:numPr>
          <w:ilvl w:val="0"/>
          <w:numId w:val="232"/>
        </w:numPr>
        <w:spacing w:before="240" w:line="240" w:lineRule="auto"/>
        <w:rPr>
          <w:rFonts w:ascii="Times New Roman" w:hAnsi="Times New Roman"/>
          <w:lang w:val="en-US" w:eastAsia="ru-RU"/>
        </w:rPr>
      </w:pPr>
      <w:r w:rsidRPr="007D770B">
        <w:rPr>
          <w:rFonts w:ascii="Times New Roman" w:hAnsi="Times New Roman"/>
          <w:lang w:val="en-US" w:eastAsia="ru-RU"/>
        </w:rPr>
        <w:t>gain on disposal of investment property;</w:t>
      </w:r>
    </w:p>
    <w:p w14:paraId="613BFD7D" w14:textId="77777777" w:rsidR="007067A4" w:rsidRPr="007D770B" w:rsidRDefault="007067A4" w:rsidP="00AE698A">
      <w:pPr>
        <w:numPr>
          <w:ilvl w:val="0"/>
          <w:numId w:val="232"/>
        </w:numPr>
        <w:spacing w:before="240" w:line="240" w:lineRule="auto"/>
        <w:rPr>
          <w:rFonts w:ascii="Times New Roman" w:hAnsi="Times New Roman"/>
          <w:lang w:val="en-US" w:eastAsia="ru-RU"/>
        </w:rPr>
      </w:pPr>
      <w:r w:rsidRPr="007D770B">
        <w:rPr>
          <w:rFonts w:ascii="Times New Roman" w:hAnsi="Times New Roman"/>
          <w:lang w:val="en-US" w:eastAsia="ru-RU"/>
        </w:rPr>
        <w:t>income from the sale of products;</w:t>
      </w:r>
    </w:p>
    <w:p w14:paraId="55789434" w14:textId="77777777" w:rsidR="007067A4" w:rsidRPr="003D6B1A" w:rsidRDefault="007067A4" w:rsidP="00AE698A">
      <w:pPr>
        <w:numPr>
          <w:ilvl w:val="0"/>
          <w:numId w:val="232"/>
        </w:numPr>
        <w:spacing w:before="240" w:line="240" w:lineRule="auto"/>
        <w:rPr>
          <w:rFonts w:ascii="Times New Roman" w:hAnsi="Times New Roman"/>
          <w:lang w:eastAsia="ru-RU"/>
        </w:rPr>
      </w:pPr>
      <w:r>
        <w:rPr>
          <w:rFonts w:ascii="Times New Roman" w:hAnsi="Times New Roman"/>
          <w:lang w:eastAsia="ru-RU"/>
        </w:rPr>
        <w:t>income from other services;</w:t>
      </w:r>
    </w:p>
    <w:p w14:paraId="0DDA6908" w14:textId="77777777" w:rsidR="007067A4" w:rsidRPr="003D6B1A" w:rsidRDefault="007067A4" w:rsidP="00AE698A">
      <w:pPr>
        <w:numPr>
          <w:ilvl w:val="0"/>
          <w:numId w:val="232"/>
        </w:numPr>
        <w:spacing w:before="240" w:line="240" w:lineRule="auto"/>
        <w:rPr>
          <w:rFonts w:ascii="Times New Roman" w:hAnsi="Times New Roman"/>
          <w:lang w:eastAsia="ru-RU"/>
        </w:rPr>
      </w:pPr>
      <w:r w:rsidRPr="003D6B1A">
        <w:rPr>
          <w:rFonts w:ascii="Times New Roman" w:hAnsi="Times New Roman"/>
          <w:lang w:eastAsia="ru-RU"/>
        </w:rPr>
        <w:t>others</w:t>
      </w:r>
      <w:r>
        <w:rPr>
          <w:rFonts w:ascii="Times New Roman" w:hAnsi="Times New Roman"/>
          <w:lang w:eastAsia="ru-RU"/>
        </w:rPr>
        <w:t>.</w:t>
      </w:r>
    </w:p>
    <w:p w14:paraId="2DC11539" w14:textId="77777777" w:rsidR="004E7D2A" w:rsidRPr="002D4EA3" w:rsidRDefault="004E7D2A" w:rsidP="004E7D2A">
      <w:pPr>
        <w:rPr>
          <w:rFonts w:ascii="Times New Roman" w:hAnsi="Times New Roman"/>
        </w:rPr>
        <w:sectPr w:rsidR="004E7D2A" w:rsidRPr="002D4EA3" w:rsidSect="0005635A">
          <w:headerReference w:type="even" r:id="rId55"/>
          <w:headerReference w:type="default" r:id="rId56"/>
          <w:headerReference w:type="first" r:id="rId57"/>
          <w:type w:val="continuous"/>
          <w:pgSz w:w="11906" w:h="16838"/>
          <w:pgMar w:top="1268" w:right="680" w:bottom="900" w:left="1134" w:header="510" w:footer="404" w:gutter="0"/>
          <w:cols w:space="708"/>
          <w:titlePg/>
          <w:docGrid w:linePitch="360"/>
        </w:sectPr>
      </w:pPr>
    </w:p>
    <w:p w14:paraId="6357E879" w14:textId="77777777" w:rsidR="009E2B77" w:rsidRPr="002D4EA3" w:rsidRDefault="00A56797" w:rsidP="005B703E">
      <w:pPr>
        <w:pStyle w:val="2"/>
        <w:pageBreakBefore/>
        <w:spacing w:before="240"/>
        <w:jc w:val="both"/>
        <w:rPr>
          <w:rFonts w:ascii="Times New Roman" w:hAnsi="Times New Roman"/>
          <w:szCs w:val="20"/>
        </w:rPr>
      </w:pPr>
      <w:bookmarkStart w:id="254" w:name="_Toc248730802"/>
      <w:bookmarkStart w:id="255" w:name="_Toc270001469"/>
      <w:bookmarkStart w:id="256" w:name="_Toc168502076"/>
      <w:bookmarkStart w:id="257" w:name="_Toc255041558"/>
      <w:r w:rsidRPr="002D4EA3">
        <w:rPr>
          <w:rFonts w:ascii="Times New Roman" w:hAnsi="Times New Roman"/>
          <w:szCs w:val="20"/>
        </w:rPr>
        <w:lastRenderedPageBreak/>
        <w:t xml:space="preserve">Section </w:t>
      </w:r>
      <w:r w:rsidR="00F95C14">
        <w:rPr>
          <w:rFonts w:ascii="Times New Roman" w:hAnsi="Times New Roman"/>
          <w:szCs w:val="20"/>
        </w:rPr>
        <w:t>10</w:t>
      </w:r>
      <w:r w:rsidR="009E2B77" w:rsidRPr="002D4EA3">
        <w:rPr>
          <w:rFonts w:ascii="Times New Roman" w:hAnsi="Times New Roman"/>
          <w:szCs w:val="20"/>
        </w:rPr>
        <w:t>. Expenses</w:t>
      </w:r>
      <w:bookmarkEnd w:id="254"/>
      <w:bookmarkEnd w:id="255"/>
      <w:bookmarkEnd w:id="256"/>
    </w:p>
    <w:p w14:paraId="3E7E4FB6" w14:textId="77777777" w:rsidR="009E2B77" w:rsidRPr="002D4EA3" w:rsidRDefault="00F95C14" w:rsidP="00E61D21">
      <w:pPr>
        <w:pStyle w:val="3"/>
      </w:pPr>
      <w:bookmarkStart w:id="258" w:name="_Toc248586881"/>
      <w:bookmarkStart w:id="259" w:name="_Toc248730803"/>
      <w:bookmarkStart w:id="260" w:name="_Toc270001470"/>
      <w:bookmarkStart w:id="261" w:name="_Toc168502077"/>
      <w:r>
        <w:t>10</w:t>
      </w:r>
      <w:r w:rsidR="009E2B77" w:rsidRPr="002D4EA3">
        <w:t>.1 General provisions</w:t>
      </w:r>
      <w:bookmarkEnd w:id="258"/>
      <w:bookmarkEnd w:id="259"/>
      <w:bookmarkEnd w:id="260"/>
      <w:bookmarkEnd w:id="261"/>
    </w:p>
    <w:p w14:paraId="0EC4C639" w14:textId="77777777" w:rsidR="009E2B77" w:rsidRPr="007D770B" w:rsidRDefault="009E2B77" w:rsidP="00F96B17">
      <w:pPr>
        <w:pStyle w:val="ABC-paragrahinNotes"/>
        <w:spacing w:before="240"/>
        <w:rPr>
          <w:rFonts w:ascii="Times New Roman" w:hAnsi="Times New Roman"/>
          <w:sz w:val="20"/>
          <w:lang w:val="en-US"/>
        </w:rPr>
      </w:pPr>
      <w:r w:rsidRPr="007D770B">
        <w:rPr>
          <w:rFonts w:ascii="Times New Roman" w:hAnsi="Times New Roman"/>
          <w:sz w:val="20"/>
          <w:lang w:val="en-US"/>
        </w:rPr>
        <w:t>Expenses are recognized as incurred and are reported in the financial statements on an accrual basis in the period to which they relate.</w:t>
      </w:r>
    </w:p>
    <w:p w14:paraId="2DF528AA" w14:textId="77777777" w:rsidR="009E2B77" w:rsidRPr="007D770B" w:rsidRDefault="009E2B77" w:rsidP="00F96B17">
      <w:pPr>
        <w:pStyle w:val="ABC-paragrahinNotes"/>
        <w:spacing w:before="240"/>
        <w:rPr>
          <w:rFonts w:ascii="Times New Roman" w:hAnsi="Times New Roman"/>
          <w:sz w:val="20"/>
          <w:lang w:val="en-US"/>
        </w:rPr>
      </w:pPr>
      <w:r w:rsidRPr="007D770B">
        <w:rPr>
          <w:rFonts w:ascii="Times New Roman" w:hAnsi="Times New Roman"/>
          <w:sz w:val="20"/>
          <w:lang w:val="en-US"/>
        </w:rPr>
        <w:t>Expenses include expenses necessary to generate income (</w:t>
      </w:r>
      <w:r w:rsidR="00D80FD9" w:rsidRPr="007D770B">
        <w:rPr>
          <w:rFonts w:ascii="Times New Roman" w:hAnsi="Times New Roman"/>
          <w:sz w:val="20"/>
          <w:lang w:val="en-US"/>
        </w:rPr>
        <w:t>interest and commission expenses</w:t>
      </w:r>
      <w:r w:rsidRPr="007D770B">
        <w:rPr>
          <w:rFonts w:ascii="Times New Roman" w:hAnsi="Times New Roman"/>
          <w:sz w:val="20"/>
          <w:lang w:val="en-US"/>
        </w:rPr>
        <w:t xml:space="preserve">), </w:t>
      </w:r>
      <w:r w:rsidR="00D80FD9" w:rsidRPr="007D770B">
        <w:rPr>
          <w:rFonts w:ascii="Times New Roman" w:hAnsi="Times New Roman"/>
          <w:sz w:val="20"/>
          <w:lang w:val="en-US"/>
        </w:rPr>
        <w:t xml:space="preserve">general and administrative expenses </w:t>
      </w:r>
      <w:r w:rsidRPr="007D770B">
        <w:rPr>
          <w:rFonts w:ascii="Times New Roman" w:hAnsi="Times New Roman"/>
          <w:sz w:val="20"/>
          <w:lang w:val="en-US"/>
        </w:rPr>
        <w:t xml:space="preserve">and other </w:t>
      </w:r>
      <w:r w:rsidR="00D80FD9" w:rsidRPr="007D770B">
        <w:rPr>
          <w:rFonts w:ascii="Times New Roman" w:hAnsi="Times New Roman"/>
          <w:sz w:val="20"/>
          <w:lang w:val="en-US"/>
        </w:rPr>
        <w:t xml:space="preserve">operating </w:t>
      </w:r>
      <w:r w:rsidRPr="007D770B">
        <w:rPr>
          <w:rFonts w:ascii="Times New Roman" w:hAnsi="Times New Roman"/>
          <w:sz w:val="20"/>
          <w:lang w:val="en-US"/>
        </w:rPr>
        <w:t>expenses incurred in the normal course of business.</w:t>
      </w:r>
    </w:p>
    <w:p w14:paraId="3125BED3" w14:textId="77777777" w:rsidR="009E2B77" w:rsidRPr="007D770B" w:rsidRDefault="00F95C14" w:rsidP="00E61D21">
      <w:pPr>
        <w:pStyle w:val="3"/>
        <w:rPr>
          <w:lang w:val="en-US"/>
        </w:rPr>
      </w:pPr>
      <w:bookmarkStart w:id="262" w:name="_Toc248586882"/>
      <w:bookmarkStart w:id="263" w:name="_Toc248730804"/>
      <w:bookmarkStart w:id="264" w:name="_Toc270001471"/>
      <w:bookmarkStart w:id="265" w:name="_Toc168502078"/>
      <w:bookmarkStart w:id="266" w:name="_Toc187314000"/>
      <w:r w:rsidRPr="007D770B">
        <w:rPr>
          <w:lang w:val="en-US"/>
        </w:rPr>
        <w:t>10</w:t>
      </w:r>
      <w:r w:rsidR="009E2B77" w:rsidRPr="007D770B">
        <w:rPr>
          <w:lang w:val="en-US"/>
        </w:rPr>
        <w:t xml:space="preserve">.2 Classification </w:t>
      </w:r>
      <w:bookmarkEnd w:id="262"/>
      <w:bookmarkEnd w:id="263"/>
      <w:bookmarkEnd w:id="264"/>
      <w:bookmarkEnd w:id="265"/>
      <w:bookmarkEnd w:id="266"/>
    </w:p>
    <w:p w14:paraId="10167FEB" w14:textId="77777777" w:rsidR="009E2B77" w:rsidRPr="007D770B" w:rsidRDefault="009E2B77" w:rsidP="00F96B17">
      <w:pPr>
        <w:suppressAutoHyphens/>
        <w:spacing w:before="240" w:line="240" w:lineRule="auto"/>
        <w:ind w:left="0"/>
        <w:rPr>
          <w:rFonts w:ascii="Times New Roman" w:hAnsi="Times New Roman"/>
          <w:lang w:val="en-US"/>
        </w:rPr>
      </w:pPr>
      <w:r w:rsidRPr="007D770B">
        <w:rPr>
          <w:rFonts w:ascii="Times New Roman" w:hAnsi="Times New Roman"/>
          <w:b/>
          <w:lang w:val="en-US"/>
        </w:rPr>
        <w:t xml:space="preserve">An expense </w:t>
      </w:r>
      <w:r w:rsidRPr="007D770B">
        <w:rPr>
          <w:rFonts w:ascii="Times New Roman" w:hAnsi="Times New Roman"/>
          <w:lang w:val="en-US"/>
        </w:rPr>
        <w:t>is a decrease in economic benefits during the reporting period in the form of an outflow or depletion of assets or an increase in liabilities that results in a decrease in equity, other than a decrease related to distributions to equity participants.</w:t>
      </w:r>
    </w:p>
    <w:p w14:paraId="4A3616FD" w14:textId="77777777" w:rsidR="009E2B77" w:rsidRPr="007D770B" w:rsidRDefault="009E2B77" w:rsidP="00F96B17">
      <w:pPr>
        <w:suppressAutoHyphens/>
        <w:spacing w:before="240" w:line="240" w:lineRule="auto"/>
        <w:ind w:left="0"/>
        <w:rPr>
          <w:rFonts w:ascii="Times New Roman" w:hAnsi="Times New Roman"/>
          <w:lang w:val="en-US"/>
        </w:rPr>
      </w:pPr>
      <w:r w:rsidRPr="007D770B">
        <w:rPr>
          <w:rFonts w:ascii="Times New Roman" w:hAnsi="Times New Roman"/>
          <w:b/>
          <w:lang w:val="en-US"/>
        </w:rPr>
        <w:t xml:space="preserve">Ordinary </w:t>
      </w:r>
      <w:r w:rsidRPr="007D770B">
        <w:rPr>
          <w:rFonts w:ascii="Times New Roman" w:hAnsi="Times New Roman"/>
          <w:lang w:val="en-US"/>
        </w:rPr>
        <w:t xml:space="preserve">activities are any activities carried on by </w:t>
      </w:r>
      <w:r w:rsidR="00F9744B" w:rsidRPr="007D770B">
        <w:rPr>
          <w:rFonts w:ascii="Times New Roman" w:hAnsi="Times New Roman"/>
          <w:lang w:val="en-US"/>
        </w:rPr>
        <w:t xml:space="preserve">the Bank </w:t>
      </w:r>
      <w:r w:rsidRPr="007D770B">
        <w:rPr>
          <w:rFonts w:ascii="Times New Roman" w:hAnsi="Times New Roman"/>
          <w:lang w:val="en-US"/>
        </w:rPr>
        <w:t xml:space="preserve">as an integral part of </w:t>
      </w:r>
      <w:r w:rsidR="00BA0AE0" w:rsidRPr="007D770B">
        <w:rPr>
          <w:rFonts w:ascii="Times New Roman" w:hAnsi="Times New Roman"/>
          <w:lang w:val="en-US"/>
        </w:rPr>
        <w:t>its</w:t>
      </w:r>
      <w:r w:rsidRPr="007D770B">
        <w:rPr>
          <w:rFonts w:ascii="Times New Roman" w:hAnsi="Times New Roman"/>
          <w:lang w:val="en-US"/>
        </w:rPr>
        <w:t xml:space="preserve"> business and such related activities that are to, or arise out of, the </w:t>
      </w:r>
      <w:r w:rsidR="00F9744B" w:rsidRPr="007D770B">
        <w:rPr>
          <w:rFonts w:ascii="Times New Roman" w:hAnsi="Times New Roman"/>
          <w:lang w:val="en-US"/>
        </w:rPr>
        <w:t xml:space="preserve">Bank's </w:t>
      </w:r>
      <w:r w:rsidR="00A359A6" w:rsidRPr="007D770B">
        <w:rPr>
          <w:rFonts w:ascii="Times New Roman" w:hAnsi="Times New Roman"/>
          <w:lang w:val="en-US"/>
        </w:rPr>
        <w:t xml:space="preserve">continuing </w:t>
      </w:r>
      <w:r w:rsidRPr="007D770B">
        <w:rPr>
          <w:rFonts w:ascii="Times New Roman" w:hAnsi="Times New Roman"/>
          <w:b/>
          <w:lang w:val="en-US"/>
        </w:rPr>
        <w:t>operations</w:t>
      </w:r>
      <w:r w:rsidRPr="007D770B">
        <w:rPr>
          <w:rFonts w:ascii="Times New Roman" w:hAnsi="Times New Roman"/>
          <w:lang w:val="en-US"/>
        </w:rPr>
        <w:t>.</w:t>
      </w:r>
    </w:p>
    <w:p w14:paraId="181CBFBB" w14:textId="77777777" w:rsidR="009E2B77" w:rsidRPr="007D770B" w:rsidRDefault="009E2B77" w:rsidP="00F96B17">
      <w:pPr>
        <w:tabs>
          <w:tab w:val="left" w:pos="270"/>
        </w:tabs>
        <w:suppressAutoHyphens/>
        <w:spacing w:before="240" w:line="240" w:lineRule="auto"/>
        <w:ind w:left="0"/>
        <w:rPr>
          <w:rFonts w:ascii="Times New Roman" w:hAnsi="Times New Roman"/>
          <w:lang w:val="en-US"/>
        </w:rPr>
      </w:pPr>
      <w:r w:rsidRPr="007D770B">
        <w:rPr>
          <w:rFonts w:ascii="Times New Roman" w:hAnsi="Times New Roman"/>
          <w:lang w:val="en-US"/>
        </w:rPr>
        <w:t xml:space="preserve">The </w:t>
      </w:r>
      <w:r w:rsidR="00F9744B" w:rsidRPr="007D770B">
        <w:rPr>
          <w:rFonts w:ascii="Times New Roman" w:hAnsi="Times New Roman"/>
          <w:lang w:val="en-US"/>
        </w:rPr>
        <w:t xml:space="preserve">Bank </w:t>
      </w:r>
      <w:r w:rsidRPr="007D770B">
        <w:rPr>
          <w:rFonts w:ascii="Times New Roman" w:hAnsi="Times New Roman"/>
          <w:lang w:val="en-US"/>
        </w:rPr>
        <w:t xml:space="preserve">presents an analysis of costs based on their internal function for the </w:t>
      </w:r>
      <w:r w:rsidR="00F9744B" w:rsidRPr="007D770B">
        <w:rPr>
          <w:rFonts w:ascii="Times New Roman" w:hAnsi="Times New Roman"/>
          <w:lang w:val="en-US"/>
        </w:rPr>
        <w:t xml:space="preserve">Bank </w:t>
      </w:r>
      <w:r w:rsidRPr="007D770B">
        <w:rPr>
          <w:rFonts w:ascii="Times New Roman" w:hAnsi="Times New Roman"/>
          <w:lang w:val="en-US"/>
        </w:rPr>
        <w:t xml:space="preserve">in accordance with the structure of the </w:t>
      </w:r>
      <w:r w:rsidR="00F9744B" w:rsidRPr="007D770B">
        <w:rPr>
          <w:rFonts w:ascii="Times New Roman" w:hAnsi="Times New Roman"/>
          <w:lang w:val="en-US"/>
        </w:rPr>
        <w:t xml:space="preserve">Bank's </w:t>
      </w:r>
      <w:r w:rsidRPr="007D770B">
        <w:rPr>
          <w:rFonts w:ascii="Times New Roman" w:hAnsi="Times New Roman"/>
          <w:lang w:val="en-US"/>
        </w:rPr>
        <w:t>statement of comprehensive income.</w:t>
      </w:r>
    </w:p>
    <w:p w14:paraId="21F417EA" w14:textId="77777777" w:rsidR="00BA0AE0" w:rsidRPr="002D4EA3" w:rsidRDefault="00BA0AE0" w:rsidP="00F96B17">
      <w:pPr>
        <w:suppressAutoHyphens/>
        <w:spacing w:before="240" w:line="240" w:lineRule="auto"/>
        <w:ind w:left="0"/>
        <w:rPr>
          <w:rFonts w:ascii="Times New Roman" w:hAnsi="Times New Roman"/>
          <w:b/>
        </w:rPr>
      </w:pPr>
      <w:r w:rsidRPr="002D4EA3">
        <w:rPr>
          <w:rFonts w:ascii="Times New Roman" w:hAnsi="Times New Roman"/>
          <w:b/>
        </w:rPr>
        <w:t>Interest expense</w:t>
      </w:r>
    </w:p>
    <w:p w14:paraId="1E4E8EE1" w14:textId="77777777" w:rsidR="007B413A" w:rsidRPr="002D4EA3" w:rsidRDefault="00445FB0" w:rsidP="00AE698A">
      <w:pPr>
        <w:numPr>
          <w:ilvl w:val="0"/>
          <w:numId w:val="50"/>
        </w:numPr>
        <w:suppressAutoHyphens/>
        <w:spacing w:before="120" w:after="120" w:line="240" w:lineRule="auto"/>
        <w:rPr>
          <w:rFonts w:ascii="Times New Roman" w:hAnsi="Times New Roman"/>
        </w:rPr>
      </w:pPr>
      <w:r w:rsidRPr="002D4EA3">
        <w:rPr>
          <w:rFonts w:ascii="Times New Roman" w:hAnsi="Times New Roman"/>
        </w:rPr>
        <w:t xml:space="preserve">time </w:t>
      </w:r>
      <w:r w:rsidR="007B413A" w:rsidRPr="002D4EA3">
        <w:rPr>
          <w:rFonts w:ascii="Times New Roman" w:hAnsi="Times New Roman"/>
        </w:rPr>
        <w:t xml:space="preserve">deposits </w:t>
      </w:r>
      <w:r w:rsidRPr="002D4EA3">
        <w:rPr>
          <w:rFonts w:ascii="Times New Roman" w:hAnsi="Times New Roman"/>
        </w:rPr>
        <w:t xml:space="preserve">of </w:t>
      </w:r>
      <w:r w:rsidR="007B413A" w:rsidRPr="002D4EA3">
        <w:rPr>
          <w:rFonts w:ascii="Times New Roman" w:hAnsi="Times New Roman"/>
        </w:rPr>
        <w:t>individuals;</w:t>
      </w:r>
    </w:p>
    <w:p w14:paraId="46CC057C" w14:textId="77777777" w:rsidR="00BA0AE0" w:rsidRPr="002D4EA3" w:rsidRDefault="00445FB0" w:rsidP="00AE698A">
      <w:pPr>
        <w:numPr>
          <w:ilvl w:val="0"/>
          <w:numId w:val="50"/>
        </w:numPr>
        <w:suppressAutoHyphens/>
        <w:spacing w:before="120" w:after="120" w:line="240" w:lineRule="auto"/>
        <w:rPr>
          <w:rFonts w:ascii="Times New Roman" w:hAnsi="Times New Roman"/>
        </w:rPr>
      </w:pPr>
      <w:r w:rsidRPr="002D4EA3">
        <w:rPr>
          <w:rFonts w:ascii="Times New Roman" w:hAnsi="Times New Roman"/>
        </w:rPr>
        <w:t>debt</w:t>
      </w:r>
      <w:r w:rsidR="00BA0AE0" w:rsidRPr="002D4EA3">
        <w:rPr>
          <w:rFonts w:ascii="Times New Roman" w:hAnsi="Times New Roman"/>
        </w:rPr>
        <w:t xml:space="preserve"> </w:t>
      </w:r>
      <w:r w:rsidRPr="002D4EA3">
        <w:rPr>
          <w:rFonts w:ascii="Times New Roman" w:hAnsi="Times New Roman"/>
        </w:rPr>
        <w:t>securities issued</w:t>
      </w:r>
      <w:r w:rsidR="008B39D8" w:rsidRPr="002D4EA3">
        <w:rPr>
          <w:rFonts w:ascii="Times New Roman" w:hAnsi="Times New Roman"/>
        </w:rPr>
        <w:t>;</w:t>
      </w:r>
    </w:p>
    <w:p w14:paraId="1BFB4549" w14:textId="77777777" w:rsidR="00BA0AE0" w:rsidRPr="002D4EA3" w:rsidRDefault="00445FB0" w:rsidP="00AE698A">
      <w:pPr>
        <w:numPr>
          <w:ilvl w:val="0"/>
          <w:numId w:val="50"/>
        </w:numPr>
        <w:suppressAutoHyphens/>
        <w:spacing w:before="120" w:after="120" w:line="240" w:lineRule="auto"/>
        <w:rPr>
          <w:rFonts w:ascii="Times New Roman" w:hAnsi="Times New Roman"/>
        </w:rPr>
      </w:pPr>
      <w:r w:rsidRPr="002D4EA3">
        <w:rPr>
          <w:rFonts w:ascii="Times New Roman" w:hAnsi="Times New Roman"/>
        </w:rPr>
        <w:t xml:space="preserve">borrowed </w:t>
      </w:r>
      <w:r w:rsidR="00BA0AE0" w:rsidRPr="002D4EA3">
        <w:rPr>
          <w:rFonts w:ascii="Times New Roman" w:hAnsi="Times New Roman"/>
        </w:rPr>
        <w:t>funds</w:t>
      </w:r>
      <w:r w:rsidR="008B39D8" w:rsidRPr="002D4EA3">
        <w:rPr>
          <w:rFonts w:ascii="Times New Roman" w:hAnsi="Times New Roman"/>
        </w:rPr>
        <w:t>;</w:t>
      </w:r>
    </w:p>
    <w:p w14:paraId="119DAFD4" w14:textId="77777777" w:rsidR="00BA0AE0" w:rsidRPr="002D4EA3" w:rsidRDefault="00C158A6" w:rsidP="00AE698A">
      <w:pPr>
        <w:numPr>
          <w:ilvl w:val="0"/>
          <w:numId w:val="50"/>
        </w:numPr>
        <w:suppressAutoHyphens/>
        <w:spacing w:before="120" w:after="120" w:line="240" w:lineRule="auto"/>
        <w:rPr>
          <w:rFonts w:ascii="Times New Roman" w:hAnsi="Times New Roman"/>
        </w:rPr>
      </w:pPr>
      <w:r w:rsidRPr="002D4EA3">
        <w:rPr>
          <w:rFonts w:ascii="Times New Roman" w:hAnsi="Times New Roman"/>
        </w:rPr>
        <w:t xml:space="preserve">bank </w:t>
      </w:r>
      <w:r w:rsidR="00445FB0" w:rsidRPr="002D4EA3">
        <w:rPr>
          <w:rFonts w:ascii="Times New Roman" w:hAnsi="Times New Roman"/>
        </w:rPr>
        <w:t>deposits</w:t>
      </w:r>
      <w:r w:rsidRPr="002D4EA3">
        <w:rPr>
          <w:rFonts w:ascii="Times New Roman" w:hAnsi="Times New Roman"/>
        </w:rPr>
        <w:t>;</w:t>
      </w:r>
    </w:p>
    <w:p w14:paraId="696F153B" w14:textId="7B0870CE" w:rsidR="00C158A6" w:rsidRPr="002D4EA3" w:rsidRDefault="00445FB0" w:rsidP="00AE698A">
      <w:pPr>
        <w:numPr>
          <w:ilvl w:val="0"/>
          <w:numId w:val="50"/>
        </w:numPr>
        <w:suppressAutoHyphens/>
        <w:spacing w:before="120" w:after="120" w:line="240" w:lineRule="auto"/>
        <w:rPr>
          <w:rFonts w:ascii="Times New Roman" w:hAnsi="Times New Roman"/>
        </w:rPr>
      </w:pPr>
      <w:r w:rsidRPr="002D4EA3">
        <w:rPr>
          <w:rFonts w:ascii="Times New Roman" w:hAnsi="Times New Roman"/>
        </w:rPr>
        <w:t>overnight deposits from banks;</w:t>
      </w:r>
    </w:p>
    <w:p w14:paraId="658E61A2" w14:textId="77777777" w:rsidR="00445FB0" w:rsidRPr="002D4EA3" w:rsidRDefault="00445FB0" w:rsidP="00AE698A">
      <w:pPr>
        <w:numPr>
          <w:ilvl w:val="0"/>
          <w:numId w:val="50"/>
        </w:numPr>
        <w:suppressAutoHyphens/>
        <w:spacing w:before="120" w:after="120" w:line="240" w:lineRule="auto"/>
        <w:rPr>
          <w:rFonts w:ascii="Times New Roman" w:hAnsi="Times New Roman"/>
        </w:rPr>
      </w:pPr>
      <w:r w:rsidRPr="002D4EA3">
        <w:rPr>
          <w:rFonts w:ascii="Times New Roman" w:hAnsi="Times New Roman"/>
        </w:rPr>
        <w:t>correspondent accounts of banks;</w:t>
      </w:r>
    </w:p>
    <w:p w14:paraId="22445E98" w14:textId="77777777" w:rsidR="00B24B4D" w:rsidRDefault="00BA0AE0" w:rsidP="00AE698A">
      <w:pPr>
        <w:numPr>
          <w:ilvl w:val="0"/>
          <w:numId w:val="50"/>
        </w:numPr>
        <w:suppressAutoHyphens/>
        <w:spacing w:before="120" w:after="0" w:line="240" w:lineRule="auto"/>
        <w:ind w:left="714" w:hanging="357"/>
        <w:rPr>
          <w:rFonts w:ascii="Times New Roman" w:hAnsi="Times New Roman"/>
        </w:rPr>
      </w:pPr>
      <w:r w:rsidRPr="002D4EA3">
        <w:rPr>
          <w:rFonts w:ascii="Times New Roman" w:hAnsi="Times New Roman"/>
        </w:rPr>
        <w:t>others</w:t>
      </w:r>
      <w:r w:rsidR="00B24B4D" w:rsidRPr="002D4EA3">
        <w:rPr>
          <w:rFonts w:ascii="Times New Roman" w:hAnsi="Times New Roman"/>
        </w:rPr>
        <w:t>.</w:t>
      </w:r>
    </w:p>
    <w:p w14:paraId="7835D153" w14:textId="76BDA12E" w:rsidR="000909EA" w:rsidRPr="007D770B" w:rsidRDefault="000909EA" w:rsidP="008945F4">
      <w:pPr>
        <w:tabs>
          <w:tab w:val="left" w:pos="360"/>
        </w:tabs>
        <w:spacing w:line="240" w:lineRule="auto"/>
        <w:ind w:left="0"/>
        <w:rPr>
          <w:rFonts w:ascii="Times New Roman" w:eastAsia="Times New Roman" w:hAnsi="Times New Roman"/>
          <w:i/>
          <w:snapToGrid w:val="0"/>
          <w:color w:val="3366FF"/>
          <w:szCs w:val="22"/>
          <w:lang w:val="en-US" w:eastAsia="ru-RU"/>
        </w:rPr>
      </w:pPr>
      <w:r w:rsidRPr="007D770B">
        <w:rPr>
          <w:rFonts w:ascii="Times New Roman" w:eastAsia="Times New Roman" w:hAnsi="Times New Roman"/>
          <w:i/>
          <w:snapToGrid w:val="0"/>
          <w:color w:val="3366FF"/>
          <w:szCs w:val="22"/>
          <w:lang w:val="en-US" w:eastAsia="ru-RU"/>
        </w:rPr>
        <w:t xml:space="preserve">(The subparagraph "Interest expenses" of item 10.2. was amended by the decision of the Board of Directors dated </w:t>
      </w:r>
      <w:r w:rsidR="0013670D" w:rsidRPr="007D770B">
        <w:rPr>
          <w:rFonts w:ascii="Times New Roman" w:eastAsia="Times New Roman" w:hAnsi="Times New Roman"/>
          <w:i/>
          <w:snapToGrid w:val="0"/>
          <w:color w:val="3366FF"/>
          <w:szCs w:val="22"/>
          <w:lang w:val="en-US" w:eastAsia="ru-RU"/>
        </w:rPr>
        <w:t>31</w:t>
      </w:r>
      <w:r w:rsidRPr="007D770B">
        <w:rPr>
          <w:rFonts w:ascii="Times New Roman" w:eastAsia="Times New Roman" w:hAnsi="Times New Roman"/>
          <w:i/>
          <w:snapToGrid w:val="0"/>
          <w:color w:val="3366FF"/>
          <w:szCs w:val="22"/>
          <w:lang w:val="en-US" w:eastAsia="ru-RU"/>
        </w:rPr>
        <w:t>.</w:t>
      </w:r>
      <w:r w:rsidR="0013670D" w:rsidRPr="007D770B">
        <w:rPr>
          <w:rFonts w:ascii="Times New Roman" w:eastAsia="Times New Roman" w:hAnsi="Times New Roman"/>
          <w:i/>
          <w:snapToGrid w:val="0"/>
          <w:color w:val="3366FF"/>
          <w:szCs w:val="22"/>
          <w:lang w:val="en-US" w:eastAsia="ru-RU"/>
        </w:rPr>
        <w:t>10</w:t>
      </w:r>
      <w:r w:rsidRPr="007D770B">
        <w:rPr>
          <w:rFonts w:ascii="Times New Roman" w:eastAsia="Times New Roman" w:hAnsi="Times New Roman"/>
          <w:i/>
          <w:snapToGrid w:val="0"/>
          <w:color w:val="3366FF"/>
          <w:szCs w:val="22"/>
          <w:lang w:val="en-US" w:eastAsia="ru-RU"/>
        </w:rPr>
        <w:t xml:space="preserve">.2019 (Minutes No. </w:t>
      </w:r>
      <w:r w:rsidR="0013670D" w:rsidRPr="007D770B">
        <w:rPr>
          <w:rFonts w:ascii="Times New Roman" w:eastAsia="Times New Roman" w:hAnsi="Times New Roman"/>
          <w:i/>
          <w:snapToGrid w:val="0"/>
          <w:color w:val="3366FF"/>
          <w:szCs w:val="22"/>
          <w:lang w:val="en-US" w:eastAsia="ru-RU"/>
        </w:rPr>
        <w:t>13</w:t>
      </w:r>
      <w:r w:rsidRPr="007D770B">
        <w:rPr>
          <w:rFonts w:ascii="Times New Roman" w:eastAsia="Times New Roman" w:hAnsi="Times New Roman"/>
          <w:i/>
          <w:snapToGrid w:val="0"/>
          <w:color w:val="3366FF"/>
          <w:szCs w:val="22"/>
          <w:lang w:val="en-US" w:eastAsia="ru-RU"/>
        </w:rPr>
        <w:t>)</w:t>
      </w:r>
    </w:p>
    <w:p w14:paraId="33ED9F6C" w14:textId="77777777" w:rsidR="00B24B4D" w:rsidRPr="002D4EA3" w:rsidRDefault="00B24B4D" w:rsidP="00B24B4D">
      <w:pPr>
        <w:suppressAutoHyphens/>
        <w:spacing w:before="240" w:line="240" w:lineRule="auto"/>
        <w:ind w:left="0"/>
        <w:rPr>
          <w:rFonts w:ascii="Times New Roman" w:hAnsi="Times New Roman"/>
          <w:b/>
        </w:rPr>
      </w:pPr>
      <w:r w:rsidRPr="002D4EA3">
        <w:rPr>
          <w:rFonts w:ascii="Times New Roman" w:hAnsi="Times New Roman"/>
          <w:b/>
        </w:rPr>
        <w:t>Fee and commission expense</w:t>
      </w:r>
    </w:p>
    <w:p w14:paraId="16994E96" w14:textId="1268961B" w:rsidR="005669B2" w:rsidRPr="00D64F09" w:rsidRDefault="005669B2" w:rsidP="00AE698A">
      <w:pPr>
        <w:numPr>
          <w:ilvl w:val="0"/>
          <w:numId w:val="224"/>
        </w:numPr>
        <w:suppressAutoHyphens/>
        <w:spacing w:before="120" w:after="120" w:line="240" w:lineRule="auto"/>
        <w:rPr>
          <w:rFonts w:ascii="Times New Roman" w:hAnsi="Times New Roman"/>
          <w:b/>
        </w:rPr>
      </w:pPr>
      <w:r w:rsidRPr="00D64F09">
        <w:rPr>
          <w:rFonts w:ascii="Times New Roman" w:hAnsi="Times New Roman"/>
          <w:b/>
        </w:rPr>
        <w:t>agents</w:t>
      </w:r>
    </w:p>
    <w:p w14:paraId="3E09C089" w14:textId="77777777" w:rsidR="00C158A6" w:rsidRPr="002D4EA3" w:rsidRDefault="00C158A6" w:rsidP="00AE698A">
      <w:pPr>
        <w:numPr>
          <w:ilvl w:val="0"/>
          <w:numId w:val="224"/>
        </w:numPr>
        <w:suppressAutoHyphens/>
        <w:spacing w:before="120" w:after="120" w:line="240" w:lineRule="auto"/>
        <w:rPr>
          <w:rFonts w:ascii="Times New Roman" w:hAnsi="Times New Roman"/>
        </w:rPr>
      </w:pPr>
      <w:r w:rsidRPr="002D4EA3">
        <w:rPr>
          <w:rFonts w:ascii="Times New Roman" w:hAnsi="Times New Roman"/>
        </w:rPr>
        <w:t xml:space="preserve">settlement </w:t>
      </w:r>
      <w:r w:rsidR="00445FB0" w:rsidRPr="002D4EA3">
        <w:rPr>
          <w:rFonts w:ascii="Times New Roman" w:hAnsi="Times New Roman"/>
        </w:rPr>
        <w:t>transactions</w:t>
      </w:r>
      <w:r w:rsidRPr="002D4EA3">
        <w:rPr>
          <w:rFonts w:ascii="Times New Roman" w:hAnsi="Times New Roman"/>
        </w:rPr>
        <w:t>;</w:t>
      </w:r>
    </w:p>
    <w:p w14:paraId="172C1A7E" w14:textId="77777777" w:rsidR="00C158A6" w:rsidRPr="002D4EA3" w:rsidRDefault="00C158A6" w:rsidP="00AE698A">
      <w:pPr>
        <w:numPr>
          <w:ilvl w:val="0"/>
          <w:numId w:val="224"/>
        </w:numPr>
        <w:suppressAutoHyphens/>
        <w:spacing w:before="120" w:after="120" w:line="240" w:lineRule="auto"/>
        <w:rPr>
          <w:rFonts w:ascii="Times New Roman" w:hAnsi="Times New Roman"/>
        </w:rPr>
      </w:pPr>
      <w:r w:rsidRPr="002D4EA3">
        <w:rPr>
          <w:rFonts w:ascii="Times New Roman" w:hAnsi="Times New Roman"/>
        </w:rPr>
        <w:t>cash transactions;</w:t>
      </w:r>
    </w:p>
    <w:p w14:paraId="4F8DD0BF" w14:textId="77777777" w:rsidR="00C158A6" w:rsidRPr="002D4EA3" w:rsidRDefault="00C158A6" w:rsidP="00AE698A">
      <w:pPr>
        <w:numPr>
          <w:ilvl w:val="0"/>
          <w:numId w:val="224"/>
        </w:numPr>
        <w:suppressAutoHyphens/>
        <w:spacing w:before="120" w:after="120" w:line="240" w:lineRule="auto"/>
        <w:rPr>
          <w:rFonts w:ascii="Times New Roman" w:hAnsi="Times New Roman"/>
        </w:rPr>
      </w:pPr>
      <w:r w:rsidRPr="002D4EA3">
        <w:rPr>
          <w:rFonts w:ascii="Times New Roman" w:hAnsi="Times New Roman"/>
        </w:rPr>
        <w:t>securities transactions;</w:t>
      </w:r>
    </w:p>
    <w:p w14:paraId="0E8E0063" w14:textId="77777777" w:rsidR="00445FB0" w:rsidRPr="007D770B" w:rsidRDefault="00C158A6" w:rsidP="00AE698A">
      <w:pPr>
        <w:numPr>
          <w:ilvl w:val="0"/>
          <w:numId w:val="224"/>
        </w:numPr>
        <w:suppressAutoHyphens/>
        <w:spacing w:before="120" w:after="120" w:line="240" w:lineRule="auto"/>
        <w:rPr>
          <w:rFonts w:ascii="Times New Roman" w:hAnsi="Times New Roman"/>
          <w:lang w:val="en-US"/>
        </w:rPr>
      </w:pPr>
      <w:r w:rsidRPr="007D770B">
        <w:rPr>
          <w:rFonts w:ascii="Times New Roman" w:hAnsi="Times New Roman"/>
          <w:lang w:val="en-US"/>
        </w:rPr>
        <w:t>financial instruments through profit and loss</w:t>
      </w:r>
      <w:r w:rsidR="00445FB0" w:rsidRPr="007D770B">
        <w:rPr>
          <w:rFonts w:ascii="Times New Roman" w:hAnsi="Times New Roman"/>
          <w:lang w:val="en-US"/>
        </w:rPr>
        <w:t>;</w:t>
      </w:r>
    </w:p>
    <w:p w14:paraId="78B19700" w14:textId="77777777" w:rsidR="00BA0AE0" w:rsidRPr="002D4EA3" w:rsidRDefault="00445FB0" w:rsidP="00AE698A">
      <w:pPr>
        <w:numPr>
          <w:ilvl w:val="0"/>
          <w:numId w:val="224"/>
        </w:numPr>
        <w:suppressAutoHyphens/>
        <w:spacing w:before="120" w:after="120" w:line="240" w:lineRule="auto"/>
        <w:rPr>
          <w:rFonts w:ascii="Times New Roman" w:hAnsi="Times New Roman"/>
        </w:rPr>
      </w:pPr>
      <w:r w:rsidRPr="002D4EA3">
        <w:rPr>
          <w:rFonts w:ascii="Times New Roman" w:hAnsi="Times New Roman"/>
        </w:rPr>
        <w:t>others.</w:t>
      </w:r>
    </w:p>
    <w:p w14:paraId="4FFACE50" w14:textId="77777777" w:rsidR="009E2B77" w:rsidRPr="007D770B" w:rsidRDefault="009E2B77" w:rsidP="00F96B17">
      <w:pPr>
        <w:suppressAutoHyphens/>
        <w:spacing w:before="240" w:line="240" w:lineRule="auto"/>
        <w:ind w:left="0"/>
        <w:rPr>
          <w:rFonts w:ascii="Times New Roman" w:hAnsi="Times New Roman"/>
          <w:b/>
          <w:lang w:val="en-US"/>
        </w:rPr>
      </w:pPr>
      <w:r w:rsidRPr="007D770B">
        <w:rPr>
          <w:rFonts w:ascii="Times New Roman" w:hAnsi="Times New Roman"/>
          <w:b/>
          <w:lang w:val="en-US"/>
        </w:rPr>
        <w:t xml:space="preserve">General and administrative </w:t>
      </w:r>
      <w:r w:rsidR="003428D6" w:rsidRPr="007D770B">
        <w:rPr>
          <w:rFonts w:ascii="Times New Roman" w:hAnsi="Times New Roman"/>
          <w:b/>
          <w:lang w:val="en-US"/>
        </w:rPr>
        <w:t xml:space="preserve">other operating </w:t>
      </w:r>
      <w:r w:rsidRPr="007D770B">
        <w:rPr>
          <w:rFonts w:ascii="Times New Roman" w:hAnsi="Times New Roman"/>
          <w:b/>
          <w:lang w:val="en-US"/>
        </w:rPr>
        <w:t>expenses</w:t>
      </w:r>
    </w:p>
    <w:p w14:paraId="63C9C1E1" w14:textId="77777777" w:rsidR="008B39D8" w:rsidRPr="002D4EA3" w:rsidRDefault="008B39D8" w:rsidP="00AE698A">
      <w:pPr>
        <w:numPr>
          <w:ilvl w:val="0"/>
          <w:numId w:val="51"/>
        </w:numPr>
        <w:spacing w:before="120" w:after="120" w:line="240" w:lineRule="auto"/>
        <w:rPr>
          <w:rFonts w:ascii="Times New Roman" w:hAnsi="Times New Roman"/>
          <w:lang w:eastAsia="ru-RU"/>
        </w:rPr>
      </w:pPr>
      <w:r w:rsidRPr="002D4EA3">
        <w:rPr>
          <w:rFonts w:ascii="Times New Roman" w:hAnsi="Times New Roman"/>
          <w:lang w:eastAsia="ru-RU"/>
        </w:rPr>
        <w:t>personnel costs</w:t>
      </w:r>
      <w:r w:rsidRPr="002D4EA3">
        <w:rPr>
          <w:rFonts w:ascii="Times New Roman" w:hAnsi="Times New Roman"/>
          <w:lang w:val="en-GB" w:eastAsia="ru-RU"/>
        </w:rPr>
        <w:t>;</w:t>
      </w:r>
    </w:p>
    <w:p w14:paraId="4E1FC761" w14:textId="77777777" w:rsidR="008B39D8" w:rsidRPr="007D770B" w:rsidRDefault="008B39D8" w:rsidP="00AE698A">
      <w:pPr>
        <w:numPr>
          <w:ilvl w:val="0"/>
          <w:numId w:val="51"/>
        </w:numPr>
        <w:spacing w:before="120" w:after="120" w:line="240" w:lineRule="auto"/>
        <w:rPr>
          <w:rFonts w:ascii="Times New Roman" w:hAnsi="Times New Roman"/>
          <w:lang w:val="en-US" w:eastAsia="ru-RU"/>
        </w:rPr>
      </w:pPr>
      <w:r w:rsidRPr="007D770B">
        <w:rPr>
          <w:rFonts w:ascii="Times New Roman" w:hAnsi="Times New Roman"/>
          <w:lang w:val="en-US" w:eastAsia="ru-RU"/>
        </w:rPr>
        <w:t>depreciation of property, plant and equipment</w:t>
      </w:r>
      <w:r w:rsidRPr="002D4EA3">
        <w:rPr>
          <w:rFonts w:ascii="Times New Roman" w:hAnsi="Times New Roman"/>
          <w:lang w:val="en-GB" w:eastAsia="ru-RU"/>
        </w:rPr>
        <w:t>;</w:t>
      </w:r>
    </w:p>
    <w:p w14:paraId="3430AAA2" w14:textId="77777777" w:rsidR="008B39D8" w:rsidRPr="007D770B" w:rsidRDefault="008B39D8" w:rsidP="00AE698A">
      <w:pPr>
        <w:numPr>
          <w:ilvl w:val="0"/>
          <w:numId w:val="51"/>
        </w:numPr>
        <w:spacing w:before="120" w:after="120" w:line="240" w:lineRule="auto"/>
        <w:rPr>
          <w:rFonts w:ascii="Times New Roman" w:hAnsi="Times New Roman"/>
          <w:lang w:val="en-US" w:eastAsia="ru-RU"/>
        </w:rPr>
      </w:pPr>
      <w:r w:rsidRPr="007D770B">
        <w:rPr>
          <w:rFonts w:ascii="Times New Roman" w:hAnsi="Times New Roman"/>
          <w:lang w:val="en-US" w:eastAsia="ru-RU"/>
        </w:rPr>
        <w:t>impairment of property, plant and equipment</w:t>
      </w:r>
      <w:r w:rsidRPr="002D4EA3">
        <w:rPr>
          <w:rFonts w:ascii="Times New Roman" w:hAnsi="Times New Roman"/>
          <w:lang w:val="en-GB" w:eastAsia="ru-RU"/>
        </w:rPr>
        <w:t>;</w:t>
      </w:r>
    </w:p>
    <w:p w14:paraId="4A0ECCE3" w14:textId="77777777" w:rsidR="008B39D8" w:rsidRPr="007D770B" w:rsidRDefault="008B39D8" w:rsidP="00AE698A">
      <w:pPr>
        <w:numPr>
          <w:ilvl w:val="0"/>
          <w:numId w:val="51"/>
        </w:numPr>
        <w:spacing w:before="120" w:after="120" w:line="240" w:lineRule="auto"/>
        <w:rPr>
          <w:rFonts w:ascii="Times New Roman" w:hAnsi="Times New Roman"/>
          <w:lang w:val="en-US" w:eastAsia="ru-RU"/>
        </w:rPr>
      </w:pPr>
      <w:r w:rsidRPr="007D770B">
        <w:rPr>
          <w:rFonts w:ascii="Times New Roman" w:hAnsi="Times New Roman"/>
          <w:lang w:val="en-US" w:eastAsia="ru-RU"/>
        </w:rPr>
        <w:t>reversal of impairment of property, plant and equipment</w:t>
      </w:r>
      <w:r w:rsidRPr="002D4EA3">
        <w:rPr>
          <w:rFonts w:ascii="Times New Roman" w:hAnsi="Times New Roman"/>
          <w:lang w:val="en-GB" w:eastAsia="ru-RU"/>
        </w:rPr>
        <w:t>;</w:t>
      </w:r>
    </w:p>
    <w:p w14:paraId="34D6F79C" w14:textId="77777777" w:rsidR="008B39D8" w:rsidRPr="007D770B" w:rsidRDefault="008B39D8" w:rsidP="00AE698A">
      <w:pPr>
        <w:numPr>
          <w:ilvl w:val="0"/>
          <w:numId w:val="51"/>
        </w:numPr>
        <w:spacing w:before="120" w:after="120" w:line="240" w:lineRule="auto"/>
        <w:rPr>
          <w:rFonts w:ascii="Times New Roman" w:hAnsi="Times New Roman"/>
          <w:lang w:val="en-US" w:eastAsia="ru-RU"/>
        </w:rPr>
      </w:pPr>
      <w:r w:rsidRPr="007D770B">
        <w:rPr>
          <w:rFonts w:ascii="Times New Roman" w:hAnsi="Times New Roman"/>
          <w:lang w:val="en-US" w:eastAsia="ru-RU"/>
        </w:rPr>
        <w:t>amortization of software and other intangible assets;</w:t>
      </w:r>
    </w:p>
    <w:p w14:paraId="4943E4A0" w14:textId="1854F8F0" w:rsidR="005669B2" w:rsidRPr="005669B2" w:rsidRDefault="008B39D8" w:rsidP="00AE698A">
      <w:pPr>
        <w:numPr>
          <w:ilvl w:val="0"/>
          <w:numId w:val="51"/>
        </w:numPr>
        <w:spacing w:before="120" w:after="120" w:line="240" w:lineRule="auto"/>
        <w:rPr>
          <w:rFonts w:ascii="Times New Roman" w:hAnsi="Times New Roman"/>
          <w:lang w:eastAsia="ru-RU"/>
        </w:rPr>
      </w:pPr>
      <w:r w:rsidRPr="002D4EA3">
        <w:rPr>
          <w:rFonts w:ascii="Times New Roman" w:hAnsi="Times New Roman"/>
          <w:lang w:eastAsia="ru-RU"/>
        </w:rPr>
        <w:t>utilities</w:t>
      </w:r>
      <w:r w:rsidRPr="002D4EA3">
        <w:rPr>
          <w:rFonts w:ascii="Times New Roman" w:hAnsi="Times New Roman"/>
          <w:lang w:val="en-GB" w:eastAsia="ru-RU"/>
        </w:rPr>
        <w:t>;</w:t>
      </w:r>
    </w:p>
    <w:p w14:paraId="4DB5C60D" w14:textId="77777777" w:rsidR="008B39D8" w:rsidRPr="002D4EA3" w:rsidRDefault="008B39D8" w:rsidP="00AE698A">
      <w:pPr>
        <w:numPr>
          <w:ilvl w:val="0"/>
          <w:numId w:val="51"/>
        </w:numPr>
        <w:spacing w:before="120" w:after="120" w:line="240" w:lineRule="auto"/>
        <w:rPr>
          <w:rFonts w:ascii="Times New Roman" w:hAnsi="Times New Roman"/>
          <w:lang w:eastAsia="ru-RU"/>
        </w:rPr>
      </w:pPr>
      <w:r w:rsidRPr="002D4EA3">
        <w:rPr>
          <w:rFonts w:ascii="Times New Roman" w:hAnsi="Times New Roman"/>
          <w:lang w:eastAsia="ru-RU"/>
        </w:rPr>
        <w:t>professional services</w:t>
      </w:r>
      <w:r w:rsidRPr="002D4EA3">
        <w:rPr>
          <w:rFonts w:ascii="Times New Roman" w:hAnsi="Times New Roman"/>
          <w:lang w:val="en-GB" w:eastAsia="ru-RU"/>
        </w:rPr>
        <w:t>;</w:t>
      </w:r>
    </w:p>
    <w:p w14:paraId="517BC7D3" w14:textId="77777777" w:rsidR="008B39D8" w:rsidRPr="005669B2" w:rsidRDefault="008B39D8" w:rsidP="00AE698A">
      <w:pPr>
        <w:numPr>
          <w:ilvl w:val="0"/>
          <w:numId w:val="51"/>
        </w:numPr>
        <w:spacing w:before="120" w:after="120" w:line="240" w:lineRule="auto"/>
        <w:rPr>
          <w:rFonts w:ascii="Times New Roman" w:hAnsi="Times New Roman"/>
          <w:lang w:eastAsia="ru-RU"/>
        </w:rPr>
      </w:pPr>
      <w:r w:rsidRPr="002D4EA3">
        <w:rPr>
          <w:rFonts w:ascii="Times New Roman" w:hAnsi="Times New Roman"/>
          <w:lang w:eastAsia="ru-RU"/>
        </w:rPr>
        <w:t>advertising and marketing services</w:t>
      </w:r>
      <w:r w:rsidRPr="002D4EA3">
        <w:rPr>
          <w:rFonts w:ascii="Times New Roman" w:hAnsi="Times New Roman"/>
          <w:lang w:val="en-GB" w:eastAsia="ru-RU"/>
        </w:rPr>
        <w:t>;</w:t>
      </w:r>
    </w:p>
    <w:p w14:paraId="51533378" w14:textId="33CC6B9D" w:rsidR="005669B2" w:rsidRPr="00D64F09" w:rsidRDefault="005669B2" w:rsidP="00AE698A">
      <w:pPr>
        <w:numPr>
          <w:ilvl w:val="0"/>
          <w:numId w:val="51"/>
        </w:numPr>
        <w:spacing w:before="120" w:after="120" w:line="240" w:lineRule="auto"/>
        <w:rPr>
          <w:rFonts w:ascii="Times New Roman" w:hAnsi="Times New Roman"/>
          <w:b/>
          <w:lang w:eastAsia="ru-RU"/>
        </w:rPr>
      </w:pPr>
      <w:r w:rsidRPr="00D64F09">
        <w:rPr>
          <w:rFonts w:ascii="Times New Roman" w:hAnsi="Times New Roman"/>
          <w:b/>
          <w:lang w:eastAsia="ru-RU"/>
        </w:rPr>
        <w:t>lease expenses;</w:t>
      </w:r>
    </w:p>
    <w:p w14:paraId="5CDD6083" w14:textId="444940B3" w:rsidR="005669B2" w:rsidRPr="00D64F09" w:rsidRDefault="005669B2" w:rsidP="00AE698A">
      <w:pPr>
        <w:numPr>
          <w:ilvl w:val="0"/>
          <w:numId w:val="51"/>
        </w:numPr>
        <w:spacing w:before="120" w:after="120" w:line="240" w:lineRule="auto"/>
        <w:rPr>
          <w:rFonts w:ascii="Times New Roman" w:hAnsi="Times New Roman"/>
          <w:b/>
          <w:lang w:eastAsia="ru-RU"/>
        </w:rPr>
      </w:pPr>
      <w:r w:rsidRPr="00D64F09">
        <w:rPr>
          <w:rFonts w:ascii="Times New Roman" w:hAnsi="Times New Roman"/>
          <w:b/>
          <w:lang w:eastAsia="ru-RU"/>
        </w:rPr>
        <w:lastRenderedPageBreak/>
        <w:t>communication services;</w:t>
      </w:r>
    </w:p>
    <w:p w14:paraId="5B3E8496" w14:textId="08714F27" w:rsidR="005669B2" w:rsidRPr="00D64F09" w:rsidRDefault="005669B2" w:rsidP="00AE698A">
      <w:pPr>
        <w:numPr>
          <w:ilvl w:val="0"/>
          <w:numId w:val="51"/>
        </w:numPr>
        <w:spacing w:before="120" w:after="120" w:line="240" w:lineRule="auto"/>
        <w:rPr>
          <w:rFonts w:ascii="Times New Roman" w:hAnsi="Times New Roman"/>
          <w:b/>
          <w:lang w:eastAsia="ru-RU"/>
        </w:rPr>
      </w:pPr>
      <w:r w:rsidRPr="00D64F09">
        <w:rPr>
          <w:rFonts w:ascii="Times New Roman" w:hAnsi="Times New Roman"/>
          <w:b/>
          <w:lang w:eastAsia="ru-RU"/>
        </w:rPr>
        <w:t>technical support;</w:t>
      </w:r>
    </w:p>
    <w:p w14:paraId="4792867F" w14:textId="6C9FBCA9" w:rsidR="005669B2" w:rsidRPr="00D64F09" w:rsidRDefault="005669B2" w:rsidP="00AE698A">
      <w:pPr>
        <w:numPr>
          <w:ilvl w:val="0"/>
          <w:numId w:val="51"/>
        </w:numPr>
        <w:spacing w:before="120" w:after="120" w:line="240" w:lineRule="auto"/>
        <w:rPr>
          <w:rFonts w:ascii="Times New Roman" w:hAnsi="Times New Roman"/>
          <w:b/>
          <w:lang w:eastAsia="ru-RU"/>
        </w:rPr>
      </w:pPr>
      <w:r w:rsidRPr="00D64F09">
        <w:rPr>
          <w:rFonts w:ascii="Times New Roman" w:hAnsi="Times New Roman"/>
          <w:b/>
          <w:lang w:eastAsia="ru-RU"/>
        </w:rPr>
        <w:t>expenses on contractual agreements;</w:t>
      </w:r>
    </w:p>
    <w:p w14:paraId="47158FB6" w14:textId="21371DC0" w:rsidR="005669B2" w:rsidRPr="00D64F09" w:rsidRDefault="005669B2" w:rsidP="00AE698A">
      <w:pPr>
        <w:numPr>
          <w:ilvl w:val="0"/>
          <w:numId w:val="51"/>
        </w:numPr>
        <w:spacing w:before="120" w:after="120" w:line="240" w:lineRule="auto"/>
        <w:rPr>
          <w:rFonts w:ascii="Times New Roman" w:hAnsi="Times New Roman"/>
          <w:b/>
          <w:lang w:eastAsia="ru-RU"/>
        </w:rPr>
      </w:pPr>
      <w:r w:rsidRPr="00D64F09">
        <w:rPr>
          <w:rFonts w:ascii="Times New Roman" w:hAnsi="Times New Roman"/>
          <w:b/>
          <w:lang w:eastAsia="ru-RU"/>
        </w:rPr>
        <w:t>travel expenses;</w:t>
      </w:r>
    </w:p>
    <w:p w14:paraId="344AC406" w14:textId="76A3B91B" w:rsidR="00F54BFF" w:rsidRPr="00D64F09" w:rsidRDefault="00F54BFF" w:rsidP="00AE698A">
      <w:pPr>
        <w:numPr>
          <w:ilvl w:val="0"/>
          <w:numId w:val="51"/>
        </w:numPr>
        <w:spacing w:before="120" w:after="120" w:line="240" w:lineRule="auto"/>
        <w:rPr>
          <w:rFonts w:ascii="Times New Roman" w:hAnsi="Times New Roman"/>
          <w:b/>
          <w:lang w:eastAsia="ru-RU"/>
        </w:rPr>
      </w:pPr>
      <w:r w:rsidRPr="00D64F09">
        <w:rPr>
          <w:rFonts w:ascii="Times New Roman" w:hAnsi="Times New Roman"/>
          <w:b/>
          <w:lang w:eastAsia="ru-RU"/>
        </w:rPr>
        <w:t>materials;</w:t>
      </w:r>
    </w:p>
    <w:p w14:paraId="334EF1EC" w14:textId="020140DD" w:rsidR="00F54BFF" w:rsidRPr="00D64F09" w:rsidRDefault="00F54BFF" w:rsidP="00AE698A">
      <w:pPr>
        <w:numPr>
          <w:ilvl w:val="0"/>
          <w:numId w:val="51"/>
        </w:numPr>
        <w:spacing w:before="120" w:after="120" w:line="240" w:lineRule="auto"/>
        <w:rPr>
          <w:rFonts w:ascii="Times New Roman" w:hAnsi="Times New Roman"/>
          <w:b/>
          <w:lang w:eastAsia="ru-RU"/>
        </w:rPr>
      </w:pPr>
      <w:r w:rsidRPr="00D64F09">
        <w:rPr>
          <w:rFonts w:ascii="Times New Roman" w:hAnsi="Times New Roman"/>
          <w:b/>
          <w:lang w:eastAsia="ru-RU"/>
        </w:rPr>
        <w:t>collection costs;</w:t>
      </w:r>
    </w:p>
    <w:p w14:paraId="05222219" w14:textId="0982DB53" w:rsidR="00F54BFF" w:rsidRPr="00D64F09" w:rsidRDefault="00F54BFF" w:rsidP="00AE698A">
      <w:pPr>
        <w:numPr>
          <w:ilvl w:val="0"/>
          <w:numId w:val="51"/>
        </w:numPr>
        <w:spacing w:before="120" w:after="120" w:line="240" w:lineRule="auto"/>
        <w:rPr>
          <w:rFonts w:ascii="Times New Roman" w:hAnsi="Times New Roman"/>
          <w:b/>
          <w:lang w:eastAsia="ru-RU"/>
        </w:rPr>
      </w:pPr>
      <w:r w:rsidRPr="00D64F09">
        <w:rPr>
          <w:rFonts w:ascii="Times New Roman" w:hAnsi="Times New Roman"/>
          <w:b/>
          <w:lang w:eastAsia="ru-RU"/>
        </w:rPr>
        <w:t>transportation costs;</w:t>
      </w:r>
    </w:p>
    <w:p w14:paraId="14ADC119" w14:textId="77777777" w:rsidR="008B39D8" w:rsidRPr="007D770B" w:rsidRDefault="008B39D8" w:rsidP="00AE698A">
      <w:pPr>
        <w:numPr>
          <w:ilvl w:val="0"/>
          <w:numId w:val="51"/>
        </w:numPr>
        <w:spacing w:before="120" w:after="120" w:line="240" w:lineRule="auto"/>
        <w:rPr>
          <w:rFonts w:ascii="Times New Roman" w:hAnsi="Times New Roman"/>
          <w:lang w:val="en-US" w:eastAsia="ru-RU"/>
        </w:rPr>
      </w:pPr>
      <w:r w:rsidRPr="007D770B">
        <w:rPr>
          <w:rFonts w:ascii="Times New Roman" w:hAnsi="Times New Roman"/>
          <w:lang w:val="en-US" w:eastAsia="ru-RU"/>
        </w:rPr>
        <w:t>costs associated with security services;</w:t>
      </w:r>
    </w:p>
    <w:p w14:paraId="68D58E95" w14:textId="77777777" w:rsidR="008B39D8" w:rsidRPr="007D770B" w:rsidRDefault="008B39D8" w:rsidP="00AE698A">
      <w:pPr>
        <w:numPr>
          <w:ilvl w:val="0"/>
          <w:numId w:val="51"/>
        </w:numPr>
        <w:spacing w:before="120" w:after="120" w:line="240" w:lineRule="auto"/>
        <w:rPr>
          <w:rFonts w:ascii="Times New Roman" w:hAnsi="Times New Roman"/>
          <w:lang w:val="en-US" w:eastAsia="ru-RU"/>
        </w:rPr>
      </w:pPr>
      <w:r w:rsidRPr="007D770B">
        <w:rPr>
          <w:rFonts w:ascii="Times New Roman" w:hAnsi="Times New Roman"/>
          <w:lang w:val="en-US" w:eastAsia="ru-RU"/>
        </w:rPr>
        <w:t>other taxes other than income tax;</w:t>
      </w:r>
    </w:p>
    <w:p w14:paraId="63CBD44D" w14:textId="77777777" w:rsidR="008B39D8" w:rsidRPr="002D4EA3" w:rsidRDefault="008B39D8" w:rsidP="00AE698A">
      <w:pPr>
        <w:numPr>
          <w:ilvl w:val="0"/>
          <w:numId w:val="51"/>
        </w:numPr>
        <w:spacing w:before="120" w:after="120" w:line="240" w:lineRule="auto"/>
        <w:rPr>
          <w:rFonts w:ascii="Times New Roman" w:hAnsi="Times New Roman"/>
          <w:lang w:eastAsia="ru-RU"/>
        </w:rPr>
      </w:pPr>
      <w:r w:rsidRPr="002D4EA3">
        <w:rPr>
          <w:rFonts w:ascii="Times New Roman" w:hAnsi="Times New Roman"/>
          <w:lang w:eastAsia="ru-RU"/>
        </w:rPr>
        <w:t>provisions for tax risks</w:t>
      </w:r>
      <w:r w:rsidRPr="002D4EA3">
        <w:rPr>
          <w:rFonts w:ascii="Times New Roman" w:hAnsi="Times New Roman"/>
          <w:lang w:val="en-GB" w:eastAsia="ru-RU"/>
        </w:rPr>
        <w:t>;</w:t>
      </w:r>
    </w:p>
    <w:p w14:paraId="1D9C7693" w14:textId="77777777" w:rsidR="003428D6" w:rsidRPr="007D770B" w:rsidRDefault="003428D6" w:rsidP="00AE698A">
      <w:pPr>
        <w:numPr>
          <w:ilvl w:val="0"/>
          <w:numId w:val="51"/>
        </w:numPr>
        <w:spacing w:before="120" w:after="120" w:line="240" w:lineRule="auto"/>
        <w:rPr>
          <w:rFonts w:ascii="Times New Roman" w:hAnsi="Times New Roman"/>
          <w:lang w:val="en-US" w:eastAsia="ru-RU"/>
        </w:rPr>
      </w:pPr>
      <w:r w:rsidRPr="007D770B">
        <w:rPr>
          <w:rFonts w:ascii="Times New Roman" w:hAnsi="Times New Roman"/>
          <w:lang w:val="en-US" w:eastAsia="ru-RU"/>
        </w:rPr>
        <w:t>expenses from the sale of property, plant and equipment and intangible assets;</w:t>
      </w:r>
    </w:p>
    <w:p w14:paraId="167DAEC3" w14:textId="77777777" w:rsidR="008B39D8" w:rsidRPr="002D4EA3" w:rsidRDefault="008B39D8" w:rsidP="00AE698A">
      <w:pPr>
        <w:numPr>
          <w:ilvl w:val="0"/>
          <w:numId w:val="51"/>
        </w:numPr>
        <w:spacing w:before="120" w:after="120" w:line="240" w:lineRule="auto"/>
        <w:rPr>
          <w:rFonts w:ascii="Times New Roman" w:hAnsi="Times New Roman"/>
          <w:lang w:eastAsia="ru-RU"/>
        </w:rPr>
      </w:pPr>
      <w:r w:rsidRPr="002D4EA3">
        <w:rPr>
          <w:rFonts w:ascii="Times New Roman" w:hAnsi="Times New Roman"/>
          <w:lang w:eastAsia="ru-RU"/>
        </w:rPr>
        <w:t>others</w:t>
      </w:r>
      <w:r w:rsidR="003428D6" w:rsidRPr="002D4EA3">
        <w:rPr>
          <w:rFonts w:ascii="Times New Roman" w:hAnsi="Times New Roman"/>
          <w:lang w:eastAsia="ru-RU"/>
        </w:rPr>
        <w:t>.</w:t>
      </w:r>
    </w:p>
    <w:p w14:paraId="6EA61BA5" w14:textId="77777777" w:rsidR="009E2B77" w:rsidRPr="002D4EA3" w:rsidRDefault="009E2B77" w:rsidP="00F96B17">
      <w:pPr>
        <w:spacing w:before="240" w:line="240" w:lineRule="auto"/>
        <w:ind w:left="0"/>
        <w:rPr>
          <w:rFonts w:ascii="Times New Roman" w:hAnsi="Times New Roman"/>
          <w:b/>
        </w:rPr>
      </w:pPr>
      <w:r w:rsidRPr="002D4EA3">
        <w:rPr>
          <w:rFonts w:ascii="Times New Roman" w:hAnsi="Times New Roman"/>
          <w:b/>
        </w:rPr>
        <w:t>Income tax expense:</w:t>
      </w:r>
    </w:p>
    <w:p w14:paraId="757F7A9B" w14:textId="77777777" w:rsidR="009E2B77" w:rsidRPr="007D770B" w:rsidRDefault="009E2B77" w:rsidP="00AE698A">
      <w:pPr>
        <w:numPr>
          <w:ilvl w:val="0"/>
          <w:numId w:val="52"/>
        </w:numPr>
        <w:spacing w:before="120" w:after="120" w:line="240" w:lineRule="auto"/>
        <w:rPr>
          <w:rFonts w:ascii="Times New Roman" w:hAnsi="Times New Roman"/>
          <w:lang w:val="en-US"/>
        </w:rPr>
      </w:pPr>
      <w:r w:rsidRPr="007D770B">
        <w:rPr>
          <w:rFonts w:ascii="Times New Roman" w:hAnsi="Times New Roman"/>
          <w:lang w:val="en-US"/>
        </w:rPr>
        <w:t>current corporate income tax expense;</w:t>
      </w:r>
    </w:p>
    <w:p w14:paraId="368F7B47" w14:textId="77777777" w:rsidR="009E2B77" w:rsidRPr="002D4EA3" w:rsidRDefault="009E2B77" w:rsidP="00AE698A">
      <w:pPr>
        <w:numPr>
          <w:ilvl w:val="0"/>
          <w:numId w:val="52"/>
        </w:numPr>
        <w:spacing w:before="120" w:after="120" w:line="240" w:lineRule="auto"/>
        <w:rPr>
          <w:rFonts w:ascii="Times New Roman" w:hAnsi="Times New Roman"/>
        </w:rPr>
      </w:pPr>
      <w:r w:rsidRPr="002D4EA3">
        <w:rPr>
          <w:rFonts w:ascii="Times New Roman" w:hAnsi="Times New Roman"/>
        </w:rPr>
        <w:t xml:space="preserve">deferred income tax expense. </w:t>
      </w:r>
    </w:p>
    <w:p w14:paraId="39792D15" w14:textId="77777777" w:rsidR="009E2B77" w:rsidRPr="007D770B" w:rsidRDefault="009E2B77" w:rsidP="00F96B17">
      <w:pPr>
        <w:tabs>
          <w:tab w:val="left" w:pos="270"/>
        </w:tabs>
        <w:suppressAutoHyphens/>
        <w:spacing w:before="240" w:line="240" w:lineRule="auto"/>
        <w:ind w:left="0"/>
        <w:rPr>
          <w:lang w:val="en-US"/>
        </w:rPr>
      </w:pPr>
      <w:r w:rsidRPr="007D770B">
        <w:rPr>
          <w:rFonts w:ascii="Times New Roman" w:hAnsi="Times New Roman"/>
          <w:lang w:val="en-US"/>
        </w:rPr>
        <w:t xml:space="preserve">The </w:t>
      </w:r>
      <w:r w:rsidR="00F9744B" w:rsidRPr="007D770B">
        <w:rPr>
          <w:rFonts w:ascii="Times New Roman" w:hAnsi="Times New Roman"/>
          <w:lang w:val="en-US"/>
        </w:rPr>
        <w:t xml:space="preserve">Bank </w:t>
      </w:r>
      <w:r w:rsidRPr="007D770B">
        <w:rPr>
          <w:rFonts w:ascii="Times New Roman" w:hAnsi="Times New Roman"/>
          <w:lang w:val="en-US"/>
        </w:rPr>
        <w:t>may add new classifications of expense types depending on the nature of transactions and when new transactions arise.</w:t>
      </w:r>
    </w:p>
    <w:p w14:paraId="78C353BF" w14:textId="77777777" w:rsidR="009E2B77" w:rsidRPr="007D770B" w:rsidRDefault="00F95C14" w:rsidP="00E61D21">
      <w:pPr>
        <w:pStyle w:val="3"/>
        <w:rPr>
          <w:lang w:val="en-US"/>
        </w:rPr>
      </w:pPr>
      <w:bookmarkStart w:id="267" w:name="_Toc248586883"/>
      <w:bookmarkStart w:id="268" w:name="_Toc248730805"/>
      <w:bookmarkStart w:id="269" w:name="_Toc270001472"/>
      <w:bookmarkStart w:id="270" w:name="_Toc168502079"/>
      <w:r w:rsidRPr="007D770B">
        <w:rPr>
          <w:lang w:val="en-US"/>
        </w:rPr>
        <w:t>10</w:t>
      </w:r>
      <w:r w:rsidR="009E2B77" w:rsidRPr="007D770B">
        <w:rPr>
          <w:lang w:val="en-US"/>
        </w:rPr>
        <w:t>.3 Accounting policies</w:t>
      </w:r>
      <w:bookmarkEnd w:id="267"/>
      <w:bookmarkEnd w:id="268"/>
      <w:bookmarkEnd w:id="269"/>
      <w:bookmarkEnd w:id="270"/>
    </w:p>
    <w:p w14:paraId="7870AD69" w14:textId="77777777" w:rsidR="009E2B77" w:rsidRPr="007D770B" w:rsidRDefault="009E2B77" w:rsidP="00F96B17">
      <w:pPr>
        <w:spacing w:before="240" w:line="240" w:lineRule="auto"/>
        <w:ind w:left="0"/>
        <w:rPr>
          <w:rFonts w:ascii="Times New Roman" w:hAnsi="Times New Roman"/>
          <w:b/>
          <w:lang w:val="en-US" w:eastAsia="ru-RU"/>
        </w:rPr>
      </w:pPr>
      <w:bookmarkStart w:id="271" w:name="_Toc187314002"/>
      <w:r w:rsidRPr="007D770B">
        <w:rPr>
          <w:rFonts w:ascii="Times New Roman" w:hAnsi="Times New Roman"/>
          <w:b/>
          <w:lang w:val="en-US" w:eastAsia="ru-RU"/>
        </w:rPr>
        <w:t>Method of expense recognition</w:t>
      </w:r>
      <w:bookmarkEnd w:id="271"/>
    </w:p>
    <w:p w14:paraId="15B98C0F" w14:textId="77777777" w:rsidR="009E2B77" w:rsidRPr="007D770B" w:rsidRDefault="009E2B77" w:rsidP="00F96B17">
      <w:pPr>
        <w:pStyle w:val="a8"/>
        <w:suppressAutoHyphens/>
        <w:spacing w:before="240"/>
        <w:ind w:left="0"/>
        <w:rPr>
          <w:rFonts w:ascii="Times New Roman" w:hAnsi="Times New Roman"/>
          <w:lang w:val="en-US"/>
        </w:rPr>
      </w:pPr>
      <w:r w:rsidRPr="007D770B">
        <w:rPr>
          <w:rFonts w:ascii="Times New Roman" w:hAnsi="Times New Roman"/>
          <w:lang w:val="en-US"/>
        </w:rPr>
        <w:t>Expenses are recognized in accounting when the following conditions exist:</w:t>
      </w:r>
    </w:p>
    <w:p w14:paraId="0A3ED91E" w14:textId="77777777" w:rsidR="009E2B77" w:rsidRPr="007D770B" w:rsidRDefault="009E2B77" w:rsidP="00AE698A">
      <w:pPr>
        <w:numPr>
          <w:ilvl w:val="0"/>
          <w:numId w:val="54"/>
        </w:numPr>
        <w:suppressAutoHyphens/>
        <w:spacing w:before="240" w:line="240" w:lineRule="auto"/>
        <w:rPr>
          <w:rFonts w:ascii="Times New Roman" w:hAnsi="Times New Roman"/>
          <w:lang w:val="en-US"/>
        </w:rPr>
      </w:pPr>
      <w:r w:rsidRPr="007D770B">
        <w:rPr>
          <w:rFonts w:ascii="Times New Roman" w:hAnsi="Times New Roman"/>
          <w:lang w:val="en-US"/>
        </w:rPr>
        <w:t>the amount of the expenditure can be reliably determined;</w:t>
      </w:r>
    </w:p>
    <w:p w14:paraId="281C1A2F" w14:textId="77777777" w:rsidR="009E2B77" w:rsidRPr="007D770B" w:rsidRDefault="009E2B77" w:rsidP="00AE698A">
      <w:pPr>
        <w:numPr>
          <w:ilvl w:val="0"/>
          <w:numId w:val="54"/>
        </w:numPr>
        <w:suppressAutoHyphens/>
        <w:spacing w:before="240" w:line="240" w:lineRule="auto"/>
        <w:rPr>
          <w:rFonts w:ascii="Times New Roman" w:hAnsi="Times New Roman"/>
          <w:lang w:val="en-US"/>
        </w:rPr>
      </w:pPr>
      <w:r w:rsidRPr="007D770B">
        <w:rPr>
          <w:rFonts w:ascii="Times New Roman" w:hAnsi="Times New Roman"/>
          <w:lang w:val="en-US"/>
        </w:rPr>
        <w:t>if there is a decrease in future economic benefits associated with a decrease in an asset or an increase in a liability.</w:t>
      </w:r>
    </w:p>
    <w:p w14:paraId="59253F16" w14:textId="77777777" w:rsidR="009E2B77" w:rsidRPr="007D770B" w:rsidRDefault="009E2B77" w:rsidP="00F96B17">
      <w:pPr>
        <w:pStyle w:val="a8"/>
        <w:suppressAutoHyphens/>
        <w:spacing w:before="240"/>
        <w:ind w:left="0"/>
        <w:rPr>
          <w:rFonts w:ascii="Times New Roman" w:hAnsi="Times New Roman"/>
          <w:lang w:val="en-US"/>
        </w:rPr>
      </w:pPr>
      <w:r w:rsidRPr="007D770B">
        <w:rPr>
          <w:rFonts w:ascii="Times New Roman" w:hAnsi="Times New Roman"/>
          <w:lang w:val="en-US"/>
        </w:rPr>
        <w:t>This means that an expense is recognized in the accounting period in which the increase in liability or decrease in asset is recognized.</w:t>
      </w:r>
    </w:p>
    <w:p w14:paraId="04F209CF" w14:textId="0FBF2D34" w:rsidR="009E2B77" w:rsidRPr="007D770B" w:rsidRDefault="009E2B77" w:rsidP="00F96B17">
      <w:pPr>
        <w:pStyle w:val="a8"/>
        <w:suppressAutoHyphens/>
        <w:spacing w:before="240"/>
        <w:ind w:left="0"/>
        <w:rPr>
          <w:rFonts w:ascii="Times New Roman" w:hAnsi="Times New Roman"/>
          <w:lang w:val="en-US"/>
        </w:rPr>
      </w:pPr>
      <w:r w:rsidRPr="007D770B">
        <w:rPr>
          <w:rFonts w:ascii="Times New Roman" w:hAnsi="Times New Roman"/>
          <w:lang w:val="en-US"/>
        </w:rPr>
        <w:t xml:space="preserve">Expenses should be recognized in the same period in which the income in connection with which the expenses are incurred is recognized, </w:t>
      </w:r>
      <w:r w:rsidR="00D25E89" w:rsidRPr="007D770B">
        <w:rPr>
          <w:rFonts w:ascii="Times New Roman" w:hAnsi="Times New Roman"/>
          <w:lang w:val="en-US"/>
        </w:rPr>
        <w:t xml:space="preserve">or </w:t>
      </w:r>
      <w:r w:rsidRPr="007D770B">
        <w:rPr>
          <w:rFonts w:ascii="Times New Roman" w:hAnsi="Times New Roman"/>
          <w:lang w:val="en-US"/>
        </w:rPr>
        <w:t>when it becomes apparent that the expenses will not result in any income, irrespective of the time of actual cash payment or other form of realization.</w:t>
      </w:r>
    </w:p>
    <w:p w14:paraId="546F035E" w14:textId="77777777" w:rsidR="009E2B77" w:rsidRPr="007D770B" w:rsidRDefault="009E2B77" w:rsidP="00F96B17">
      <w:pPr>
        <w:pStyle w:val="a8"/>
        <w:suppressAutoHyphens/>
        <w:spacing w:before="240"/>
        <w:ind w:left="0"/>
        <w:rPr>
          <w:rFonts w:ascii="Times New Roman" w:hAnsi="Times New Roman"/>
          <w:lang w:val="en-US"/>
        </w:rPr>
      </w:pPr>
      <w:r w:rsidRPr="007D770B">
        <w:rPr>
          <w:rFonts w:ascii="Times New Roman" w:hAnsi="Times New Roman"/>
          <w:lang w:val="en-US"/>
        </w:rPr>
        <w:t>Such recognition involves the simultaneous recognition of income and expenses arising directly and jointly from the same transactions or other events.</w:t>
      </w:r>
    </w:p>
    <w:p w14:paraId="41E11DB1" w14:textId="77777777" w:rsidR="009E2B77" w:rsidRPr="007D770B" w:rsidRDefault="009E2B77" w:rsidP="00F96B17">
      <w:pPr>
        <w:suppressAutoHyphens/>
        <w:spacing w:before="240" w:line="240" w:lineRule="auto"/>
        <w:ind w:left="0"/>
        <w:rPr>
          <w:rFonts w:ascii="Times New Roman" w:hAnsi="Times New Roman"/>
          <w:b/>
          <w:lang w:val="en-US"/>
        </w:rPr>
      </w:pPr>
      <w:r w:rsidRPr="007D770B">
        <w:rPr>
          <w:rFonts w:ascii="Times New Roman" w:hAnsi="Times New Roman"/>
          <w:lang w:val="en-US"/>
        </w:rPr>
        <w:t xml:space="preserve">When economic benefits are expected to arise over several accounting periods and the relationship with income can be traced only generally or indirectly, expenses are recognized over several accounting periods during which the related economic benefits arise. The allocation of expenses to accounting periods is based on a reasonable and systematic determination of the amounts recognized in each accounting period. </w:t>
      </w:r>
    </w:p>
    <w:p w14:paraId="743CE265" w14:textId="65F0405C" w:rsidR="009E2B77" w:rsidRPr="007D770B" w:rsidRDefault="009E2B77" w:rsidP="00F96B17">
      <w:pPr>
        <w:suppressAutoHyphens/>
        <w:spacing w:before="240" w:line="240" w:lineRule="auto"/>
        <w:ind w:left="0"/>
        <w:rPr>
          <w:rFonts w:ascii="Times New Roman" w:hAnsi="Times New Roman"/>
          <w:lang w:val="en-US"/>
        </w:rPr>
      </w:pPr>
      <w:r w:rsidRPr="007D770B">
        <w:rPr>
          <w:rFonts w:ascii="Times New Roman" w:hAnsi="Times New Roman"/>
          <w:lang w:val="en-US"/>
        </w:rPr>
        <w:t xml:space="preserve">When the costs incurred do not result in the expected economic benefits, </w:t>
      </w:r>
      <w:r w:rsidR="003C696B" w:rsidRPr="007D770B">
        <w:rPr>
          <w:rFonts w:ascii="Times New Roman" w:hAnsi="Times New Roman"/>
          <w:lang w:val="en-US"/>
        </w:rPr>
        <w:t xml:space="preserve">or </w:t>
      </w:r>
      <w:r w:rsidRPr="007D770B">
        <w:rPr>
          <w:rFonts w:ascii="Times New Roman" w:hAnsi="Times New Roman"/>
          <w:lang w:val="en-US"/>
        </w:rPr>
        <w:t>when future economic benefits do not or no longer meet the requirements for recognition as an asset on the balance sheet, then the costs are recognized as an expense in the period in which the circumstances are identified.</w:t>
      </w:r>
    </w:p>
    <w:p w14:paraId="5EC62763" w14:textId="77777777" w:rsidR="009E2B77" w:rsidRPr="007D770B" w:rsidRDefault="009E2B77" w:rsidP="00F96B17">
      <w:pPr>
        <w:pStyle w:val="a8"/>
        <w:suppressAutoHyphens/>
        <w:spacing w:before="240"/>
        <w:ind w:left="0"/>
        <w:rPr>
          <w:rFonts w:ascii="Times New Roman" w:hAnsi="Times New Roman"/>
          <w:lang w:val="en-US"/>
        </w:rPr>
      </w:pPr>
      <w:r w:rsidRPr="007D770B">
        <w:rPr>
          <w:rFonts w:ascii="Times New Roman" w:hAnsi="Times New Roman"/>
          <w:lang w:val="en-US"/>
        </w:rPr>
        <w:t>An expense is also recognized when a liability is incurred without recognizing an asset.</w:t>
      </w:r>
    </w:p>
    <w:p w14:paraId="72E1F3FA" w14:textId="77777777" w:rsidR="009E2B77" w:rsidRPr="007D770B" w:rsidRDefault="009E2B77" w:rsidP="00F96B17">
      <w:pPr>
        <w:pStyle w:val="a8"/>
        <w:suppressAutoHyphens/>
        <w:spacing w:before="240"/>
        <w:ind w:left="0"/>
        <w:rPr>
          <w:rFonts w:ascii="Times New Roman" w:hAnsi="Times New Roman"/>
          <w:lang w:val="en-US"/>
        </w:rPr>
      </w:pPr>
      <w:r w:rsidRPr="007D770B">
        <w:rPr>
          <w:rFonts w:ascii="Times New Roman" w:hAnsi="Times New Roman"/>
          <w:lang w:val="en-US"/>
        </w:rPr>
        <w:t>Expenses are recognized irrespective of how they are taken for the purposes of calculating the taxable base.</w:t>
      </w:r>
    </w:p>
    <w:p w14:paraId="6159B70D" w14:textId="77777777" w:rsidR="009E2B77" w:rsidRPr="007D770B" w:rsidRDefault="009E2B77" w:rsidP="00F96B17">
      <w:pPr>
        <w:suppressAutoHyphens/>
        <w:spacing w:before="240" w:line="240" w:lineRule="auto"/>
        <w:ind w:left="0"/>
        <w:rPr>
          <w:rFonts w:ascii="Times New Roman" w:hAnsi="Times New Roman"/>
          <w:lang w:val="en-US"/>
        </w:rPr>
      </w:pPr>
      <w:r w:rsidRPr="007D770B">
        <w:rPr>
          <w:rFonts w:ascii="Times New Roman" w:hAnsi="Times New Roman"/>
          <w:lang w:val="en-US"/>
        </w:rPr>
        <w:t xml:space="preserve">The following distributions are not recognized </w:t>
      </w:r>
      <w:r w:rsidR="004B573A" w:rsidRPr="007D770B">
        <w:rPr>
          <w:rFonts w:ascii="Times New Roman" w:hAnsi="Times New Roman"/>
          <w:lang w:val="en-US"/>
        </w:rPr>
        <w:t xml:space="preserve">as expenses because they do not result in a </w:t>
      </w:r>
      <w:r w:rsidRPr="007D770B">
        <w:rPr>
          <w:rFonts w:ascii="Times New Roman" w:hAnsi="Times New Roman"/>
          <w:lang w:val="en-US"/>
        </w:rPr>
        <w:t>reduction in equity other than a reduction related to distributions to equity participants</w:t>
      </w:r>
      <w:r w:rsidRPr="007D770B">
        <w:rPr>
          <w:rFonts w:ascii="Times New Roman" w:hAnsi="Times New Roman"/>
          <w:bCs/>
          <w:lang w:val="en-US"/>
        </w:rPr>
        <w:t>:</w:t>
      </w:r>
    </w:p>
    <w:p w14:paraId="49D06A07" w14:textId="77777777" w:rsidR="009E2B77" w:rsidRPr="007D770B" w:rsidRDefault="009E2B77" w:rsidP="00AE698A">
      <w:pPr>
        <w:numPr>
          <w:ilvl w:val="0"/>
          <w:numId w:val="53"/>
        </w:numPr>
        <w:suppressAutoHyphens/>
        <w:spacing w:before="240" w:line="240" w:lineRule="auto"/>
        <w:rPr>
          <w:rFonts w:ascii="Times New Roman" w:hAnsi="Times New Roman"/>
          <w:lang w:val="en-US"/>
        </w:rPr>
      </w:pPr>
      <w:r w:rsidRPr="007D770B">
        <w:rPr>
          <w:rFonts w:ascii="Times New Roman" w:hAnsi="Times New Roman"/>
          <w:lang w:val="en-US"/>
        </w:rPr>
        <w:lastRenderedPageBreak/>
        <w:t>under commission, agency and other similar contracts on behalf of the commissioner, principal, etc;</w:t>
      </w:r>
    </w:p>
    <w:p w14:paraId="5B80757E" w14:textId="77777777" w:rsidR="009E2B77" w:rsidRPr="007D770B" w:rsidRDefault="009E2B77" w:rsidP="00AE698A">
      <w:pPr>
        <w:numPr>
          <w:ilvl w:val="0"/>
          <w:numId w:val="53"/>
        </w:numPr>
        <w:suppressAutoHyphens/>
        <w:spacing w:before="240" w:line="240" w:lineRule="auto"/>
        <w:rPr>
          <w:rFonts w:ascii="Times New Roman" w:hAnsi="Times New Roman"/>
          <w:lang w:val="en-US"/>
        </w:rPr>
      </w:pPr>
      <w:r w:rsidRPr="007D770B">
        <w:rPr>
          <w:rFonts w:ascii="Times New Roman" w:hAnsi="Times New Roman"/>
          <w:lang w:val="en-US"/>
        </w:rPr>
        <w:t>by way of preliminary payment for products, goods, works, services;</w:t>
      </w:r>
    </w:p>
    <w:p w14:paraId="6A2852A4" w14:textId="77777777" w:rsidR="009E2B77" w:rsidRPr="002D4EA3" w:rsidRDefault="009E2B77" w:rsidP="00AE698A">
      <w:pPr>
        <w:numPr>
          <w:ilvl w:val="0"/>
          <w:numId w:val="53"/>
        </w:numPr>
        <w:suppressAutoHyphens/>
        <w:spacing w:before="240" w:line="240" w:lineRule="auto"/>
        <w:rPr>
          <w:rFonts w:ascii="Times New Roman" w:hAnsi="Times New Roman"/>
        </w:rPr>
      </w:pPr>
      <w:r w:rsidRPr="002D4EA3">
        <w:rPr>
          <w:rFonts w:ascii="Times New Roman" w:hAnsi="Times New Roman"/>
        </w:rPr>
        <w:t>a deposit;</w:t>
      </w:r>
    </w:p>
    <w:p w14:paraId="27F73EB0" w14:textId="77777777" w:rsidR="009E2B77" w:rsidRPr="007D770B" w:rsidRDefault="009E2B77" w:rsidP="00AE698A">
      <w:pPr>
        <w:numPr>
          <w:ilvl w:val="0"/>
          <w:numId w:val="53"/>
        </w:numPr>
        <w:suppressAutoHyphens/>
        <w:spacing w:before="240" w:line="240" w:lineRule="auto"/>
        <w:rPr>
          <w:rFonts w:ascii="Times New Roman" w:hAnsi="Times New Roman"/>
          <w:lang w:val="en-US"/>
        </w:rPr>
      </w:pPr>
      <w:r w:rsidRPr="007D770B">
        <w:rPr>
          <w:rFonts w:ascii="Times New Roman" w:hAnsi="Times New Roman"/>
          <w:lang w:val="en-US"/>
        </w:rPr>
        <w:t>transactions arising from the exchange of assets of similar quality and quantity, i.e., when the exchange does not have commercial substance.</w:t>
      </w:r>
    </w:p>
    <w:p w14:paraId="532CA8FF" w14:textId="77777777" w:rsidR="009E2B77" w:rsidRPr="007D770B" w:rsidRDefault="009E2B77" w:rsidP="00F96B17">
      <w:pPr>
        <w:spacing w:before="240" w:line="240" w:lineRule="auto"/>
        <w:ind w:left="0"/>
        <w:rPr>
          <w:rFonts w:ascii="Times New Roman" w:hAnsi="Times New Roman"/>
          <w:b/>
          <w:lang w:val="en-US" w:eastAsia="ru-RU"/>
        </w:rPr>
      </w:pPr>
      <w:bookmarkStart w:id="272" w:name="_Toc187314003"/>
      <w:r w:rsidRPr="007D770B">
        <w:rPr>
          <w:rFonts w:ascii="Times New Roman" w:hAnsi="Times New Roman"/>
          <w:b/>
          <w:lang w:val="en-US" w:eastAsia="ru-RU"/>
        </w:rPr>
        <w:t>Cost estimation</w:t>
      </w:r>
      <w:bookmarkEnd w:id="272"/>
    </w:p>
    <w:p w14:paraId="735C2E47" w14:textId="77777777" w:rsidR="00F83D61" w:rsidRPr="007D770B" w:rsidRDefault="00F83D61" w:rsidP="00F83D61">
      <w:pPr>
        <w:suppressAutoHyphens/>
        <w:spacing w:before="240" w:line="240" w:lineRule="auto"/>
        <w:ind w:left="0"/>
        <w:rPr>
          <w:rFonts w:ascii="Times New Roman" w:hAnsi="Times New Roman"/>
          <w:lang w:val="en-US"/>
        </w:rPr>
      </w:pPr>
      <w:r w:rsidRPr="007D770B">
        <w:rPr>
          <w:rFonts w:ascii="Times New Roman" w:hAnsi="Times New Roman"/>
          <w:lang w:val="en-US"/>
        </w:rPr>
        <w:t xml:space="preserve">Interest expense is recognized on an accrual basis for all debt instruments using the effective interest method. This calculation includes in interest expense all fees and commissions paid by the parties to the contract that are an integral part of the effective interest rate, transaction costs and all other premiums or discounts. </w:t>
      </w:r>
    </w:p>
    <w:p w14:paraId="32684C5C" w14:textId="1B814711" w:rsidR="00F83D61" w:rsidRPr="007D770B" w:rsidRDefault="00F83D61" w:rsidP="00F83D61">
      <w:pPr>
        <w:suppressAutoHyphens/>
        <w:spacing w:before="240" w:line="240" w:lineRule="auto"/>
        <w:ind w:left="0"/>
        <w:rPr>
          <w:rFonts w:ascii="Times New Roman" w:hAnsi="Times New Roman"/>
          <w:lang w:val="en-US"/>
        </w:rPr>
      </w:pPr>
      <w:r w:rsidRPr="007D770B">
        <w:rPr>
          <w:rFonts w:ascii="Times New Roman" w:hAnsi="Times New Roman"/>
          <w:lang w:val="en-US"/>
        </w:rPr>
        <w:t xml:space="preserve">Fees integral to the effective interest rate include origination fees paid in connection with the creation or acquisition of a financial asset or issuance of a financial liability (for example, fees for evaluating creditworthiness, evaluating or recording </w:t>
      </w:r>
      <w:r w:rsidR="00D25E89" w:rsidRPr="007D770B">
        <w:rPr>
          <w:rFonts w:ascii="Times New Roman" w:hAnsi="Times New Roman"/>
          <w:lang w:val="en-US"/>
        </w:rPr>
        <w:t xml:space="preserve">guarantees </w:t>
      </w:r>
      <w:r w:rsidRPr="007D770B">
        <w:rPr>
          <w:rFonts w:ascii="Times New Roman" w:hAnsi="Times New Roman"/>
          <w:lang w:val="en-US"/>
        </w:rPr>
        <w:t xml:space="preserve">or collateral, negotiating the terms of the instrument and for processing transaction documents). </w:t>
      </w:r>
    </w:p>
    <w:p w14:paraId="664634EB" w14:textId="77777777" w:rsidR="00F83D61" w:rsidRPr="007D770B" w:rsidRDefault="00F83D61" w:rsidP="00F83D61">
      <w:pPr>
        <w:suppressAutoHyphens/>
        <w:spacing w:before="240" w:line="240" w:lineRule="auto"/>
        <w:ind w:left="0"/>
        <w:rPr>
          <w:rFonts w:ascii="Times New Roman" w:hAnsi="Times New Roman"/>
          <w:lang w:val="en-US"/>
        </w:rPr>
      </w:pPr>
      <w:r w:rsidRPr="007D770B">
        <w:rPr>
          <w:rFonts w:ascii="Times New Roman" w:hAnsi="Times New Roman"/>
          <w:lang w:val="en-US"/>
        </w:rPr>
        <w:t>When loans and other debt instruments become doubtful of collection, they are written down to their recoverable amounts and interest income is thereafter recognized based on the effective interest rate used to discount the future cash flows for the purpose of measuring the impairment.</w:t>
      </w:r>
    </w:p>
    <w:p w14:paraId="2E6910DC" w14:textId="77777777" w:rsidR="00F83D61" w:rsidRPr="007D770B" w:rsidRDefault="00F83D61" w:rsidP="00F83D61">
      <w:pPr>
        <w:suppressAutoHyphens/>
        <w:spacing w:before="240" w:line="240" w:lineRule="auto"/>
        <w:ind w:left="0"/>
        <w:rPr>
          <w:rFonts w:ascii="Times New Roman" w:hAnsi="Times New Roman"/>
          <w:lang w:val="en-US"/>
        </w:rPr>
      </w:pPr>
      <w:r w:rsidRPr="007D770B">
        <w:rPr>
          <w:rFonts w:ascii="Times New Roman" w:hAnsi="Times New Roman"/>
          <w:lang w:val="en-US"/>
        </w:rPr>
        <w:t xml:space="preserve">All other expenses are generally recognized on an accrual basis, depending on the stage of completion of the specific transaction, defined as the actual service provided as a proportion of the total services to be provided. </w:t>
      </w:r>
    </w:p>
    <w:p w14:paraId="0FB89A92" w14:textId="77777777" w:rsidR="009E2B77" w:rsidRPr="007D770B" w:rsidRDefault="00647D9F" w:rsidP="00F96B17">
      <w:pPr>
        <w:suppressAutoHyphens/>
        <w:spacing w:before="240" w:line="240" w:lineRule="auto"/>
        <w:ind w:left="0"/>
        <w:rPr>
          <w:rFonts w:ascii="Times New Roman" w:hAnsi="Times New Roman"/>
          <w:lang w:val="en-US"/>
        </w:rPr>
      </w:pPr>
      <w:r w:rsidRPr="007D770B">
        <w:rPr>
          <w:rFonts w:ascii="Times New Roman" w:hAnsi="Times New Roman"/>
          <w:lang w:val="en-US"/>
        </w:rPr>
        <w:t xml:space="preserve">Administrative and other operating expenses </w:t>
      </w:r>
      <w:r w:rsidR="009E2B77" w:rsidRPr="007D770B">
        <w:rPr>
          <w:rFonts w:ascii="Times New Roman" w:hAnsi="Times New Roman"/>
          <w:lang w:val="en-US"/>
        </w:rPr>
        <w:t xml:space="preserve">are recognized in the amount equal to the amount of services rendered in cash or the amount of recognized accounts payable excluding VAT. The amount of payment or accounts payable is determined based on the contract price and other terms and conditions agreed upon by the supplier in the contract for the sale of goods, works and services. If the price is not stipulated in the contract or cannot be determined from the terms of the contract, the goods, works and services received are recognized at fair value. </w:t>
      </w:r>
    </w:p>
    <w:p w14:paraId="380E93EE" w14:textId="77777777" w:rsidR="009E2B77" w:rsidRPr="007D770B" w:rsidRDefault="009E2B77" w:rsidP="00F96B17">
      <w:pPr>
        <w:suppressAutoHyphens/>
        <w:spacing w:before="240" w:line="240" w:lineRule="auto"/>
        <w:ind w:left="0"/>
        <w:rPr>
          <w:rFonts w:ascii="Times New Roman" w:hAnsi="Times New Roman"/>
          <w:lang w:val="en-US"/>
        </w:rPr>
      </w:pPr>
      <w:r w:rsidRPr="007D770B">
        <w:rPr>
          <w:rFonts w:ascii="Times New Roman" w:hAnsi="Times New Roman"/>
          <w:lang w:val="en-US"/>
        </w:rPr>
        <w:t>In case of non-cash payment (if the price cannot be established from the terms of the contract or is not stipulated in the contract), the expense to be recognized is measured at the fair value of the goods, services, property received, adjusted by the amount of cash or cash equivalents transferred.</w:t>
      </w:r>
    </w:p>
    <w:p w14:paraId="224DD07A" w14:textId="77777777" w:rsidR="009E2B77" w:rsidRPr="007D770B" w:rsidRDefault="009E2B77" w:rsidP="00F96B17">
      <w:pPr>
        <w:suppressAutoHyphens/>
        <w:spacing w:before="240" w:line="240" w:lineRule="auto"/>
        <w:ind w:left="0"/>
        <w:rPr>
          <w:rFonts w:ascii="Times New Roman" w:hAnsi="Times New Roman"/>
          <w:lang w:val="en-US"/>
        </w:rPr>
      </w:pPr>
      <w:r w:rsidRPr="007D770B">
        <w:rPr>
          <w:rFonts w:ascii="Times New Roman" w:hAnsi="Times New Roman"/>
          <w:lang w:val="en-US"/>
        </w:rPr>
        <w:t>Where payment discounts are granted, the expense is adjusted by the amount of the discount (if the expense is recognized before payment is made) or recognized at the amount of the consideration actually paid (if the recognition date and the payment date are in the same accounting period). This provision relates to discounts that may be granted for payment within a specified (contractually agreed or invoiced) shorter period of time.</w:t>
      </w:r>
    </w:p>
    <w:p w14:paraId="1E43A8F2" w14:textId="77777777" w:rsidR="009B5A5C" w:rsidRPr="007D770B" w:rsidRDefault="009B5A5C" w:rsidP="009B5A5C">
      <w:pPr>
        <w:pStyle w:val="ABC-paragrahinNotes"/>
        <w:spacing w:before="240"/>
        <w:rPr>
          <w:rFonts w:ascii="Times New Roman" w:hAnsi="Times New Roman"/>
          <w:sz w:val="20"/>
          <w:lang w:val="en-US"/>
        </w:rPr>
      </w:pPr>
      <w:r w:rsidRPr="007D770B">
        <w:rPr>
          <w:rFonts w:ascii="Times New Roman" w:hAnsi="Times New Roman"/>
          <w:sz w:val="20"/>
          <w:lang w:val="en-US"/>
        </w:rPr>
        <w:t>If the primary documents are received after the final closing of the reporting period, the adjustment of expenses and income is made in the next reporting period.</w:t>
      </w:r>
    </w:p>
    <w:p w14:paraId="24B5107A" w14:textId="77777777" w:rsidR="009B5A5C" w:rsidRPr="007D770B" w:rsidRDefault="009B5A5C" w:rsidP="009B5A5C">
      <w:pPr>
        <w:pStyle w:val="affff3"/>
        <w:ind w:right="108"/>
        <w:jc w:val="both"/>
        <w:rPr>
          <w:rFonts w:eastAsia="Calibri"/>
          <w:sz w:val="20"/>
          <w:szCs w:val="20"/>
          <w:lang w:val="en-US"/>
        </w:rPr>
      </w:pPr>
      <w:r w:rsidRPr="007D770B">
        <w:rPr>
          <w:rFonts w:eastAsia="Calibri"/>
          <w:sz w:val="20"/>
          <w:szCs w:val="20"/>
          <w:lang w:val="en-US"/>
        </w:rPr>
        <w:t>A similar approach is applied to work and services of a production and general business nature for which primary documents have not yet been received (uninvoiced work and services).</w:t>
      </w:r>
    </w:p>
    <w:p w14:paraId="5145D383" w14:textId="77777777" w:rsidR="009B5A5C" w:rsidRPr="007D770B" w:rsidRDefault="009B5A5C" w:rsidP="009B5A5C">
      <w:pPr>
        <w:pStyle w:val="affff3"/>
        <w:ind w:right="108"/>
        <w:jc w:val="both"/>
        <w:rPr>
          <w:rFonts w:eastAsia="Calibri"/>
          <w:sz w:val="20"/>
          <w:szCs w:val="20"/>
          <w:lang w:val="en-US"/>
        </w:rPr>
      </w:pPr>
    </w:p>
    <w:p w14:paraId="7ED03575" w14:textId="77777777" w:rsidR="009B5A5C" w:rsidRPr="007D770B" w:rsidRDefault="009B5A5C" w:rsidP="009B5A5C">
      <w:pPr>
        <w:pStyle w:val="affff3"/>
        <w:ind w:right="-6"/>
        <w:jc w:val="both"/>
        <w:rPr>
          <w:rFonts w:eastAsia="Calibri"/>
          <w:sz w:val="20"/>
          <w:szCs w:val="20"/>
          <w:lang w:val="en-US"/>
        </w:rPr>
      </w:pPr>
      <w:r w:rsidRPr="007D770B">
        <w:rPr>
          <w:rFonts w:eastAsia="Calibri"/>
          <w:sz w:val="20"/>
          <w:szCs w:val="20"/>
          <w:lang w:val="en-US"/>
        </w:rPr>
        <w:t xml:space="preserve">Fines and penalties shall be assessed on fines and penalties awarded or recognized by the debtor, applying this provision retrospectively. </w:t>
      </w:r>
    </w:p>
    <w:p w14:paraId="149FC6C9" w14:textId="77777777" w:rsidR="009B5A5C" w:rsidRPr="007D770B" w:rsidRDefault="009B5A5C" w:rsidP="009B5A5C">
      <w:pPr>
        <w:pStyle w:val="affff3"/>
        <w:ind w:right="-6"/>
        <w:jc w:val="both"/>
        <w:rPr>
          <w:rFonts w:eastAsia="Calibri"/>
          <w:sz w:val="20"/>
          <w:szCs w:val="20"/>
          <w:lang w:val="en-US"/>
        </w:rPr>
      </w:pPr>
    </w:p>
    <w:p w14:paraId="5099DB78" w14:textId="36CA30C5" w:rsidR="009B5A5C" w:rsidRPr="007D770B" w:rsidRDefault="009B5A5C" w:rsidP="009B5A5C">
      <w:pPr>
        <w:widowControl w:val="0"/>
        <w:ind w:left="0"/>
        <w:rPr>
          <w:rFonts w:ascii="Times New Roman" w:hAnsi="Times New Roman"/>
          <w:lang w:val="en-US" w:eastAsia="ru-RU"/>
        </w:rPr>
      </w:pPr>
      <w:r w:rsidRPr="007D770B">
        <w:rPr>
          <w:rFonts w:ascii="Times New Roman" w:hAnsi="Times New Roman"/>
          <w:lang w:val="en-US" w:eastAsia="ru-RU"/>
        </w:rPr>
        <w:t xml:space="preserve">When recognizing the amount of forfeit (fine, penalty) in accounting, the Bank is guided by the principle of conservatism, i.e. the amounts of forfeit (fine, penalty) are recognized in </w:t>
      </w:r>
      <w:r w:rsidR="00D25E89" w:rsidRPr="007D770B">
        <w:rPr>
          <w:rFonts w:ascii="Times New Roman" w:hAnsi="Times New Roman"/>
          <w:lang w:val="en-US" w:eastAsia="ru-RU"/>
        </w:rPr>
        <w:t xml:space="preserve">income when the </w:t>
      </w:r>
      <w:r w:rsidRPr="007D770B">
        <w:rPr>
          <w:rFonts w:ascii="Times New Roman" w:hAnsi="Times New Roman"/>
          <w:lang w:val="en-US" w:eastAsia="ru-RU"/>
        </w:rPr>
        <w:t>Bank has a full probability of receiving them.</w:t>
      </w:r>
    </w:p>
    <w:p w14:paraId="39856B41" w14:textId="5E147358" w:rsidR="009B5A5C" w:rsidRPr="007D770B" w:rsidRDefault="009B5A5C" w:rsidP="009B5A5C">
      <w:pPr>
        <w:ind w:left="0"/>
        <w:rPr>
          <w:rFonts w:ascii="Times New Roman" w:hAnsi="Times New Roman"/>
          <w:lang w:val="en-US" w:eastAsia="ru-RU"/>
        </w:rPr>
      </w:pPr>
      <w:r w:rsidRPr="007D770B">
        <w:rPr>
          <w:rFonts w:ascii="Times New Roman" w:hAnsi="Times New Roman"/>
          <w:lang w:val="en-US" w:eastAsia="ru-RU"/>
        </w:rPr>
        <w:t xml:space="preserve">If there are no </w:t>
      </w:r>
      <w:r w:rsidR="00D25E89" w:rsidRPr="007D770B">
        <w:rPr>
          <w:rFonts w:ascii="Times New Roman" w:hAnsi="Times New Roman"/>
          <w:lang w:val="en-US" w:eastAsia="ru-RU"/>
        </w:rPr>
        <w:t xml:space="preserve">recorded amounts of </w:t>
      </w:r>
      <w:r w:rsidRPr="007D770B">
        <w:rPr>
          <w:rFonts w:ascii="Times New Roman" w:hAnsi="Times New Roman"/>
          <w:lang w:val="en-US" w:eastAsia="ru-RU"/>
        </w:rPr>
        <w:t xml:space="preserve">services received/provided, the charge is based on a calculation based on the amount actually incurred for the previous month. </w:t>
      </w:r>
    </w:p>
    <w:p w14:paraId="4E705C3A" w14:textId="7DE7AADB" w:rsidR="009B5A5C" w:rsidRPr="007D770B" w:rsidRDefault="009B5A5C" w:rsidP="009B5A5C">
      <w:pPr>
        <w:pStyle w:val="affff3"/>
        <w:ind w:right="-6"/>
        <w:jc w:val="both"/>
        <w:rPr>
          <w:rFonts w:eastAsia="Calibri"/>
          <w:color w:val="3366FF"/>
          <w:sz w:val="20"/>
          <w:szCs w:val="22"/>
          <w:lang w:val="en-US"/>
        </w:rPr>
      </w:pPr>
      <w:r w:rsidRPr="007D770B">
        <w:rPr>
          <w:rFonts w:eastAsia="Calibri"/>
          <w:sz w:val="20"/>
          <w:szCs w:val="20"/>
          <w:lang w:val="en-US"/>
        </w:rPr>
        <w:t xml:space="preserve">During the reporting year, if the Bank accrues income/expenses on services by accrual method more/less than the actual amount of income/expenses according to primary documents, a corrective accounting entry shall be made </w:t>
      </w:r>
      <w:r w:rsidR="00C56989" w:rsidRPr="007D770B">
        <w:rPr>
          <w:rFonts w:eastAsia="Calibri"/>
          <w:sz w:val="20"/>
          <w:szCs w:val="20"/>
          <w:lang w:val="en-US"/>
        </w:rPr>
        <w:t>in the full amount</w:t>
      </w:r>
      <w:r w:rsidRPr="007D770B">
        <w:rPr>
          <w:rFonts w:eastAsia="Calibri"/>
          <w:sz w:val="20"/>
          <w:szCs w:val="20"/>
          <w:lang w:val="en-US"/>
        </w:rPr>
        <w:t xml:space="preserve">. </w:t>
      </w:r>
      <w:r w:rsidR="00D80214" w:rsidRPr="007D770B">
        <w:rPr>
          <w:i/>
          <w:snapToGrid w:val="0"/>
          <w:color w:val="3366FF"/>
          <w:sz w:val="20"/>
          <w:szCs w:val="22"/>
          <w:lang w:val="en-US"/>
        </w:rPr>
        <w:t xml:space="preserve">(The </w:t>
      </w:r>
      <w:r w:rsidR="000C0F61" w:rsidRPr="007D770B">
        <w:rPr>
          <w:i/>
          <w:snapToGrid w:val="0"/>
          <w:color w:val="3366FF"/>
          <w:sz w:val="20"/>
          <w:szCs w:val="22"/>
          <w:lang w:val="en-US"/>
        </w:rPr>
        <w:t xml:space="preserve">last paragraph of item </w:t>
      </w:r>
      <w:r w:rsidR="00E1651A" w:rsidRPr="007D770B">
        <w:rPr>
          <w:i/>
          <w:snapToGrid w:val="0"/>
          <w:color w:val="3366FF"/>
          <w:sz w:val="20"/>
          <w:szCs w:val="22"/>
          <w:lang w:val="en-US"/>
        </w:rPr>
        <w:t xml:space="preserve">10.3 was amended by </w:t>
      </w:r>
      <w:r w:rsidR="00D80214" w:rsidRPr="007D770B">
        <w:rPr>
          <w:i/>
          <w:snapToGrid w:val="0"/>
          <w:color w:val="3366FF"/>
          <w:sz w:val="20"/>
          <w:szCs w:val="22"/>
          <w:lang w:val="en-US"/>
        </w:rPr>
        <w:t xml:space="preserve">the decision of the Board of Directors No. </w:t>
      </w:r>
      <w:r w:rsidR="0021180A" w:rsidRPr="007D770B">
        <w:rPr>
          <w:i/>
          <w:snapToGrid w:val="0"/>
          <w:color w:val="3366FF"/>
          <w:sz w:val="20"/>
          <w:szCs w:val="22"/>
          <w:lang w:val="en-US"/>
        </w:rPr>
        <w:t xml:space="preserve">14 </w:t>
      </w:r>
      <w:r w:rsidR="00D80214" w:rsidRPr="007D770B">
        <w:rPr>
          <w:i/>
          <w:snapToGrid w:val="0"/>
          <w:color w:val="3366FF"/>
          <w:sz w:val="20"/>
          <w:szCs w:val="22"/>
          <w:lang w:val="en-US"/>
        </w:rPr>
        <w:t xml:space="preserve">dated </w:t>
      </w:r>
      <w:r w:rsidR="0021180A" w:rsidRPr="007D770B">
        <w:rPr>
          <w:i/>
          <w:snapToGrid w:val="0"/>
          <w:color w:val="3366FF"/>
          <w:sz w:val="20"/>
          <w:szCs w:val="22"/>
          <w:lang w:val="en-US"/>
        </w:rPr>
        <w:t>26.11</w:t>
      </w:r>
      <w:r w:rsidR="00D80214" w:rsidRPr="007D770B">
        <w:rPr>
          <w:i/>
          <w:snapToGrid w:val="0"/>
          <w:color w:val="3366FF"/>
          <w:sz w:val="20"/>
          <w:szCs w:val="22"/>
          <w:lang w:val="en-US"/>
        </w:rPr>
        <w:t>.2018).</w:t>
      </w:r>
    </w:p>
    <w:p w14:paraId="53DC6C38" w14:textId="77777777" w:rsidR="009E2B77" w:rsidRPr="007D770B" w:rsidRDefault="00F95C14" w:rsidP="00E61D21">
      <w:pPr>
        <w:pStyle w:val="3"/>
        <w:rPr>
          <w:lang w:val="en-US"/>
        </w:rPr>
      </w:pPr>
      <w:bookmarkStart w:id="273" w:name="_Toc187314005"/>
      <w:bookmarkStart w:id="274" w:name="_Toc248586884"/>
      <w:bookmarkStart w:id="275" w:name="_Toc248730806"/>
      <w:bookmarkStart w:id="276" w:name="_Toc270001473"/>
      <w:bookmarkStart w:id="277" w:name="_Toc168502080"/>
      <w:r w:rsidRPr="007D770B">
        <w:rPr>
          <w:lang w:val="en-US"/>
        </w:rPr>
        <w:t>10</w:t>
      </w:r>
      <w:r w:rsidR="009E2B77" w:rsidRPr="007D770B">
        <w:rPr>
          <w:lang w:val="en-US"/>
        </w:rPr>
        <w:t>.4 Disclosure of</w:t>
      </w:r>
      <w:bookmarkEnd w:id="273"/>
      <w:r w:rsidR="009E2B77" w:rsidRPr="007D770B">
        <w:rPr>
          <w:lang w:val="en-US"/>
        </w:rPr>
        <w:t xml:space="preserve"> information</w:t>
      </w:r>
      <w:bookmarkEnd w:id="274"/>
      <w:bookmarkEnd w:id="275"/>
      <w:bookmarkEnd w:id="276"/>
      <w:bookmarkEnd w:id="277"/>
    </w:p>
    <w:p w14:paraId="4A3084E6" w14:textId="77777777" w:rsidR="009E2B77" w:rsidRPr="007D770B" w:rsidRDefault="009E2B77" w:rsidP="00F96B17">
      <w:pPr>
        <w:suppressAutoHyphens/>
        <w:spacing w:before="240" w:line="240" w:lineRule="auto"/>
        <w:ind w:left="0"/>
        <w:rPr>
          <w:rFonts w:ascii="Times New Roman" w:hAnsi="Times New Roman"/>
          <w:lang w:val="en-US"/>
        </w:rPr>
      </w:pPr>
      <w:r w:rsidRPr="007D770B">
        <w:rPr>
          <w:rFonts w:ascii="Times New Roman" w:hAnsi="Times New Roman"/>
          <w:lang w:val="en-US"/>
        </w:rPr>
        <w:lastRenderedPageBreak/>
        <w:t xml:space="preserve">Expenses and losses for the period are recognized in the statement of comprehensive income </w:t>
      </w:r>
      <w:r w:rsidR="003B1116" w:rsidRPr="007D770B">
        <w:rPr>
          <w:rFonts w:ascii="Times New Roman" w:hAnsi="Times New Roman"/>
          <w:lang w:val="en-US"/>
        </w:rPr>
        <w:t>as follows</w:t>
      </w:r>
      <w:r w:rsidRPr="007D770B">
        <w:rPr>
          <w:rFonts w:ascii="Times New Roman" w:hAnsi="Times New Roman"/>
          <w:lang w:val="en-US"/>
        </w:rPr>
        <w:t>:</w:t>
      </w:r>
    </w:p>
    <w:p w14:paraId="42673C41" w14:textId="77777777" w:rsidR="00B00887" w:rsidRPr="002D4EA3" w:rsidRDefault="00B00887" w:rsidP="00B00887">
      <w:pPr>
        <w:ind w:left="0"/>
        <w:rPr>
          <w:rFonts w:ascii="Times New Roman" w:hAnsi="Times New Roman"/>
          <w:b/>
        </w:rPr>
      </w:pPr>
      <w:r w:rsidRPr="002D4EA3">
        <w:rPr>
          <w:rFonts w:ascii="Times New Roman" w:hAnsi="Times New Roman"/>
          <w:b/>
        </w:rPr>
        <w:t>Interest Expense:</w:t>
      </w:r>
    </w:p>
    <w:p w14:paraId="68F22383" w14:textId="77777777" w:rsidR="00123C7D" w:rsidRPr="00123C7D" w:rsidRDefault="00123C7D" w:rsidP="00AE698A">
      <w:pPr>
        <w:numPr>
          <w:ilvl w:val="0"/>
          <w:numId w:val="225"/>
        </w:numPr>
        <w:rPr>
          <w:rFonts w:ascii="Times New Roman" w:hAnsi="Times New Roman"/>
        </w:rPr>
      </w:pPr>
      <w:r w:rsidRPr="00123C7D">
        <w:rPr>
          <w:rFonts w:ascii="Times New Roman" w:hAnsi="Times New Roman"/>
        </w:rPr>
        <w:t>time deposits of individuals;</w:t>
      </w:r>
    </w:p>
    <w:p w14:paraId="2C4945D6" w14:textId="77777777" w:rsidR="00123C7D" w:rsidRPr="00123C7D" w:rsidRDefault="00123C7D" w:rsidP="00AE698A">
      <w:pPr>
        <w:numPr>
          <w:ilvl w:val="0"/>
          <w:numId w:val="225"/>
        </w:numPr>
        <w:rPr>
          <w:rFonts w:ascii="Times New Roman" w:hAnsi="Times New Roman"/>
        </w:rPr>
      </w:pPr>
      <w:r w:rsidRPr="00123C7D">
        <w:rPr>
          <w:rFonts w:ascii="Times New Roman" w:hAnsi="Times New Roman"/>
        </w:rPr>
        <w:t>debt securities issued;</w:t>
      </w:r>
    </w:p>
    <w:p w14:paraId="1208F624" w14:textId="77777777" w:rsidR="00123C7D" w:rsidRPr="00123C7D" w:rsidRDefault="00123C7D" w:rsidP="00AE698A">
      <w:pPr>
        <w:numPr>
          <w:ilvl w:val="0"/>
          <w:numId w:val="225"/>
        </w:numPr>
        <w:rPr>
          <w:rFonts w:ascii="Times New Roman" w:hAnsi="Times New Roman"/>
        </w:rPr>
      </w:pPr>
      <w:r w:rsidRPr="00123C7D">
        <w:rPr>
          <w:rFonts w:ascii="Times New Roman" w:hAnsi="Times New Roman"/>
        </w:rPr>
        <w:t>borrowed funds;</w:t>
      </w:r>
    </w:p>
    <w:p w14:paraId="7CD77CEB" w14:textId="77777777" w:rsidR="00123C7D" w:rsidRPr="00123C7D" w:rsidRDefault="00123C7D" w:rsidP="00AE698A">
      <w:pPr>
        <w:numPr>
          <w:ilvl w:val="0"/>
          <w:numId w:val="225"/>
        </w:numPr>
        <w:rPr>
          <w:rFonts w:ascii="Times New Roman" w:hAnsi="Times New Roman"/>
        </w:rPr>
      </w:pPr>
      <w:r w:rsidRPr="00123C7D">
        <w:rPr>
          <w:rFonts w:ascii="Times New Roman" w:hAnsi="Times New Roman"/>
        </w:rPr>
        <w:t>bank deposits;</w:t>
      </w:r>
    </w:p>
    <w:p w14:paraId="71E04C43" w14:textId="77777777" w:rsidR="00123C7D" w:rsidRPr="00123C7D" w:rsidRDefault="00123C7D" w:rsidP="00AE698A">
      <w:pPr>
        <w:numPr>
          <w:ilvl w:val="0"/>
          <w:numId w:val="225"/>
        </w:numPr>
        <w:rPr>
          <w:rFonts w:ascii="Times New Roman" w:hAnsi="Times New Roman"/>
        </w:rPr>
      </w:pPr>
      <w:r w:rsidRPr="00123C7D">
        <w:rPr>
          <w:rFonts w:ascii="Times New Roman" w:hAnsi="Times New Roman"/>
        </w:rPr>
        <w:t>overnight deposits from banks;</w:t>
      </w:r>
    </w:p>
    <w:p w14:paraId="44DAA126" w14:textId="77777777" w:rsidR="00123C7D" w:rsidRPr="00123C7D" w:rsidRDefault="00123C7D" w:rsidP="00AE698A">
      <w:pPr>
        <w:numPr>
          <w:ilvl w:val="0"/>
          <w:numId w:val="225"/>
        </w:numPr>
        <w:rPr>
          <w:rFonts w:ascii="Times New Roman" w:hAnsi="Times New Roman"/>
        </w:rPr>
      </w:pPr>
      <w:r w:rsidRPr="00123C7D">
        <w:rPr>
          <w:rFonts w:ascii="Times New Roman" w:hAnsi="Times New Roman"/>
        </w:rPr>
        <w:t>correspondent accounts of banks;</w:t>
      </w:r>
    </w:p>
    <w:p w14:paraId="1264FD8F" w14:textId="77777777" w:rsidR="00123C7D" w:rsidRPr="007D770B" w:rsidRDefault="00123C7D" w:rsidP="00AE698A">
      <w:pPr>
        <w:numPr>
          <w:ilvl w:val="0"/>
          <w:numId w:val="225"/>
        </w:numPr>
        <w:rPr>
          <w:rFonts w:ascii="Times New Roman" w:hAnsi="Times New Roman"/>
          <w:lang w:val="en-US"/>
        </w:rPr>
      </w:pPr>
      <w:r w:rsidRPr="007D770B">
        <w:rPr>
          <w:rFonts w:ascii="Times New Roman" w:hAnsi="Times New Roman"/>
          <w:lang w:val="en-US"/>
        </w:rPr>
        <w:t>expenses on foreign currency transactions;</w:t>
      </w:r>
    </w:p>
    <w:p w14:paraId="476006C1" w14:textId="77777777" w:rsidR="00B00887" w:rsidRDefault="00123C7D" w:rsidP="00AE698A">
      <w:pPr>
        <w:numPr>
          <w:ilvl w:val="0"/>
          <w:numId w:val="225"/>
        </w:numPr>
        <w:spacing w:after="0"/>
        <w:ind w:left="714" w:hanging="357"/>
        <w:rPr>
          <w:rFonts w:ascii="Times New Roman" w:hAnsi="Times New Roman"/>
        </w:rPr>
      </w:pPr>
      <w:r w:rsidRPr="00123C7D">
        <w:rPr>
          <w:rFonts w:ascii="Times New Roman" w:hAnsi="Times New Roman"/>
        </w:rPr>
        <w:t>others.</w:t>
      </w:r>
    </w:p>
    <w:p w14:paraId="17D3EE91" w14:textId="06FDEF2D" w:rsidR="000909EA" w:rsidRPr="007D770B" w:rsidRDefault="000909EA" w:rsidP="008945F4">
      <w:pPr>
        <w:tabs>
          <w:tab w:val="left" w:pos="360"/>
        </w:tabs>
        <w:spacing w:line="240" w:lineRule="auto"/>
        <w:ind w:left="0"/>
        <w:rPr>
          <w:rFonts w:ascii="Times New Roman" w:eastAsia="Times New Roman" w:hAnsi="Times New Roman"/>
          <w:i/>
          <w:snapToGrid w:val="0"/>
          <w:color w:val="3366FF"/>
          <w:szCs w:val="22"/>
          <w:lang w:val="en-US" w:eastAsia="ru-RU"/>
        </w:rPr>
      </w:pPr>
      <w:r w:rsidRPr="007D770B">
        <w:rPr>
          <w:rFonts w:ascii="Times New Roman" w:eastAsia="Times New Roman" w:hAnsi="Times New Roman"/>
          <w:i/>
          <w:snapToGrid w:val="0"/>
          <w:color w:val="3366FF"/>
          <w:szCs w:val="22"/>
          <w:lang w:val="en-US" w:eastAsia="ru-RU"/>
        </w:rPr>
        <w:t xml:space="preserve">(The subparagraph "Interest expenses" of item 10.4. was amended by the decision of the Board of Directors dated </w:t>
      </w:r>
      <w:r w:rsidR="006D5316" w:rsidRPr="007D770B">
        <w:rPr>
          <w:rFonts w:ascii="Times New Roman" w:eastAsia="Times New Roman" w:hAnsi="Times New Roman"/>
          <w:i/>
          <w:snapToGrid w:val="0"/>
          <w:color w:val="3366FF"/>
          <w:szCs w:val="22"/>
          <w:lang w:val="en-US" w:eastAsia="ru-RU"/>
        </w:rPr>
        <w:t>31</w:t>
      </w:r>
      <w:r w:rsidRPr="007D770B">
        <w:rPr>
          <w:rFonts w:ascii="Times New Roman" w:eastAsia="Times New Roman" w:hAnsi="Times New Roman"/>
          <w:i/>
          <w:snapToGrid w:val="0"/>
          <w:color w:val="3366FF"/>
          <w:szCs w:val="22"/>
          <w:lang w:val="en-US" w:eastAsia="ru-RU"/>
        </w:rPr>
        <w:t>.</w:t>
      </w:r>
      <w:r w:rsidR="006D5316" w:rsidRPr="007D770B">
        <w:rPr>
          <w:rFonts w:ascii="Times New Roman" w:eastAsia="Times New Roman" w:hAnsi="Times New Roman"/>
          <w:i/>
          <w:snapToGrid w:val="0"/>
          <w:color w:val="3366FF"/>
          <w:szCs w:val="22"/>
          <w:lang w:val="en-US" w:eastAsia="ru-RU"/>
        </w:rPr>
        <w:t>10</w:t>
      </w:r>
      <w:r w:rsidRPr="007D770B">
        <w:rPr>
          <w:rFonts w:ascii="Times New Roman" w:eastAsia="Times New Roman" w:hAnsi="Times New Roman"/>
          <w:i/>
          <w:snapToGrid w:val="0"/>
          <w:color w:val="3366FF"/>
          <w:szCs w:val="22"/>
          <w:lang w:val="en-US" w:eastAsia="ru-RU"/>
        </w:rPr>
        <w:t xml:space="preserve">.2019 (Minutes No. </w:t>
      </w:r>
      <w:r w:rsidR="006D5316" w:rsidRPr="007D770B">
        <w:rPr>
          <w:rFonts w:ascii="Times New Roman" w:eastAsia="Times New Roman" w:hAnsi="Times New Roman"/>
          <w:i/>
          <w:snapToGrid w:val="0"/>
          <w:color w:val="3366FF"/>
          <w:szCs w:val="22"/>
          <w:lang w:val="en-US" w:eastAsia="ru-RU"/>
        </w:rPr>
        <w:t>13</w:t>
      </w:r>
      <w:r w:rsidRPr="007D770B">
        <w:rPr>
          <w:rFonts w:ascii="Times New Roman" w:eastAsia="Times New Roman" w:hAnsi="Times New Roman"/>
          <w:i/>
          <w:snapToGrid w:val="0"/>
          <w:color w:val="3366FF"/>
          <w:szCs w:val="22"/>
          <w:lang w:val="en-US" w:eastAsia="ru-RU"/>
        </w:rPr>
        <w:t>)</w:t>
      </w:r>
    </w:p>
    <w:p w14:paraId="06C03C3F" w14:textId="77777777" w:rsidR="000909EA" w:rsidRPr="007D770B" w:rsidRDefault="000909EA" w:rsidP="000909EA">
      <w:pPr>
        <w:ind w:left="720"/>
        <w:rPr>
          <w:rFonts w:ascii="Times New Roman" w:hAnsi="Times New Roman"/>
          <w:lang w:val="en-US"/>
        </w:rPr>
      </w:pPr>
    </w:p>
    <w:p w14:paraId="49EFEF9B" w14:textId="77777777" w:rsidR="00B00887" w:rsidRPr="002D4EA3" w:rsidRDefault="00B00887" w:rsidP="001C6294">
      <w:pPr>
        <w:spacing w:before="240" w:line="240" w:lineRule="auto"/>
        <w:ind w:left="0"/>
        <w:rPr>
          <w:rFonts w:ascii="Times New Roman" w:hAnsi="Times New Roman"/>
          <w:b/>
        </w:rPr>
      </w:pPr>
      <w:r w:rsidRPr="002D4EA3">
        <w:rPr>
          <w:rFonts w:ascii="Times New Roman" w:hAnsi="Times New Roman"/>
          <w:b/>
        </w:rPr>
        <w:t>Commission Costs:</w:t>
      </w:r>
    </w:p>
    <w:p w14:paraId="14C7F0D1" w14:textId="77777777" w:rsidR="001C60C3" w:rsidRPr="002D4EA3" w:rsidRDefault="001C60C3" w:rsidP="00AE698A">
      <w:pPr>
        <w:numPr>
          <w:ilvl w:val="0"/>
          <w:numId w:val="226"/>
        </w:numPr>
        <w:suppressAutoHyphens/>
        <w:spacing w:before="240" w:line="240" w:lineRule="auto"/>
        <w:rPr>
          <w:rFonts w:ascii="Times New Roman" w:hAnsi="Times New Roman"/>
        </w:rPr>
      </w:pPr>
      <w:r w:rsidRPr="002D4EA3">
        <w:rPr>
          <w:rFonts w:ascii="Times New Roman" w:hAnsi="Times New Roman"/>
        </w:rPr>
        <w:t>settlement transactions;</w:t>
      </w:r>
    </w:p>
    <w:p w14:paraId="556E3DCB" w14:textId="77777777" w:rsidR="001C60C3" w:rsidRPr="002D4EA3" w:rsidRDefault="001C60C3" w:rsidP="00AE698A">
      <w:pPr>
        <w:numPr>
          <w:ilvl w:val="0"/>
          <w:numId w:val="226"/>
        </w:numPr>
        <w:suppressAutoHyphens/>
        <w:spacing w:before="240" w:line="240" w:lineRule="auto"/>
        <w:rPr>
          <w:rFonts w:ascii="Times New Roman" w:hAnsi="Times New Roman"/>
        </w:rPr>
      </w:pPr>
      <w:r w:rsidRPr="002D4EA3">
        <w:rPr>
          <w:rFonts w:ascii="Times New Roman" w:hAnsi="Times New Roman"/>
        </w:rPr>
        <w:t>cash transactions;</w:t>
      </w:r>
    </w:p>
    <w:p w14:paraId="0145739C" w14:textId="77777777" w:rsidR="001C60C3" w:rsidRPr="002D4EA3" w:rsidRDefault="001C60C3" w:rsidP="00AE698A">
      <w:pPr>
        <w:numPr>
          <w:ilvl w:val="0"/>
          <w:numId w:val="226"/>
        </w:numPr>
        <w:suppressAutoHyphens/>
        <w:spacing w:before="240" w:line="240" w:lineRule="auto"/>
        <w:rPr>
          <w:rFonts w:ascii="Times New Roman" w:hAnsi="Times New Roman"/>
        </w:rPr>
      </w:pPr>
      <w:r w:rsidRPr="002D4EA3">
        <w:rPr>
          <w:rFonts w:ascii="Times New Roman" w:hAnsi="Times New Roman"/>
        </w:rPr>
        <w:t>collection;</w:t>
      </w:r>
    </w:p>
    <w:p w14:paraId="6070D97F" w14:textId="77777777" w:rsidR="001C60C3" w:rsidRDefault="001C60C3" w:rsidP="00AE698A">
      <w:pPr>
        <w:numPr>
          <w:ilvl w:val="0"/>
          <w:numId w:val="226"/>
        </w:numPr>
        <w:suppressAutoHyphens/>
        <w:spacing w:before="240" w:line="240" w:lineRule="auto"/>
        <w:rPr>
          <w:rFonts w:ascii="Times New Roman" w:hAnsi="Times New Roman"/>
        </w:rPr>
      </w:pPr>
      <w:r w:rsidRPr="002D4EA3">
        <w:rPr>
          <w:rFonts w:ascii="Times New Roman" w:hAnsi="Times New Roman"/>
        </w:rPr>
        <w:t>securities transactions;</w:t>
      </w:r>
    </w:p>
    <w:p w14:paraId="6454D552" w14:textId="77777777" w:rsidR="006A2C87" w:rsidRPr="007D770B" w:rsidRDefault="006A2C87" w:rsidP="00AE698A">
      <w:pPr>
        <w:numPr>
          <w:ilvl w:val="0"/>
          <w:numId w:val="226"/>
        </w:numPr>
        <w:suppressAutoHyphens/>
        <w:spacing w:before="240" w:line="240" w:lineRule="auto"/>
        <w:rPr>
          <w:rFonts w:ascii="Times New Roman" w:hAnsi="Times New Roman"/>
          <w:lang w:val="en-US"/>
        </w:rPr>
      </w:pPr>
      <w:r w:rsidRPr="007D770B">
        <w:rPr>
          <w:rFonts w:ascii="Times New Roman" w:hAnsi="Times New Roman"/>
          <w:lang w:val="en-US"/>
        </w:rPr>
        <w:t>commission payments on guaranteed loans received;</w:t>
      </w:r>
    </w:p>
    <w:p w14:paraId="25889D95" w14:textId="77777777" w:rsidR="001C60C3" w:rsidRPr="002D4EA3" w:rsidRDefault="001C60C3" w:rsidP="00AE698A">
      <w:pPr>
        <w:numPr>
          <w:ilvl w:val="0"/>
          <w:numId w:val="226"/>
        </w:numPr>
        <w:suppressAutoHyphens/>
        <w:spacing w:before="240" w:line="240" w:lineRule="auto"/>
        <w:rPr>
          <w:rFonts w:ascii="Times New Roman" w:hAnsi="Times New Roman"/>
        </w:rPr>
      </w:pPr>
      <w:r w:rsidRPr="002D4EA3">
        <w:rPr>
          <w:rFonts w:ascii="Times New Roman" w:hAnsi="Times New Roman"/>
        </w:rPr>
        <w:t>others.</w:t>
      </w:r>
    </w:p>
    <w:p w14:paraId="05121B19" w14:textId="77777777" w:rsidR="00B011E7" w:rsidRPr="007D770B" w:rsidRDefault="00B011E7" w:rsidP="001C60C3">
      <w:pPr>
        <w:suppressAutoHyphens/>
        <w:spacing w:before="240" w:line="240" w:lineRule="auto"/>
        <w:ind w:left="0"/>
        <w:rPr>
          <w:rFonts w:ascii="Times New Roman" w:hAnsi="Times New Roman"/>
          <w:b/>
          <w:lang w:val="en-US"/>
        </w:rPr>
      </w:pPr>
      <w:r w:rsidRPr="007D770B">
        <w:rPr>
          <w:rFonts w:ascii="Times New Roman" w:hAnsi="Times New Roman"/>
          <w:b/>
          <w:lang w:val="en-US"/>
        </w:rPr>
        <w:t>Administrative and other operating expenses:</w:t>
      </w:r>
    </w:p>
    <w:p w14:paraId="22A649E0" w14:textId="77777777" w:rsidR="00B011E7" w:rsidRPr="002D4EA3" w:rsidRDefault="00B011E7" w:rsidP="00AE698A">
      <w:pPr>
        <w:numPr>
          <w:ilvl w:val="0"/>
          <w:numId w:val="227"/>
        </w:numPr>
        <w:suppressAutoHyphens/>
        <w:spacing w:before="240" w:line="240" w:lineRule="auto"/>
        <w:rPr>
          <w:rFonts w:ascii="Times New Roman" w:hAnsi="Times New Roman"/>
        </w:rPr>
      </w:pPr>
      <w:r w:rsidRPr="002D4EA3">
        <w:rPr>
          <w:rFonts w:ascii="Times New Roman" w:hAnsi="Times New Roman"/>
        </w:rPr>
        <w:t>personnel costs;</w:t>
      </w:r>
    </w:p>
    <w:p w14:paraId="606CEE44" w14:textId="77777777" w:rsidR="00B011E7" w:rsidRPr="007D770B" w:rsidRDefault="0066777D" w:rsidP="00AE698A">
      <w:pPr>
        <w:numPr>
          <w:ilvl w:val="0"/>
          <w:numId w:val="227"/>
        </w:numPr>
        <w:suppressAutoHyphens/>
        <w:spacing w:before="240" w:line="240" w:lineRule="auto"/>
        <w:rPr>
          <w:rFonts w:ascii="Times New Roman" w:hAnsi="Times New Roman"/>
          <w:lang w:val="en-US"/>
        </w:rPr>
      </w:pPr>
      <w:r w:rsidRPr="007D770B">
        <w:rPr>
          <w:rFonts w:ascii="Times New Roman" w:hAnsi="Times New Roman"/>
          <w:lang w:val="en-US"/>
        </w:rPr>
        <w:t xml:space="preserve">depreciation of </w:t>
      </w:r>
      <w:r w:rsidR="00B011E7" w:rsidRPr="007D770B">
        <w:rPr>
          <w:rFonts w:ascii="Times New Roman" w:hAnsi="Times New Roman"/>
          <w:lang w:val="en-US"/>
        </w:rPr>
        <w:t>property, plant and equipment;</w:t>
      </w:r>
    </w:p>
    <w:p w14:paraId="4DFD8304" w14:textId="77777777" w:rsidR="00B011E7" w:rsidRPr="007D770B" w:rsidRDefault="00B011E7" w:rsidP="00AE698A">
      <w:pPr>
        <w:numPr>
          <w:ilvl w:val="0"/>
          <w:numId w:val="227"/>
        </w:numPr>
        <w:suppressAutoHyphens/>
        <w:spacing w:before="240" w:line="240" w:lineRule="auto"/>
        <w:rPr>
          <w:rFonts w:ascii="Times New Roman" w:hAnsi="Times New Roman"/>
          <w:lang w:val="en-US"/>
        </w:rPr>
      </w:pPr>
      <w:r w:rsidRPr="007D770B">
        <w:rPr>
          <w:rFonts w:ascii="Times New Roman" w:hAnsi="Times New Roman"/>
          <w:lang w:val="en-US"/>
        </w:rPr>
        <w:t>impairment of property, plant and equipment;</w:t>
      </w:r>
    </w:p>
    <w:p w14:paraId="119801E7" w14:textId="77777777" w:rsidR="00B011E7" w:rsidRPr="007D770B" w:rsidRDefault="00B011E7" w:rsidP="00AE698A">
      <w:pPr>
        <w:numPr>
          <w:ilvl w:val="0"/>
          <w:numId w:val="227"/>
        </w:numPr>
        <w:suppressAutoHyphens/>
        <w:spacing w:before="240" w:line="240" w:lineRule="auto"/>
        <w:rPr>
          <w:rFonts w:ascii="Times New Roman" w:hAnsi="Times New Roman"/>
          <w:lang w:val="en-US"/>
        </w:rPr>
      </w:pPr>
      <w:r w:rsidRPr="007D770B">
        <w:rPr>
          <w:rFonts w:ascii="Times New Roman" w:hAnsi="Times New Roman"/>
          <w:lang w:val="en-US"/>
        </w:rPr>
        <w:t>reversal of impairment of property, plant and equipment;</w:t>
      </w:r>
    </w:p>
    <w:p w14:paraId="0F8DBF68" w14:textId="77777777" w:rsidR="00B011E7" w:rsidRPr="007D770B" w:rsidRDefault="0066777D" w:rsidP="00AE698A">
      <w:pPr>
        <w:numPr>
          <w:ilvl w:val="0"/>
          <w:numId w:val="227"/>
        </w:numPr>
        <w:suppressAutoHyphens/>
        <w:spacing w:before="240" w:line="240" w:lineRule="auto"/>
        <w:rPr>
          <w:rFonts w:ascii="Times New Roman" w:hAnsi="Times New Roman"/>
          <w:lang w:val="en-US"/>
        </w:rPr>
      </w:pPr>
      <w:r w:rsidRPr="007D770B">
        <w:rPr>
          <w:rFonts w:ascii="Times New Roman" w:hAnsi="Times New Roman"/>
          <w:lang w:val="en-US"/>
        </w:rPr>
        <w:t xml:space="preserve">amortization of </w:t>
      </w:r>
      <w:r w:rsidR="00B011E7" w:rsidRPr="007D770B">
        <w:rPr>
          <w:rFonts w:ascii="Times New Roman" w:hAnsi="Times New Roman"/>
          <w:lang w:val="en-US"/>
        </w:rPr>
        <w:t>software and other intangible assets;</w:t>
      </w:r>
    </w:p>
    <w:p w14:paraId="4BF4AD02" w14:textId="77777777" w:rsidR="00B011E7" w:rsidRPr="002D4EA3" w:rsidRDefault="00B011E7" w:rsidP="00AE698A">
      <w:pPr>
        <w:numPr>
          <w:ilvl w:val="0"/>
          <w:numId w:val="227"/>
        </w:numPr>
        <w:suppressAutoHyphens/>
        <w:spacing w:before="240" w:line="240" w:lineRule="auto"/>
        <w:rPr>
          <w:rFonts w:ascii="Times New Roman" w:hAnsi="Times New Roman"/>
        </w:rPr>
      </w:pPr>
      <w:r w:rsidRPr="002D4EA3">
        <w:rPr>
          <w:rFonts w:ascii="Times New Roman" w:hAnsi="Times New Roman"/>
        </w:rPr>
        <w:t>utilities;</w:t>
      </w:r>
    </w:p>
    <w:p w14:paraId="049DF05C" w14:textId="77777777" w:rsidR="00B011E7" w:rsidRPr="002D4EA3" w:rsidRDefault="00B011E7" w:rsidP="00AE698A">
      <w:pPr>
        <w:numPr>
          <w:ilvl w:val="0"/>
          <w:numId w:val="227"/>
        </w:numPr>
        <w:suppressAutoHyphens/>
        <w:spacing w:before="240" w:line="240" w:lineRule="auto"/>
        <w:rPr>
          <w:rFonts w:ascii="Times New Roman" w:hAnsi="Times New Roman"/>
        </w:rPr>
      </w:pPr>
      <w:r w:rsidRPr="002D4EA3">
        <w:rPr>
          <w:rFonts w:ascii="Times New Roman" w:hAnsi="Times New Roman"/>
        </w:rPr>
        <w:t>operating lease expense;</w:t>
      </w:r>
    </w:p>
    <w:p w14:paraId="3A1AA99A" w14:textId="77777777" w:rsidR="00B011E7" w:rsidRPr="007D770B" w:rsidRDefault="00B011E7" w:rsidP="00AE698A">
      <w:pPr>
        <w:numPr>
          <w:ilvl w:val="0"/>
          <w:numId w:val="227"/>
        </w:numPr>
        <w:suppressAutoHyphens/>
        <w:spacing w:before="240" w:line="240" w:lineRule="auto"/>
        <w:rPr>
          <w:rFonts w:ascii="Times New Roman" w:hAnsi="Times New Roman"/>
          <w:lang w:val="en-US"/>
        </w:rPr>
      </w:pPr>
      <w:r w:rsidRPr="007D770B">
        <w:rPr>
          <w:rFonts w:ascii="Times New Roman" w:hAnsi="Times New Roman"/>
          <w:lang w:val="en-US"/>
        </w:rPr>
        <w:t>other costs related to property, plant and equipment;</w:t>
      </w:r>
    </w:p>
    <w:p w14:paraId="2BE94AEB" w14:textId="77777777" w:rsidR="00B011E7" w:rsidRPr="002D4EA3" w:rsidRDefault="00B011E7" w:rsidP="00AE698A">
      <w:pPr>
        <w:numPr>
          <w:ilvl w:val="0"/>
          <w:numId w:val="227"/>
        </w:numPr>
        <w:suppressAutoHyphens/>
        <w:spacing w:before="240" w:line="240" w:lineRule="auto"/>
        <w:rPr>
          <w:rFonts w:ascii="Times New Roman" w:hAnsi="Times New Roman"/>
        </w:rPr>
      </w:pPr>
      <w:r w:rsidRPr="002D4EA3">
        <w:rPr>
          <w:rFonts w:ascii="Times New Roman" w:hAnsi="Times New Roman"/>
        </w:rPr>
        <w:t>professional services;</w:t>
      </w:r>
    </w:p>
    <w:p w14:paraId="2FEBE846" w14:textId="77777777" w:rsidR="00B011E7" w:rsidRPr="002D4EA3" w:rsidRDefault="00B011E7" w:rsidP="00AE698A">
      <w:pPr>
        <w:numPr>
          <w:ilvl w:val="0"/>
          <w:numId w:val="227"/>
        </w:numPr>
        <w:suppressAutoHyphens/>
        <w:spacing w:before="240" w:line="240" w:lineRule="auto"/>
        <w:rPr>
          <w:rFonts w:ascii="Times New Roman" w:hAnsi="Times New Roman"/>
        </w:rPr>
      </w:pPr>
      <w:r w:rsidRPr="002D4EA3">
        <w:rPr>
          <w:rFonts w:ascii="Times New Roman" w:hAnsi="Times New Roman"/>
        </w:rPr>
        <w:t>advertising and marketing services;</w:t>
      </w:r>
    </w:p>
    <w:p w14:paraId="083A832D" w14:textId="77777777" w:rsidR="00B011E7" w:rsidRPr="007D770B" w:rsidRDefault="00B011E7" w:rsidP="00AE698A">
      <w:pPr>
        <w:numPr>
          <w:ilvl w:val="0"/>
          <w:numId w:val="227"/>
        </w:numPr>
        <w:suppressAutoHyphens/>
        <w:spacing w:before="240" w:line="240" w:lineRule="auto"/>
        <w:rPr>
          <w:rFonts w:ascii="Times New Roman" w:hAnsi="Times New Roman"/>
          <w:lang w:val="en-US"/>
        </w:rPr>
      </w:pPr>
      <w:r w:rsidRPr="007D770B">
        <w:rPr>
          <w:rFonts w:ascii="Times New Roman" w:hAnsi="Times New Roman"/>
          <w:lang w:val="en-US"/>
        </w:rPr>
        <w:t>costs associated with security services;</w:t>
      </w:r>
    </w:p>
    <w:p w14:paraId="47C6FC3C" w14:textId="77777777" w:rsidR="00B011E7" w:rsidRPr="007D770B" w:rsidRDefault="00B011E7" w:rsidP="00AE698A">
      <w:pPr>
        <w:numPr>
          <w:ilvl w:val="0"/>
          <w:numId w:val="227"/>
        </w:numPr>
        <w:suppressAutoHyphens/>
        <w:spacing w:before="240" w:line="240" w:lineRule="auto"/>
        <w:rPr>
          <w:rFonts w:ascii="Times New Roman" w:hAnsi="Times New Roman"/>
          <w:lang w:val="en-US"/>
        </w:rPr>
      </w:pPr>
      <w:r w:rsidRPr="007D770B">
        <w:rPr>
          <w:rFonts w:ascii="Times New Roman" w:hAnsi="Times New Roman"/>
          <w:lang w:val="en-US"/>
        </w:rPr>
        <w:lastRenderedPageBreak/>
        <w:t>other taxes other than income tax;</w:t>
      </w:r>
    </w:p>
    <w:p w14:paraId="37C76E0D" w14:textId="77777777" w:rsidR="00B011E7" w:rsidRPr="002D4EA3" w:rsidRDefault="00B011E7" w:rsidP="00AE698A">
      <w:pPr>
        <w:numPr>
          <w:ilvl w:val="0"/>
          <w:numId w:val="227"/>
        </w:numPr>
        <w:suppressAutoHyphens/>
        <w:spacing w:before="240" w:line="240" w:lineRule="auto"/>
        <w:rPr>
          <w:rFonts w:ascii="Times New Roman" w:hAnsi="Times New Roman"/>
        </w:rPr>
      </w:pPr>
      <w:r w:rsidRPr="002D4EA3">
        <w:rPr>
          <w:rFonts w:ascii="Times New Roman" w:hAnsi="Times New Roman"/>
        </w:rPr>
        <w:t>provisions for tax risks;</w:t>
      </w:r>
    </w:p>
    <w:p w14:paraId="78D5C3E8" w14:textId="77777777" w:rsidR="00B011E7" w:rsidRPr="002D4EA3" w:rsidRDefault="00B011E7" w:rsidP="00AE698A">
      <w:pPr>
        <w:numPr>
          <w:ilvl w:val="0"/>
          <w:numId w:val="227"/>
        </w:numPr>
        <w:suppressAutoHyphens/>
        <w:spacing w:before="240" w:line="240" w:lineRule="auto"/>
        <w:rPr>
          <w:rFonts w:ascii="Times New Roman" w:hAnsi="Times New Roman"/>
        </w:rPr>
      </w:pPr>
      <w:r w:rsidRPr="002D4EA3">
        <w:rPr>
          <w:rFonts w:ascii="Times New Roman" w:hAnsi="Times New Roman"/>
        </w:rPr>
        <w:t>provision for performance guarantees;</w:t>
      </w:r>
    </w:p>
    <w:p w14:paraId="3BC99DA8" w14:textId="77777777" w:rsidR="00B011E7" w:rsidRPr="002D4EA3" w:rsidRDefault="00B011E7" w:rsidP="00AE698A">
      <w:pPr>
        <w:numPr>
          <w:ilvl w:val="0"/>
          <w:numId w:val="227"/>
        </w:numPr>
        <w:suppressAutoHyphens/>
        <w:spacing w:before="240" w:line="240" w:lineRule="auto"/>
        <w:rPr>
          <w:rFonts w:ascii="Times New Roman" w:hAnsi="Times New Roman"/>
        </w:rPr>
      </w:pPr>
      <w:r w:rsidRPr="002D4EA3">
        <w:rPr>
          <w:rFonts w:ascii="Times New Roman" w:hAnsi="Times New Roman"/>
        </w:rPr>
        <w:t>others.</w:t>
      </w:r>
    </w:p>
    <w:p w14:paraId="40B211F8" w14:textId="77777777" w:rsidR="00115712" w:rsidRPr="002D4EA3" w:rsidRDefault="009E2B77" w:rsidP="001C60C3">
      <w:pPr>
        <w:suppressAutoHyphens/>
        <w:spacing w:before="240" w:line="240" w:lineRule="auto"/>
        <w:ind w:left="0"/>
        <w:rPr>
          <w:rFonts w:ascii="Times New Roman" w:hAnsi="Times New Roman"/>
          <w:b/>
        </w:rPr>
      </w:pPr>
      <w:r w:rsidRPr="002D4EA3">
        <w:rPr>
          <w:rFonts w:ascii="Times New Roman" w:hAnsi="Times New Roman"/>
          <w:b/>
        </w:rPr>
        <w:t xml:space="preserve">Income tax </w:t>
      </w:r>
      <w:r w:rsidR="001C60C3" w:rsidRPr="002D4EA3">
        <w:rPr>
          <w:rFonts w:ascii="Times New Roman" w:hAnsi="Times New Roman"/>
          <w:b/>
        </w:rPr>
        <w:t>expense</w:t>
      </w:r>
      <w:r w:rsidR="00115712" w:rsidRPr="002D4EA3">
        <w:rPr>
          <w:rFonts w:ascii="Times New Roman" w:hAnsi="Times New Roman"/>
          <w:b/>
        </w:rPr>
        <w:t>:</w:t>
      </w:r>
    </w:p>
    <w:p w14:paraId="0A682C11" w14:textId="77777777" w:rsidR="00115712" w:rsidRPr="002D4EA3" w:rsidRDefault="00115712" w:rsidP="00AE698A">
      <w:pPr>
        <w:numPr>
          <w:ilvl w:val="0"/>
          <w:numId w:val="226"/>
        </w:numPr>
        <w:suppressAutoHyphens/>
        <w:spacing w:before="240" w:line="240" w:lineRule="auto"/>
        <w:rPr>
          <w:rFonts w:ascii="Times New Roman" w:hAnsi="Times New Roman"/>
        </w:rPr>
      </w:pPr>
      <w:r w:rsidRPr="002D4EA3">
        <w:rPr>
          <w:rFonts w:ascii="Times New Roman" w:hAnsi="Times New Roman"/>
        </w:rPr>
        <w:t>current income tax expense;</w:t>
      </w:r>
    </w:p>
    <w:p w14:paraId="596F3AE7" w14:textId="77777777" w:rsidR="009E2B77" w:rsidRPr="002D4EA3" w:rsidRDefault="00115712" w:rsidP="00AE698A">
      <w:pPr>
        <w:numPr>
          <w:ilvl w:val="0"/>
          <w:numId w:val="226"/>
        </w:numPr>
        <w:suppressAutoHyphens/>
        <w:spacing w:before="240" w:line="240" w:lineRule="auto"/>
        <w:rPr>
          <w:rFonts w:ascii="Times New Roman" w:hAnsi="Times New Roman"/>
        </w:rPr>
      </w:pPr>
      <w:r w:rsidRPr="002D4EA3">
        <w:rPr>
          <w:rFonts w:ascii="Times New Roman" w:hAnsi="Times New Roman"/>
        </w:rPr>
        <w:t>deferred taxation.</w:t>
      </w:r>
    </w:p>
    <w:p w14:paraId="1B3388A3" w14:textId="77777777" w:rsidR="009E2B77" w:rsidRPr="007D770B" w:rsidRDefault="009E2B77" w:rsidP="00F96B17">
      <w:pPr>
        <w:suppressAutoHyphens/>
        <w:spacing w:before="240" w:line="240" w:lineRule="auto"/>
        <w:ind w:left="0"/>
        <w:rPr>
          <w:rFonts w:ascii="Times New Roman" w:hAnsi="Times New Roman"/>
          <w:lang w:val="en-US"/>
        </w:rPr>
      </w:pPr>
      <w:r w:rsidRPr="007D770B">
        <w:rPr>
          <w:rFonts w:ascii="Times New Roman" w:hAnsi="Times New Roman"/>
          <w:lang w:val="en-US"/>
        </w:rPr>
        <w:t xml:space="preserve">The </w:t>
      </w:r>
      <w:r w:rsidR="00F9744B" w:rsidRPr="007D770B">
        <w:rPr>
          <w:rFonts w:ascii="Times New Roman" w:hAnsi="Times New Roman"/>
          <w:lang w:val="en-US"/>
        </w:rPr>
        <w:t xml:space="preserve">Bank </w:t>
      </w:r>
      <w:r w:rsidRPr="007D770B">
        <w:rPr>
          <w:rFonts w:ascii="Times New Roman" w:hAnsi="Times New Roman"/>
          <w:lang w:val="en-US"/>
        </w:rPr>
        <w:t>discloses the largest items of expenses by cost elements in the notes to the financial statements. Such elements as depreciation and amortization, materials and personnel expenses are mandatory for disclosure. Significant items of other expenses (losses) are also subject to mandatory disclosure in the notes to the statements.</w:t>
      </w:r>
    </w:p>
    <w:p w14:paraId="230D8B17" w14:textId="77777777" w:rsidR="0005635A" w:rsidRPr="007D770B" w:rsidRDefault="0005635A" w:rsidP="00F96B17">
      <w:pPr>
        <w:suppressAutoHyphens/>
        <w:spacing w:before="240" w:line="240" w:lineRule="auto"/>
        <w:ind w:left="0"/>
        <w:rPr>
          <w:rFonts w:ascii="Times New Roman" w:hAnsi="Times New Roman"/>
          <w:lang w:val="en-US"/>
        </w:rPr>
      </w:pPr>
    </w:p>
    <w:p w14:paraId="599DBBD5" w14:textId="77777777" w:rsidR="0005635A" w:rsidRPr="007D770B" w:rsidRDefault="0005635A" w:rsidP="00F96B17">
      <w:pPr>
        <w:suppressAutoHyphens/>
        <w:spacing w:before="240" w:line="240" w:lineRule="auto"/>
        <w:ind w:left="0"/>
        <w:rPr>
          <w:rFonts w:ascii="Times New Roman" w:hAnsi="Times New Roman"/>
          <w:lang w:val="en-US"/>
        </w:rPr>
        <w:sectPr w:rsidR="0005635A" w:rsidRPr="007D770B" w:rsidSect="000610F9">
          <w:headerReference w:type="even" r:id="rId58"/>
          <w:headerReference w:type="default" r:id="rId59"/>
          <w:headerReference w:type="first" r:id="rId60"/>
          <w:pgSz w:w="11906" w:h="16838"/>
          <w:pgMar w:top="1268" w:right="680" w:bottom="900" w:left="1134" w:header="510" w:footer="404" w:gutter="0"/>
          <w:cols w:space="708"/>
          <w:titlePg/>
          <w:docGrid w:linePitch="360"/>
        </w:sectPr>
      </w:pPr>
    </w:p>
    <w:p w14:paraId="133BC95A" w14:textId="77777777" w:rsidR="0005635A" w:rsidRPr="007D770B" w:rsidRDefault="0005635A" w:rsidP="00F96B17">
      <w:pPr>
        <w:suppressAutoHyphens/>
        <w:spacing w:before="240" w:line="240" w:lineRule="auto"/>
        <w:ind w:left="0"/>
        <w:rPr>
          <w:rFonts w:ascii="Times New Roman" w:hAnsi="Times New Roman"/>
          <w:lang w:val="en-US"/>
        </w:rPr>
      </w:pPr>
    </w:p>
    <w:p w14:paraId="77A8358B" w14:textId="044F72C6" w:rsidR="009E2B77" w:rsidRPr="007D770B" w:rsidRDefault="00EB770D" w:rsidP="005B703E">
      <w:pPr>
        <w:pStyle w:val="2"/>
        <w:pageBreakBefore/>
        <w:spacing w:before="240"/>
        <w:jc w:val="both"/>
        <w:rPr>
          <w:rFonts w:ascii="Times New Roman" w:hAnsi="Times New Roman"/>
          <w:szCs w:val="20"/>
          <w:lang w:val="en-US"/>
        </w:rPr>
      </w:pPr>
      <w:bookmarkStart w:id="278" w:name="_Toc168502081"/>
      <w:r w:rsidRPr="007D770B">
        <w:rPr>
          <w:rFonts w:ascii="Times New Roman" w:hAnsi="Times New Roman"/>
          <w:szCs w:val="20"/>
          <w:lang w:val="en-US"/>
        </w:rPr>
        <w:lastRenderedPageBreak/>
        <w:t xml:space="preserve">Section </w:t>
      </w:r>
      <w:r w:rsidR="00F95C14" w:rsidRPr="007D770B">
        <w:rPr>
          <w:rFonts w:ascii="Times New Roman" w:hAnsi="Times New Roman"/>
          <w:szCs w:val="20"/>
          <w:lang w:val="en-US"/>
        </w:rPr>
        <w:t>11</w:t>
      </w:r>
      <w:r w:rsidR="009E2B77" w:rsidRPr="007D770B">
        <w:rPr>
          <w:rFonts w:ascii="Times New Roman" w:hAnsi="Times New Roman"/>
          <w:szCs w:val="20"/>
          <w:lang w:val="en-US"/>
        </w:rPr>
        <w:t>. Impairment of assets</w:t>
      </w:r>
      <w:bookmarkEnd w:id="257"/>
      <w:r w:rsidR="009E2B77" w:rsidRPr="007D770B">
        <w:rPr>
          <w:rFonts w:ascii="Times New Roman" w:hAnsi="Times New Roman"/>
          <w:szCs w:val="20"/>
          <w:lang w:val="en-US"/>
        </w:rPr>
        <w:t xml:space="preserve"> (IAS 36)</w:t>
      </w:r>
      <w:bookmarkEnd w:id="278"/>
    </w:p>
    <w:p w14:paraId="0B1B0A03" w14:textId="28F8B0B9" w:rsidR="009E2B77" w:rsidRPr="007D770B" w:rsidRDefault="00F95C14" w:rsidP="00E61D21">
      <w:pPr>
        <w:pStyle w:val="3"/>
        <w:rPr>
          <w:lang w:val="en-US"/>
        </w:rPr>
      </w:pPr>
      <w:bookmarkStart w:id="279" w:name="_Toc255041559"/>
      <w:bookmarkStart w:id="280" w:name="_Toc168502082"/>
      <w:r w:rsidRPr="007D770B">
        <w:rPr>
          <w:lang w:val="en-US"/>
        </w:rPr>
        <w:t>11</w:t>
      </w:r>
      <w:r w:rsidR="009E2B77" w:rsidRPr="007D770B">
        <w:rPr>
          <w:lang w:val="en-US"/>
        </w:rPr>
        <w:t>.1 General provisions</w:t>
      </w:r>
      <w:bookmarkEnd w:id="279"/>
      <w:bookmarkEnd w:id="280"/>
    </w:p>
    <w:p w14:paraId="275BD9F3" w14:textId="144E4DFD" w:rsidR="009E2B77" w:rsidRPr="007D770B" w:rsidRDefault="009E2B77" w:rsidP="00F96B17">
      <w:pPr>
        <w:pStyle w:val="ABC-paragrahinNotes"/>
        <w:spacing w:before="240"/>
        <w:rPr>
          <w:rFonts w:ascii="Times New Roman" w:hAnsi="Times New Roman"/>
          <w:sz w:val="20"/>
          <w:lang w:val="en-US"/>
        </w:rPr>
      </w:pPr>
      <w:r w:rsidRPr="007D770B">
        <w:rPr>
          <w:rFonts w:ascii="Times New Roman" w:hAnsi="Times New Roman"/>
          <w:sz w:val="20"/>
          <w:lang w:val="en-US"/>
        </w:rPr>
        <w:t xml:space="preserve">At each reporting date, management assesses whether there is any indication of impairment of assets. If any such indication exists, management estimates the recoverable amount, which is determined as the higher of an asset's fair value less costs to sell and its value in use. The carrying amount of the asset is reduced to its recoverable amount and an impairment loss is recognized in the consolidated statement of comprehensive income for any excess of the asset's carrying amount over its recoverable amount. If there has been a change in </w:t>
      </w:r>
      <w:r w:rsidR="00D25E89" w:rsidRPr="007D770B">
        <w:rPr>
          <w:rFonts w:ascii="Times New Roman" w:hAnsi="Times New Roman"/>
          <w:sz w:val="20"/>
          <w:lang w:val="en-US"/>
        </w:rPr>
        <w:t>estimates</w:t>
      </w:r>
      <w:r w:rsidRPr="007D770B">
        <w:rPr>
          <w:rFonts w:ascii="Times New Roman" w:hAnsi="Times New Roman"/>
          <w:sz w:val="20"/>
          <w:lang w:val="en-US"/>
        </w:rPr>
        <w:t xml:space="preserve"> resulting in an increase in the recoverable amount of the asset, the impairment loss recognized for the asset in prior periods is reversed.</w:t>
      </w:r>
    </w:p>
    <w:p w14:paraId="09C51659" w14:textId="29794951" w:rsidR="009E2B77" w:rsidRPr="007D770B" w:rsidRDefault="00F95C14" w:rsidP="00E61D21">
      <w:pPr>
        <w:pStyle w:val="3"/>
        <w:rPr>
          <w:lang w:val="en-US"/>
        </w:rPr>
      </w:pPr>
      <w:bookmarkStart w:id="281" w:name="_Toc255041560"/>
      <w:bookmarkStart w:id="282" w:name="_Toc168502083"/>
      <w:r w:rsidRPr="007D770B">
        <w:rPr>
          <w:lang w:val="en-US"/>
        </w:rPr>
        <w:t>11</w:t>
      </w:r>
      <w:r w:rsidR="009E2B77" w:rsidRPr="007D770B">
        <w:rPr>
          <w:lang w:val="en-US"/>
        </w:rPr>
        <w:t>.2 Definitions</w:t>
      </w:r>
      <w:bookmarkEnd w:id="281"/>
      <w:bookmarkEnd w:id="282"/>
    </w:p>
    <w:p w14:paraId="68F70A5A"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b/>
          <w:lang w:val="en-US"/>
        </w:rPr>
        <w:t xml:space="preserve">An active market </w:t>
      </w:r>
      <w:r w:rsidRPr="007D770B">
        <w:rPr>
          <w:rFonts w:ascii="Times New Roman" w:hAnsi="Times New Roman"/>
          <w:lang w:val="en-US"/>
        </w:rPr>
        <w:t>is a market where all of the following conditions are met:</w:t>
      </w:r>
    </w:p>
    <w:p w14:paraId="68551D79" w14:textId="77777777" w:rsidR="009E2B77" w:rsidRPr="007D770B" w:rsidRDefault="009E2B77" w:rsidP="00AE698A">
      <w:pPr>
        <w:numPr>
          <w:ilvl w:val="0"/>
          <w:numId w:val="73"/>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 xml:space="preserve">objects of transactions on the market are homogeneous; </w:t>
      </w:r>
    </w:p>
    <w:p w14:paraId="245891B0" w14:textId="77777777" w:rsidR="009E2B77" w:rsidRPr="007D770B" w:rsidRDefault="009E2B77" w:rsidP="00AE698A">
      <w:pPr>
        <w:numPr>
          <w:ilvl w:val="0"/>
          <w:numId w:val="73"/>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there are usually willing buyers and sellers available at any time; and</w:t>
      </w:r>
    </w:p>
    <w:p w14:paraId="74D9C189" w14:textId="77777777" w:rsidR="009E2B77" w:rsidRPr="007D770B" w:rsidRDefault="009E2B77" w:rsidP="00AE698A">
      <w:pPr>
        <w:numPr>
          <w:ilvl w:val="0"/>
          <w:numId w:val="73"/>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price information is publicly available.</w:t>
      </w:r>
    </w:p>
    <w:p w14:paraId="60E2923D"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b/>
          <w:lang w:val="en-US"/>
        </w:rPr>
        <w:t xml:space="preserve">Carrying </w:t>
      </w:r>
      <w:r w:rsidRPr="007D770B">
        <w:rPr>
          <w:rFonts w:ascii="Times New Roman" w:hAnsi="Times New Roman"/>
          <w:lang w:val="en-US"/>
        </w:rPr>
        <w:t xml:space="preserve">amount is the amount at which the asset is recognized after deducting the amount of accumulated depreciation and accumulated impairment loss. </w:t>
      </w:r>
    </w:p>
    <w:p w14:paraId="6F111688"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A cash-generating</w:t>
      </w:r>
      <w:r w:rsidRPr="007D770B">
        <w:rPr>
          <w:rFonts w:ascii="Times New Roman" w:hAnsi="Times New Roman"/>
          <w:b/>
          <w:lang w:val="en-US"/>
        </w:rPr>
        <w:t xml:space="preserve"> unit </w:t>
      </w:r>
      <w:r w:rsidRPr="007D770B">
        <w:rPr>
          <w:rFonts w:ascii="Times New Roman" w:hAnsi="Times New Roman"/>
          <w:lang w:val="en-US"/>
        </w:rPr>
        <w:t xml:space="preserve">is the smallest identifiable group of assets that </w:t>
      </w:r>
      <w:r w:rsidRPr="007D770B">
        <w:rPr>
          <w:rFonts w:ascii="Times New Roman" w:hAnsi="Times New Roman"/>
          <w:b/>
          <w:lang w:val="en-US"/>
        </w:rPr>
        <w:t xml:space="preserve">generates </w:t>
      </w:r>
      <w:r w:rsidRPr="007D770B">
        <w:rPr>
          <w:rFonts w:ascii="Times New Roman" w:hAnsi="Times New Roman"/>
          <w:lang w:val="en-US"/>
        </w:rPr>
        <w:t xml:space="preserve">cash inflows that are largely independent of the cash inflows from other assets or groups of assets. </w:t>
      </w:r>
    </w:p>
    <w:p w14:paraId="7D9A6094" w14:textId="1EBCCB6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b/>
          <w:lang w:val="en-US"/>
        </w:rPr>
        <w:t xml:space="preserve">Corporate assets </w:t>
      </w:r>
      <w:r w:rsidRPr="007D770B">
        <w:rPr>
          <w:rFonts w:ascii="Times New Roman" w:hAnsi="Times New Roman"/>
          <w:lang w:val="en-US"/>
        </w:rPr>
        <w:t xml:space="preserve">are assets, other than </w:t>
      </w:r>
      <w:r w:rsidR="00D25E89" w:rsidRPr="007D770B">
        <w:rPr>
          <w:rFonts w:ascii="Times New Roman" w:hAnsi="Times New Roman"/>
          <w:lang w:val="en-US"/>
        </w:rPr>
        <w:t>goodwill</w:t>
      </w:r>
      <w:r w:rsidRPr="007D770B">
        <w:rPr>
          <w:rFonts w:ascii="Times New Roman" w:hAnsi="Times New Roman"/>
          <w:lang w:val="en-US"/>
        </w:rPr>
        <w:t xml:space="preserve">, that contribute to the future cash flows of the cash-generating unit and other cash-generating units. </w:t>
      </w:r>
    </w:p>
    <w:p w14:paraId="267813AA"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b/>
          <w:lang w:val="en-US"/>
        </w:rPr>
        <w:t xml:space="preserve">Costs to sell </w:t>
      </w:r>
      <w:r w:rsidRPr="007D770B">
        <w:rPr>
          <w:rFonts w:ascii="Times New Roman" w:hAnsi="Times New Roman"/>
          <w:lang w:val="en-US"/>
        </w:rPr>
        <w:t xml:space="preserve">are incremental costs that are directly attributable to the sale of an asset or cash-generating unit other than finance costs and income tax expense. </w:t>
      </w:r>
    </w:p>
    <w:p w14:paraId="67972B02"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b/>
          <w:lang w:val="en-US"/>
        </w:rPr>
        <w:t xml:space="preserve">Amortized </w:t>
      </w:r>
      <w:r w:rsidRPr="007D770B">
        <w:rPr>
          <w:rFonts w:ascii="Times New Roman" w:hAnsi="Times New Roman"/>
          <w:lang w:val="en-US"/>
        </w:rPr>
        <w:t xml:space="preserve">cost is the actual cost of acquiring an asset or other amount recorded in the financial statements in lieu of actual costs, less its residual value. </w:t>
      </w:r>
    </w:p>
    <w:p w14:paraId="2D59EC28"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b/>
          <w:lang w:val="en-US"/>
        </w:rPr>
        <w:t xml:space="preserve">Depreciation </w:t>
      </w:r>
      <w:r w:rsidRPr="007D770B">
        <w:rPr>
          <w:rFonts w:ascii="Times New Roman" w:hAnsi="Times New Roman"/>
          <w:lang w:val="en-US"/>
        </w:rPr>
        <w:t>is the systematic allocation of the depreciable amount of an asset over its useful life.</w:t>
      </w:r>
    </w:p>
    <w:p w14:paraId="6DC57ABE" w14:textId="7120089D"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b/>
          <w:lang w:val="en-US"/>
        </w:rPr>
        <w:t xml:space="preserve">Fair value less costs to sell </w:t>
      </w:r>
      <w:r w:rsidRPr="007D770B">
        <w:rPr>
          <w:rFonts w:ascii="Times New Roman" w:hAnsi="Times New Roman"/>
          <w:lang w:val="en-US"/>
        </w:rPr>
        <w:t xml:space="preserve">is the price that would be received to sell an asset or cash-generating </w:t>
      </w:r>
      <w:r w:rsidR="00D25E89" w:rsidRPr="007D770B">
        <w:rPr>
          <w:rFonts w:ascii="Times New Roman" w:hAnsi="Times New Roman"/>
          <w:lang w:val="en-US"/>
        </w:rPr>
        <w:t xml:space="preserve">unit </w:t>
      </w:r>
      <w:r w:rsidRPr="007D770B">
        <w:rPr>
          <w:rFonts w:ascii="Times New Roman" w:hAnsi="Times New Roman"/>
          <w:lang w:val="en-US"/>
        </w:rPr>
        <w:t xml:space="preserve">or paid to transfer a liability in an orderly transaction between market participants at the measurement date, less costs to sell. </w:t>
      </w:r>
    </w:p>
    <w:p w14:paraId="4C02BE6A"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b/>
          <w:lang w:val="en-US"/>
        </w:rPr>
        <w:t xml:space="preserve">An impairment loss </w:t>
      </w:r>
      <w:r w:rsidRPr="007D770B">
        <w:rPr>
          <w:rFonts w:ascii="Times New Roman" w:hAnsi="Times New Roman"/>
          <w:lang w:val="en-US"/>
        </w:rPr>
        <w:t xml:space="preserve">is the amount by which the carrying amount of an asset or cash-generating unit exceeds its recoverable amount. </w:t>
      </w:r>
    </w:p>
    <w:p w14:paraId="204FB7DC"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b/>
          <w:lang w:val="en-US"/>
        </w:rPr>
        <w:t xml:space="preserve">The recoverable </w:t>
      </w:r>
      <w:r w:rsidRPr="007D770B">
        <w:rPr>
          <w:rFonts w:ascii="Times New Roman" w:hAnsi="Times New Roman"/>
          <w:lang w:val="en-US"/>
        </w:rPr>
        <w:t xml:space="preserve">amount of an asset or cash-generating unit is the higher of its fair value less costs to sell or its value in use. </w:t>
      </w:r>
    </w:p>
    <w:p w14:paraId="2D4D341C"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b/>
          <w:lang w:val="en-US"/>
        </w:rPr>
        <w:t xml:space="preserve">The value in use of an asset </w:t>
      </w:r>
      <w:r w:rsidRPr="007D770B">
        <w:rPr>
          <w:rFonts w:ascii="Times New Roman" w:hAnsi="Times New Roman"/>
          <w:lang w:val="en-US"/>
        </w:rPr>
        <w:t>is the present value of the future cash flows expected to be derived from the asset or cash-generating unit.</w:t>
      </w:r>
    </w:p>
    <w:p w14:paraId="05D4F110" w14:textId="77777777" w:rsidR="009E2B77" w:rsidRPr="002D4EA3" w:rsidRDefault="009E2B77" w:rsidP="00F96B17">
      <w:pPr>
        <w:autoSpaceDE w:val="0"/>
        <w:autoSpaceDN w:val="0"/>
        <w:adjustRightInd w:val="0"/>
        <w:spacing w:before="240" w:line="240" w:lineRule="auto"/>
        <w:ind w:left="0"/>
        <w:rPr>
          <w:rFonts w:ascii="Times New Roman" w:hAnsi="Times New Roman"/>
        </w:rPr>
      </w:pPr>
      <w:r w:rsidRPr="002D4EA3">
        <w:rPr>
          <w:rFonts w:ascii="Times New Roman" w:hAnsi="Times New Roman"/>
          <w:b/>
        </w:rPr>
        <w:t xml:space="preserve">Useful life </w:t>
      </w:r>
      <w:r w:rsidRPr="002D4EA3">
        <w:rPr>
          <w:rFonts w:ascii="Times New Roman" w:hAnsi="Times New Roman"/>
        </w:rPr>
        <w:t xml:space="preserve">is either: </w:t>
      </w:r>
    </w:p>
    <w:p w14:paraId="5530B2F3" w14:textId="77777777" w:rsidR="009E2B77" w:rsidRPr="007D770B" w:rsidRDefault="009E2B77" w:rsidP="00AE698A">
      <w:pPr>
        <w:numPr>
          <w:ilvl w:val="0"/>
          <w:numId w:val="74"/>
        </w:numPr>
        <w:tabs>
          <w:tab w:val="left" w:pos="360"/>
        </w:tabs>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 xml:space="preserve">The period of time over which the entity expects to use the asset; or </w:t>
      </w:r>
    </w:p>
    <w:p w14:paraId="484E00B3" w14:textId="77777777" w:rsidR="009E2B77" w:rsidRPr="007D770B" w:rsidRDefault="009E2B77" w:rsidP="00AE698A">
      <w:pPr>
        <w:numPr>
          <w:ilvl w:val="0"/>
          <w:numId w:val="74"/>
        </w:numPr>
        <w:tabs>
          <w:tab w:val="left" w:pos="360"/>
        </w:tabs>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The number of units of production or similar units that the entity expects to obtain from the use of the asset.</w:t>
      </w:r>
    </w:p>
    <w:p w14:paraId="4451EDD1" w14:textId="77777777" w:rsidR="003E2D56" w:rsidRPr="007D770B" w:rsidRDefault="003E2D56" w:rsidP="003E2D56">
      <w:pPr>
        <w:tabs>
          <w:tab w:val="left" w:pos="360"/>
        </w:tabs>
        <w:autoSpaceDE w:val="0"/>
        <w:autoSpaceDN w:val="0"/>
        <w:adjustRightInd w:val="0"/>
        <w:spacing w:before="240" w:line="240" w:lineRule="auto"/>
        <w:ind w:left="720"/>
        <w:rPr>
          <w:rFonts w:ascii="Times New Roman" w:hAnsi="Times New Roman"/>
          <w:lang w:val="en-US"/>
        </w:rPr>
      </w:pPr>
    </w:p>
    <w:p w14:paraId="36693D50" w14:textId="6BFFAD92" w:rsidR="009E2B77" w:rsidRPr="007D770B" w:rsidRDefault="00F95C14" w:rsidP="00E61D21">
      <w:pPr>
        <w:pStyle w:val="3"/>
        <w:rPr>
          <w:lang w:val="en-US"/>
        </w:rPr>
      </w:pPr>
      <w:bookmarkStart w:id="283" w:name="_Toc255041561"/>
      <w:bookmarkStart w:id="284" w:name="_Toc168502084"/>
      <w:r w:rsidRPr="007D770B">
        <w:rPr>
          <w:lang w:val="en-US"/>
        </w:rPr>
        <w:t>11</w:t>
      </w:r>
      <w:r w:rsidR="009E2B77" w:rsidRPr="007D770B">
        <w:rPr>
          <w:lang w:val="en-US"/>
        </w:rPr>
        <w:t>.3 Accounting policies</w:t>
      </w:r>
      <w:bookmarkEnd w:id="283"/>
      <w:bookmarkEnd w:id="284"/>
    </w:p>
    <w:p w14:paraId="7E62048B" w14:textId="77777777" w:rsidR="009E2B77" w:rsidRPr="007D770B" w:rsidRDefault="009E2B77" w:rsidP="00F96B17">
      <w:pPr>
        <w:autoSpaceDE w:val="0"/>
        <w:autoSpaceDN w:val="0"/>
        <w:adjustRightInd w:val="0"/>
        <w:spacing w:before="240" w:line="240" w:lineRule="auto"/>
        <w:ind w:left="0"/>
        <w:rPr>
          <w:rFonts w:ascii="Times New Roman" w:hAnsi="Times New Roman"/>
          <w:b/>
          <w:lang w:val="en-US"/>
        </w:rPr>
      </w:pPr>
      <w:r w:rsidRPr="007D770B">
        <w:rPr>
          <w:rFonts w:ascii="Times New Roman" w:hAnsi="Times New Roman"/>
          <w:b/>
          <w:lang w:val="en-US"/>
        </w:rPr>
        <w:t>Impairment of financial assets</w:t>
      </w:r>
    </w:p>
    <w:p w14:paraId="11554A93" w14:textId="372B6311" w:rsidR="009E2B77" w:rsidRPr="007D770B" w:rsidRDefault="009E2B77" w:rsidP="00F96B17">
      <w:pPr>
        <w:autoSpaceDE w:val="0"/>
        <w:autoSpaceDN w:val="0"/>
        <w:adjustRightInd w:val="0"/>
        <w:spacing w:before="240" w:line="240" w:lineRule="auto"/>
        <w:ind w:left="0"/>
        <w:rPr>
          <w:rFonts w:ascii="Times New Roman" w:hAnsi="Times New Roman"/>
          <w:bCs/>
          <w:lang w:val="en-US"/>
        </w:rPr>
      </w:pPr>
      <w:r w:rsidRPr="007D770B">
        <w:rPr>
          <w:rFonts w:ascii="Times New Roman" w:hAnsi="Times New Roman"/>
          <w:bCs/>
          <w:lang w:val="en-US"/>
        </w:rPr>
        <w:t xml:space="preserve">Impairment of financial assets is given in section 3 </w:t>
      </w:r>
      <w:r w:rsidR="00802136" w:rsidRPr="007D770B">
        <w:rPr>
          <w:rFonts w:ascii="Times New Roman" w:hAnsi="Times New Roman"/>
          <w:bCs/>
          <w:lang w:val="en-US"/>
        </w:rPr>
        <w:t>"</w:t>
      </w:r>
      <w:r w:rsidRPr="007D770B">
        <w:rPr>
          <w:rFonts w:ascii="Times New Roman" w:hAnsi="Times New Roman"/>
          <w:bCs/>
          <w:lang w:val="en-US"/>
        </w:rPr>
        <w:t xml:space="preserve">Financial assets and liabilities (IAS 32, IFRS </w:t>
      </w:r>
      <w:r w:rsidR="00F931DC" w:rsidRPr="007D770B">
        <w:rPr>
          <w:rFonts w:ascii="Times New Roman" w:hAnsi="Times New Roman"/>
          <w:bCs/>
          <w:lang w:val="en-US"/>
        </w:rPr>
        <w:t>9</w:t>
      </w:r>
      <w:r w:rsidRPr="007D770B">
        <w:rPr>
          <w:rFonts w:ascii="Times New Roman" w:hAnsi="Times New Roman"/>
          <w:bCs/>
          <w:lang w:val="en-US"/>
        </w:rPr>
        <w:t>, IFRS 7)</w:t>
      </w:r>
      <w:r w:rsidR="00802136" w:rsidRPr="007D770B">
        <w:rPr>
          <w:rFonts w:ascii="Times New Roman" w:hAnsi="Times New Roman"/>
          <w:bCs/>
          <w:lang w:val="en-US"/>
        </w:rPr>
        <w:t xml:space="preserve">" of </w:t>
      </w:r>
      <w:r w:rsidRPr="007D770B">
        <w:rPr>
          <w:rFonts w:ascii="Times New Roman" w:hAnsi="Times New Roman"/>
          <w:bCs/>
          <w:lang w:val="en-US"/>
        </w:rPr>
        <w:t>chapter 2.</w:t>
      </w:r>
    </w:p>
    <w:p w14:paraId="101AA978" w14:textId="77777777" w:rsidR="009E2B77" w:rsidRPr="007D770B" w:rsidRDefault="009E2B77" w:rsidP="00F96B17">
      <w:pPr>
        <w:autoSpaceDE w:val="0"/>
        <w:autoSpaceDN w:val="0"/>
        <w:adjustRightInd w:val="0"/>
        <w:spacing w:before="240" w:line="240" w:lineRule="auto"/>
        <w:ind w:left="0"/>
        <w:rPr>
          <w:rFonts w:ascii="Times New Roman" w:hAnsi="Times New Roman"/>
          <w:b/>
          <w:bCs/>
          <w:lang w:val="en-US"/>
        </w:rPr>
      </w:pPr>
      <w:r w:rsidRPr="007D770B">
        <w:rPr>
          <w:rFonts w:ascii="Times New Roman" w:hAnsi="Times New Roman"/>
          <w:b/>
          <w:bCs/>
          <w:lang w:val="en-US"/>
        </w:rPr>
        <w:lastRenderedPageBreak/>
        <w:t>Impairment of advances</w:t>
      </w:r>
    </w:p>
    <w:p w14:paraId="69E41FAE" w14:textId="77777777" w:rsidR="009E2B77" w:rsidRPr="007D770B" w:rsidRDefault="009E2B77" w:rsidP="00F96B17">
      <w:pPr>
        <w:autoSpaceDE w:val="0"/>
        <w:autoSpaceDN w:val="0"/>
        <w:adjustRightInd w:val="0"/>
        <w:spacing w:before="240" w:line="240" w:lineRule="auto"/>
        <w:ind w:left="0"/>
        <w:rPr>
          <w:rFonts w:ascii="Times New Roman" w:hAnsi="Times New Roman"/>
          <w:bCs/>
          <w:lang w:val="en-US"/>
        </w:rPr>
      </w:pPr>
      <w:r w:rsidRPr="007D770B">
        <w:rPr>
          <w:rFonts w:ascii="Times New Roman" w:hAnsi="Times New Roman"/>
          <w:bCs/>
          <w:lang w:val="en-US"/>
        </w:rPr>
        <w:t>Advances are recognized in the financial statements at historical cost. The following events may serve as indicators of impairment of advances:</w:t>
      </w:r>
    </w:p>
    <w:p w14:paraId="6FA0542A" w14:textId="77777777" w:rsidR="009E2B77" w:rsidRPr="007D770B" w:rsidRDefault="009E2B77" w:rsidP="00AE698A">
      <w:pPr>
        <w:numPr>
          <w:ilvl w:val="0"/>
          <w:numId w:val="75"/>
        </w:numPr>
        <w:autoSpaceDE w:val="0"/>
        <w:autoSpaceDN w:val="0"/>
        <w:adjustRightInd w:val="0"/>
        <w:spacing w:before="240" w:line="240" w:lineRule="auto"/>
        <w:rPr>
          <w:rFonts w:ascii="Times New Roman" w:hAnsi="Times New Roman"/>
          <w:bCs/>
          <w:lang w:val="en-US"/>
        </w:rPr>
      </w:pPr>
      <w:r w:rsidRPr="007D770B">
        <w:rPr>
          <w:rFonts w:ascii="Times New Roman" w:hAnsi="Times New Roman"/>
          <w:bCs/>
          <w:lang w:val="en-US"/>
        </w:rPr>
        <w:t>Significant financial difficulties of the counterparty</w:t>
      </w:r>
    </w:p>
    <w:p w14:paraId="74C9B60E" w14:textId="77777777" w:rsidR="009E2B77" w:rsidRPr="007D770B" w:rsidRDefault="009E2B77" w:rsidP="00AE698A">
      <w:pPr>
        <w:numPr>
          <w:ilvl w:val="0"/>
          <w:numId w:val="75"/>
        </w:numPr>
        <w:autoSpaceDE w:val="0"/>
        <w:autoSpaceDN w:val="0"/>
        <w:adjustRightInd w:val="0"/>
        <w:spacing w:before="240" w:line="240" w:lineRule="auto"/>
        <w:rPr>
          <w:rFonts w:ascii="Times New Roman" w:hAnsi="Times New Roman"/>
          <w:bCs/>
          <w:lang w:val="en-US"/>
        </w:rPr>
      </w:pPr>
      <w:r w:rsidRPr="007D770B">
        <w:rPr>
          <w:rFonts w:ascii="Times New Roman" w:hAnsi="Times New Roman"/>
          <w:bCs/>
          <w:lang w:val="en-US"/>
        </w:rPr>
        <w:t>Breach of contract by the counterparty, e.g. breach of delivery deadlines</w:t>
      </w:r>
    </w:p>
    <w:p w14:paraId="795A3F61" w14:textId="77777777" w:rsidR="009E2B77" w:rsidRPr="007D770B" w:rsidRDefault="009E2B77" w:rsidP="00AE698A">
      <w:pPr>
        <w:numPr>
          <w:ilvl w:val="0"/>
          <w:numId w:val="75"/>
        </w:numPr>
        <w:autoSpaceDE w:val="0"/>
        <w:autoSpaceDN w:val="0"/>
        <w:adjustRightInd w:val="0"/>
        <w:spacing w:before="240" w:line="240" w:lineRule="auto"/>
        <w:rPr>
          <w:rFonts w:ascii="Times New Roman" w:hAnsi="Times New Roman"/>
          <w:bCs/>
          <w:lang w:val="en-US"/>
        </w:rPr>
      </w:pPr>
      <w:r w:rsidRPr="007D770B">
        <w:rPr>
          <w:rFonts w:ascii="Times New Roman" w:hAnsi="Times New Roman"/>
          <w:bCs/>
          <w:lang w:val="en-US"/>
        </w:rPr>
        <w:t>Possibility of bankruptcy or other financial reorganization of the counterparty</w:t>
      </w:r>
    </w:p>
    <w:p w14:paraId="163E55AA" w14:textId="77777777" w:rsidR="009E2B77" w:rsidRPr="007D770B" w:rsidRDefault="009E2B77" w:rsidP="00AE698A">
      <w:pPr>
        <w:numPr>
          <w:ilvl w:val="0"/>
          <w:numId w:val="75"/>
        </w:numPr>
        <w:autoSpaceDE w:val="0"/>
        <w:autoSpaceDN w:val="0"/>
        <w:adjustRightInd w:val="0"/>
        <w:spacing w:before="240" w:line="240" w:lineRule="auto"/>
        <w:rPr>
          <w:rFonts w:ascii="Times New Roman" w:hAnsi="Times New Roman"/>
          <w:bCs/>
          <w:lang w:val="en-US"/>
        </w:rPr>
      </w:pPr>
      <w:r w:rsidRPr="007D770B">
        <w:rPr>
          <w:rFonts w:ascii="Times New Roman" w:hAnsi="Times New Roman"/>
          <w:bCs/>
          <w:lang w:val="en-US"/>
        </w:rPr>
        <w:t>National or local economic conditions that correlate with the inability of the counterparty to fulfill the obligation (e.g., negative changes in the industry).</w:t>
      </w:r>
    </w:p>
    <w:p w14:paraId="7069241C" w14:textId="77777777" w:rsidR="009E2B77" w:rsidRPr="007D770B" w:rsidRDefault="009E2B77" w:rsidP="00F96B17">
      <w:pPr>
        <w:autoSpaceDE w:val="0"/>
        <w:autoSpaceDN w:val="0"/>
        <w:adjustRightInd w:val="0"/>
        <w:spacing w:before="240" w:line="240" w:lineRule="auto"/>
        <w:ind w:left="0"/>
        <w:rPr>
          <w:rFonts w:ascii="Times New Roman" w:hAnsi="Times New Roman"/>
          <w:bCs/>
          <w:lang w:val="en-US"/>
        </w:rPr>
      </w:pPr>
      <w:r w:rsidRPr="007D770B">
        <w:rPr>
          <w:rFonts w:ascii="Times New Roman" w:hAnsi="Times New Roman"/>
          <w:bCs/>
          <w:lang w:val="en-US"/>
        </w:rPr>
        <w:t>When there is an indication that advances may be impaired, it is necessary to assess whether it is more likely than not that the assets, goods or services related to the advances will not be received.  An event is considered probable if it is more likely than not to occur, i.e. it is more likely than not that the event will occur.</w:t>
      </w:r>
    </w:p>
    <w:p w14:paraId="0C9B3FB6" w14:textId="77777777" w:rsidR="009E2B77" w:rsidRPr="007D770B" w:rsidRDefault="009E2B77" w:rsidP="00F96B17">
      <w:pPr>
        <w:autoSpaceDE w:val="0"/>
        <w:autoSpaceDN w:val="0"/>
        <w:adjustRightInd w:val="0"/>
        <w:spacing w:before="240" w:line="240" w:lineRule="auto"/>
        <w:ind w:left="0"/>
        <w:rPr>
          <w:rFonts w:ascii="Times New Roman" w:hAnsi="Times New Roman"/>
          <w:bCs/>
          <w:lang w:val="en-US"/>
        </w:rPr>
      </w:pPr>
      <w:r w:rsidRPr="007D770B">
        <w:rPr>
          <w:rFonts w:ascii="Times New Roman" w:hAnsi="Times New Roman"/>
          <w:bCs/>
          <w:lang w:val="en-US"/>
        </w:rPr>
        <w:t>If it is probable that the assets, goods or services relating to an advance will not be received, the carrying amount of the advance must be written down to the extent that collection is no longer probable and a corresponding impairment loss recognized in profit or loss for the year.</w:t>
      </w:r>
    </w:p>
    <w:p w14:paraId="3AE7CE35" w14:textId="77777777" w:rsidR="009E2B77" w:rsidRPr="007D770B" w:rsidRDefault="009E2B77" w:rsidP="009E20FB">
      <w:pPr>
        <w:keepNext/>
        <w:autoSpaceDE w:val="0"/>
        <w:autoSpaceDN w:val="0"/>
        <w:adjustRightInd w:val="0"/>
        <w:spacing w:before="240" w:line="240" w:lineRule="auto"/>
        <w:ind w:left="0"/>
        <w:rPr>
          <w:rFonts w:ascii="Times New Roman" w:hAnsi="Times New Roman"/>
          <w:b/>
          <w:lang w:val="en-US"/>
        </w:rPr>
      </w:pPr>
      <w:r w:rsidRPr="007D770B">
        <w:rPr>
          <w:rFonts w:ascii="Times New Roman" w:hAnsi="Times New Roman"/>
          <w:b/>
          <w:bCs/>
          <w:lang w:val="en-US"/>
        </w:rPr>
        <w:t>Indicators of possible impairment of non-financial assets</w:t>
      </w:r>
    </w:p>
    <w:p w14:paraId="69DE9DB8"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 xml:space="preserve">The </w:t>
      </w:r>
      <w:r w:rsidR="00F9744B" w:rsidRPr="007D770B">
        <w:rPr>
          <w:rFonts w:ascii="Times New Roman" w:hAnsi="Times New Roman"/>
          <w:lang w:val="en-US"/>
        </w:rPr>
        <w:t xml:space="preserve">Bank </w:t>
      </w:r>
      <w:r w:rsidRPr="007D770B">
        <w:rPr>
          <w:rFonts w:ascii="Times New Roman" w:hAnsi="Times New Roman"/>
          <w:lang w:val="en-US"/>
        </w:rPr>
        <w:t xml:space="preserve">assesses at each reporting date whether there is any indication that an asset may be impaired. If any indication exists that an asset may be impaired, the </w:t>
      </w:r>
      <w:r w:rsidR="00F9744B" w:rsidRPr="007D770B">
        <w:rPr>
          <w:rFonts w:ascii="Times New Roman" w:hAnsi="Times New Roman"/>
          <w:lang w:val="en-US"/>
        </w:rPr>
        <w:t xml:space="preserve">Bank </w:t>
      </w:r>
      <w:r w:rsidRPr="007D770B">
        <w:rPr>
          <w:rFonts w:ascii="Times New Roman" w:hAnsi="Times New Roman"/>
          <w:lang w:val="en-US"/>
        </w:rPr>
        <w:t>estimates the asset's recoverable amount. If there is no indication of impairment, there is no need to make a formal estimate of the asset's recoverable amount.</w:t>
      </w:r>
    </w:p>
    <w:p w14:paraId="1C558D36"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 xml:space="preserve">Regardless of the existence of indications, the </w:t>
      </w:r>
      <w:r w:rsidR="00F9744B" w:rsidRPr="007D770B">
        <w:rPr>
          <w:rFonts w:ascii="Times New Roman" w:hAnsi="Times New Roman"/>
          <w:lang w:val="en-US"/>
        </w:rPr>
        <w:t xml:space="preserve">Bank </w:t>
      </w:r>
      <w:r w:rsidRPr="007D770B">
        <w:rPr>
          <w:rFonts w:ascii="Times New Roman" w:hAnsi="Times New Roman"/>
          <w:lang w:val="en-US"/>
        </w:rPr>
        <w:t>annually calculates the recoverable amount for:</w:t>
      </w:r>
    </w:p>
    <w:p w14:paraId="191723A4" w14:textId="77777777" w:rsidR="009E2B77" w:rsidRPr="007D770B" w:rsidRDefault="009E2B77" w:rsidP="00AE698A">
      <w:pPr>
        <w:numPr>
          <w:ilvl w:val="0"/>
          <w:numId w:val="76"/>
        </w:numPr>
        <w:tabs>
          <w:tab w:val="left" w:pos="378"/>
        </w:tabs>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intangible assets with indefinite useful lives;</w:t>
      </w:r>
    </w:p>
    <w:p w14:paraId="27BF07F2" w14:textId="77777777" w:rsidR="009E2B77" w:rsidRPr="007D770B" w:rsidRDefault="009E2B77" w:rsidP="00AE698A">
      <w:pPr>
        <w:numPr>
          <w:ilvl w:val="0"/>
          <w:numId w:val="76"/>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intangible assets not put into operation (capital investments in intangible assets)</w:t>
      </w:r>
      <w:r w:rsidR="009B5A5C" w:rsidRPr="007D770B">
        <w:rPr>
          <w:rFonts w:ascii="Times New Roman" w:hAnsi="Times New Roman"/>
          <w:lang w:val="en-US"/>
        </w:rPr>
        <w:t>.</w:t>
      </w:r>
    </w:p>
    <w:p w14:paraId="66A09FAF"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 xml:space="preserve">The </w:t>
      </w:r>
      <w:r w:rsidR="00F9744B" w:rsidRPr="007D770B">
        <w:rPr>
          <w:rFonts w:ascii="Times New Roman" w:hAnsi="Times New Roman"/>
          <w:lang w:val="en-US"/>
        </w:rPr>
        <w:t xml:space="preserve">Bank </w:t>
      </w:r>
      <w:r w:rsidRPr="007D770B">
        <w:rPr>
          <w:rFonts w:ascii="Times New Roman" w:hAnsi="Times New Roman"/>
          <w:lang w:val="en-US"/>
        </w:rPr>
        <w:t>considers the following attributes, both internal and external.</w:t>
      </w:r>
    </w:p>
    <w:p w14:paraId="3B1AF56F" w14:textId="77777777" w:rsidR="009E2B77" w:rsidRPr="002D4EA3" w:rsidRDefault="009E2B77" w:rsidP="00F96B17">
      <w:pPr>
        <w:autoSpaceDE w:val="0"/>
        <w:autoSpaceDN w:val="0"/>
        <w:adjustRightInd w:val="0"/>
        <w:spacing w:before="240" w:line="240" w:lineRule="auto"/>
        <w:ind w:left="0"/>
        <w:rPr>
          <w:rFonts w:ascii="Times New Roman" w:hAnsi="Times New Roman"/>
          <w:i/>
        </w:rPr>
      </w:pPr>
      <w:r w:rsidRPr="002D4EA3">
        <w:rPr>
          <w:rFonts w:ascii="Times New Roman" w:hAnsi="Times New Roman"/>
          <w:i/>
        </w:rPr>
        <w:t xml:space="preserve">External sources of information </w:t>
      </w:r>
    </w:p>
    <w:p w14:paraId="14467CA4" w14:textId="77777777" w:rsidR="009E2B77" w:rsidRPr="007D770B" w:rsidRDefault="009E2B77" w:rsidP="00AE698A">
      <w:pPr>
        <w:numPr>
          <w:ilvl w:val="0"/>
          <w:numId w:val="254"/>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during the period, the market value of the asset has decreased by a significantly greater amount than would be expected under the passage of time or normal use;</w:t>
      </w:r>
    </w:p>
    <w:p w14:paraId="6F2866D5" w14:textId="77777777" w:rsidR="009E2B77" w:rsidRPr="007D770B" w:rsidRDefault="009E2B77" w:rsidP="00AE698A">
      <w:pPr>
        <w:numPr>
          <w:ilvl w:val="0"/>
          <w:numId w:val="77"/>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 xml:space="preserve">significant changes that had a negative effect on the </w:t>
      </w:r>
      <w:r w:rsidR="00F9744B" w:rsidRPr="007D770B">
        <w:rPr>
          <w:rFonts w:ascii="Times New Roman" w:hAnsi="Times New Roman"/>
          <w:lang w:val="en-US"/>
        </w:rPr>
        <w:t xml:space="preserve">Bank </w:t>
      </w:r>
      <w:r w:rsidRPr="007D770B">
        <w:rPr>
          <w:rFonts w:ascii="Times New Roman" w:hAnsi="Times New Roman"/>
          <w:lang w:val="en-US"/>
        </w:rPr>
        <w:t xml:space="preserve">occurred during the period or are expected to occur in the near future in the market, economic or legal environment in which the </w:t>
      </w:r>
      <w:r w:rsidR="009B5A5C" w:rsidRPr="007D770B">
        <w:rPr>
          <w:rFonts w:ascii="Times New Roman" w:hAnsi="Times New Roman"/>
          <w:lang w:val="en-US"/>
        </w:rPr>
        <w:t xml:space="preserve">Bank </w:t>
      </w:r>
      <w:r w:rsidRPr="007D770B">
        <w:rPr>
          <w:rFonts w:ascii="Times New Roman" w:hAnsi="Times New Roman"/>
          <w:lang w:val="en-US"/>
        </w:rPr>
        <w:t>operates or in the market for which the asset is intended;</w:t>
      </w:r>
    </w:p>
    <w:p w14:paraId="7BFDEF9D" w14:textId="5120439A" w:rsidR="009E2B77" w:rsidRPr="007D770B" w:rsidRDefault="009E2B77" w:rsidP="00AE698A">
      <w:pPr>
        <w:numPr>
          <w:ilvl w:val="0"/>
          <w:numId w:val="77"/>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 xml:space="preserve">market interest rates or other market-based measures of investment returns have increased during the period and these increases are likely to affect the discount rate used in calculating </w:t>
      </w:r>
      <w:r w:rsidR="00D25E89" w:rsidRPr="007D770B">
        <w:rPr>
          <w:rFonts w:ascii="Times New Roman" w:hAnsi="Times New Roman"/>
          <w:lang w:val="en-US"/>
        </w:rPr>
        <w:t xml:space="preserve">the asset's value in </w:t>
      </w:r>
      <w:r w:rsidRPr="007D770B">
        <w:rPr>
          <w:rFonts w:ascii="Times New Roman" w:hAnsi="Times New Roman"/>
          <w:lang w:val="en-US"/>
        </w:rPr>
        <w:t>use and significantly reduce its recoverable amount;</w:t>
      </w:r>
    </w:p>
    <w:p w14:paraId="57DE4C26" w14:textId="6D30F30B" w:rsidR="009E2B77" w:rsidRPr="007D770B" w:rsidRDefault="009E2B77" w:rsidP="00AE698A">
      <w:pPr>
        <w:numPr>
          <w:ilvl w:val="0"/>
          <w:numId w:val="77"/>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 xml:space="preserve">the book value of the </w:t>
      </w:r>
      <w:r w:rsidR="00F9744B" w:rsidRPr="007D770B">
        <w:rPr>
          <w:rFonts w:ascii="Times New Roman" w:hAnsi="Times New Roman"/>
          <w:lang w:val="en-US"/>
        </w:rPr>
        <w:t xml:space="preserve">Bank's </w:t>
      </w:r>
      <w:r w:rsidR="00D25E89" w:rsidRPr="007D770B">
        <w:rPr>
          <w:rFonts w:ascii="Times New Roman" w:hAnsi="Times New Roman"/>
          <w:lang w:val="en-US"/>
        </w:rPr>
        <w:t xml:space="preserve">net assets </w:t>
      </w:r>
      <w:r w:rsidRPr="007D770B">
        <w:rPr>
          <w:rFonts w:ascii="Times New Roman" w:hAnsi="Times New Roman"/>
          <w:lang w:val="en-US"/>
        </w:rPr>
        <w:t xml:space="preserve">exceeds its market capitalization. </w:t>
      </w:r>
    </w:p>
    <w:p w14:paraId="061C4039" w14:textId="77777777" w:rsidR="009E2B77" w:rsidRPr="002D4EA3" w:rsidRDefault="009E2B77" w:rsidP="00F96B17">
      <w:pPr>
        <w:autoSpaceDE w:val="0"/>
        <w:autoSpaceDN w:val="0"/>
        <w:adjustRightInd w:val="0"/>
        <w:spacing w:before="240" w:line="240" w:lineRule="auto"/>
        <w:ind w:left="0"/>
        <w:rPr>
          <w:rFonts w:ascii="Times New Roman" w:hAnsi="Times New Roman"/>
          <w:i/>
        </w:rPr>
      </w:pPr>
      <w:r w:rsidRPr="002D4EA3">
        <w:rPr>
          <w:rFonts w:ascii="Times New Roman" w:hAnsi="Times New Roman"/>
          <w:i/>
        </w:rPr>
        <w:t xml:space="preserve">Internal sources of information </w:t>
      </w:r>
    </w:p>
    <w:p w14:paraId="04D88C33" w14:textId="77777777" w:rsidR="009E2B77" w:rsidRPr="007D770B" w:rsidRDefault="009E2B77" w:rsidP="00AE698A">
      <w:pPr>
        <w:numPr>
          <w:ilvl w:val="0"/>
          <w:numId w:val="78"/>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there is evidence of obsolescence or physical damage to the asset;</w:t>
      </w:r>
    </w:p>
    <w:p w14:paraId="02872A91" w14:textId="1AB201AA" w:rsidR="009E2B77" w:rsidRPr="007D770B" w:rsidRDefault="009E2B77" w:rsidP="00AE698A">
      <w:pPr>
        <w:numPr>
          <w:ilvl w:val="0"/>
          <w:numId w:val="78"/>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 xml:space="preserve">significant changes that adversely affect the </w:t>
      </w:r>
      <w:r w:rsidR="00F9744B" w:rsidRPr="007D770B">
        <w:rPr>
          <w:rFonts w:ascii="Times New Roman" w:hAnsi="Times New Roman"/>
          <w:lang w:val="en-US"/>
        </w:rPr>
        <w:t xml:space="preserve">Bank </w:t>
      </w:r>
      <w:r w:rsidRPr="007D770B">
        <w:rPr>
          <w:rFonts w:ascii="Times New Roman" w:hAnsi="Times New Roman"/>
          <w:lang w:val="en-US"/>
        </w:rPr>
        <w:t xml:space="preserve">occurred during the period or are expected to occur in the near future in the degree or manner of the </w:t>
      </w:r>
      <w:r w:rsidR="00D25E89" w:rsidRPr="007D770B">
        <w:rPr>
          <w:rFonts w:ascii="Times New Roman" w:hAnsi="Times New Roman"/>
          <w:lang w:val="en-US"/>
        </w:rPr>
        <w:t xml:space="preserve">current </w:t>
      </w:r>
      <w:r w:rsidRPr="007D770B">
        <w:rPr>
          <w:rFonts w:ascii="Times New Roman" w:hAnsi="Times New Roman"/>
          <w:lang w:val="en-US"/>
        </w:rPr>
        <w:t>or proposed use of the asset. Such changes include: downtime of the asset, plans to discontinue or restructure the business in which the asset is used, plans to dispose of the asset before the previously anticipated date of disposal, and reassessment of the useful life of the asset from finite to indefinite;</w:t>
      </w:r>
    </w:p>
    <w:p w14:paraId="1678AC55" w14:textId="77777777" w:rsidR="009E2B77" w:rsidRPr="007D770B" w:rsidRDefault="009E2B77" w:rsidP="00AE698A">
      <w:pPr>
        <w:numPr>
          <w:ilvl w:val="0"/>
          <w:numId w:val="78"/>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internal reporting indicates that the current or future performance of the asset is worse than expected;</w:t>
      </w:r>
    </w:p>
    <w:p w14:paraId="2E780070" w14:textId="77777777" w:rsidR="009E2B77" w:rsidRPr="007D770B" w:rsidRDefault="009E2B77" w:rsidP="00AE698A">
      <w:pPr>
        <w:numPr>
          <w:ilvl w:val="0"/>
          <w:numId w:val="78"/>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lastRenderedPageBreak/>
        <w:t>other indications that the value of the asset may be impaired: the cash required to acquire the asset or to operate and maintain it is significantly higher than previously budgeted; net cash flows are significantly lower than budgeted; and net cash outflows are projected over the useful life of the asset.</w:t>
      </w:r>
    </w:p>
    <w:p w14:paraId="4CB5A513" w14:textId="77777777" w:rsidR="009E2B77" w:rsidRPr="002D4EA3" w:rsidRDefault="009E2B77" w:rsidP="00F96B17">
      <w:pPr>
        <w:autoSpaceDE w:val="0"/>
        <w:autoSpaceDN w:val="0"/>
        <w:adjustRightInd w:val="0"/>
        <w:spacing w:before="240" w:line="240" w:lineRule="auto"/>
        <w:ind w:left="0"/>
        <w:rPr>
          <w:rFonts w:ascii="Times New Roman" w:hAnsi="Times New Roman"/>
        </w:rPr>
      </w:pPr>
      <w:r w:rsidRPr="007D770B">
        <w:rPr>
          <w:rFonts w:ascii="Times New Roman" w:hAnsi="Times New Roman"/>
          <w:lang w:val="en-US"/>
        </w:rPr>
        <w:t xml:space="preserve">The materiality principle is applied in assessing indications of possible impairment. </w:t>
      </w:r>
      <w:r w:rsidRPr="002D4EA3">
        <w:rPr>
          <w:rFonts w:ascii="Times New Roman" w:hAnsi="Times New Roman"/>
        </w:rPr>
        <w:t>No estimate of recoverable amount is made:</w:t>
      </w:r>
    </w:p>
    <w:p w14:paraId="6F8AA251" w14:textId="77777777" w:rsidR="009E2B77" w:rsidRPr="007D770B" w:rsidRDefault="009E2B77" w:rsidP="00AE698A">
      <w:pPr>
        <w:numPr>
          <w:ilvl w:val="0"/>
          <w:numId w:val="255"/>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if the analysis indicates that the asset's recoverable amount is insensitive to one (or more) of the indicators that the asset may be impaired;</w:t>
      </w:r>
    </w:p>
    <w:p w14:paraId="3481E427" w14:textId="77777777" w:rsidR="009E2B77" w:rsidRPr="007D770B" w:rsidRDefault="009E2B77" w:rsidP="00AE698A">
      <w:pPr>
        <w:numPr>
          <w:ilvl w:val="0"/>
          <w:numId w:val="255"/>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if changes in market interest rates have not materially affected the discount rate or the recoverable amount (for example, an increase in cash inflows offset an increase in the interest rate);</w:t>
      </w:r>
    </w:p>
    <w:p w14:paraId="761A8734" w14:textId="77777777" w:rsidR="009E2B77" w:rsidRPr="007D770B" w:rsidRDefault="009E2B77" w:rsidP="00AE698A">
      <w:pPr>
        <w:numPr>
          <w:ilvl w:val="0"/>
          <w:numId w:val="255"/>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if previous calculations indicate that the recoverable amount of an asset is significantly greater than its carrying amount, provided that no event has occurred that would eliminate the difference;</w:t>
      </w:r>
    </w:p>
    <w:p w14:paraId="72C1CA54" w14:textId="77777777" w:rsidR="009E2B77" w:rsidRPr="007D770B" w:rsidRDefault="009E2B77" w:rsidP="00AE698A">
      <w:pPr>
        <w:numPr>
          <w:ilvl w:val="0"/>
          <w:numId w:val="255"/>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when the cost of an asset is reduced as a result of a revised useful life, a change in the depreciation method, or a reduction in the residual value of the asset.</w:t>
      </w:r>
    </w:p>
    <w:p w14:paraId="0F7BDCD9" w14:textId="77777777" w:rsidR="009E2B77" w:rsidRPr="007D770B" w:rsidRDefault="009E2B77" w:rsidP="00F96B17">
      <w:pPr>
        <w:autoSpaceDE w:val="0"/>
        <w:autoSpaceDN w:val="0"/>
        <w:adjustRightInd w:val="0"/>
        <w:spacing w:before="240" w:line="240" w:lineRule="auto"/>
        <w:ind w:left="0"/>
        <w:rPr>
          <w:rFonts w:ascii="Times New Roman" w:hAnsi="Times New Roman"/>
          <w:b/>
          <w:bCs/>
          <w:lang w:val="en-US"/>
        </w:rPr>
      </w:pPr>
      <w:r w:rsidRPr="007D770B">
        <w:rPr>
          <w:rFonts w:ascii="Times New Roman" w:hAnsi="Times New Roman"/>
          <w:b/>
          <w:bCs/>
          <w:lang w:val="en-US"/>
        </w:rPr>
        <w:t>Estimation of recoverable amount</w:t>
      </w:r>
    </w:p>
    <w:p w14:paraId="1DD42CB4"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b/>
          <w:lang w:val="en-US"/>
        </w:rPr>
        <w:t xml:space="preserve">The recoverable </w:t>
      </w:r>
      <w:r w:rsidRPr="007D770B">
        <w:rPr>
          <w:rFonts w:ascii="Times New Roman" w:hAnsi="Times New Roman"/>
          <w:lang w:val="en-US"/>
        </w:rPr>
        <w:t>amount is the higher of the fair value less costs to sell and the value in use of the asset.</w:t>
      </w:r>
    </w:p>
    <w:p w14:paraId="6FC3ADE2"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If either of these two amounts is greater than or equal to the carrying amount of the asset, the asset is not impaired and the second amount is not calculated.</w:t>
      </w:r>
    </w:p>
    <w:p w14:paraId="40F2B5A8"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 xml:space="preserve">The most accurate measure of an asset's fair value less costs to sell is the price specified in a binding sale agreement between independent parties, taking into account incremental costs that would be directly attributable to the disposal of the asset. </w:t>
      </w:r>
    </w:p>
    <w:p w14:paraId="3A2FBFEE"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If a binding sale agreement does not exist, but the asset is traded in an active market, the fair value less costs to sell equals the market price of the asset less costs of disposal. An appropriate market price for this purpose is usually the current bid price of the buyer. In the absence of a current bid price, the most recent transaction price may be used as a basis for estimating fair value less costs to sell, provided that there have been no significant changes in economic conditions between the transaction date and the date of valuation.</w:t>
      </w:r>
    </w:p>
    <w:p w14:paraId="54E2D564"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 xml:space="preserve">In the absence of a binding sale agreement or an active market for the asset, fair value less costs to sell is based on the best information available that reflects the amount that the </w:t>
      </w:r>
      <w:r w:rsidR="00F9744B" w:rsidRPr="007D770B">
        <w:rPr>
          <w:rFonts w:ascii="Times New Roman" w:hAnsi="Times New Roman"/>
          <w:lang w:val="en-US"/>
        </w:rPr>
        <w:t xml:space="preserve">Bank </w:t>
      </w:r>
      <w:r w:rsidRPr="007D770B">
        <w:rPr>
          <w:rFonts w:ascii="Times New Roman" w:hAnsi="Times New Roman"/>
          <w:lang w:val="en-US"/>
        </w:rPr>
        <w:t xml:space="preserve">could realize at the end of the reporting period from the disposal of the asset in an arm's length transaction between knowledgeable, willing parties after deducting the costs of disposal. In determining this amount, the </w:t>
      </w:r>
      <w:r w:rsidR="00F9744B" w:rsidRPr="007D770B">
        <w:rPr>
          <w:rFonts w:ascii="Times New Roman" w:hAnsi="Times New Roman"/>
          <w:lang w:val="en-US"/>
        </w:rPr>
        <w:t xml:space="preserve">Bank </w:t>
      </w:r>
      <w:r w:rsidRPr="007D770B">
        <w:rPr>
          <w:rFonts w:ascii="Times New Roman" w:hAnsi="Times New Roman"/>
          <w:lang w:val="en-US"/>
        </w:rPr>
        <w:t>considers the results of recent transactions involving similar assets in the same industry. Fair value less costs to sell does not reflect a forced sale unless management is forced to make an immediate sale.</w:t>
      </w:r>
    </w:p>
    <w:p w14:paraId="1D21458E"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If fair value less costs to sell cannot be determined due to the lack of a basis for a reliable estimate, its value in use is taken as its recoverable amount.</w:t>
      </w:r>
    </w:p>
    <w:p w14:paraId="357C14A5" w14:textId="77777777" w:rsidR="004B7F3E" w:rsidRPr="007D770B" w:rsidRDefault="004B7F3E" w:rsidP="00F96B17">
      <w:pPr>
        <w:autoSpaceDE w:val="0"/>
        <w:autoSpaceDN w:val="0"/>
        <w:adjustRightInd w:val="0"/>
        <w:spacing w:before="240" w:line="240" w:lineRule="auto"/>
        <w:ind w:left="0"/>
        <w:rPr>
          <w:rFonts w:ascii="Times New Roman" w:hAnsi="Times New Roman"/>
          <w:lang w:val="en-US"/>
        </w:rPr>
      </w:pPr>
    </w:p>
    <w:p w14:paraId="20762577" w14:textId="77777777" w:rsidR="009E2B77" w:rsidRPr="007D770B" w:rsidRDefault="009E2B77" w:rsidP="00F96B17">
      <w:pPr>
        <w:autoSpaceDE w:val="0"/>
        <w:autoSpaceDN w:val="0"/>
        <w:adjustRightInd w:val="0"/>
        <w:spacing w:before="240" w:line="240" w:lineRule="auto"/>
        <w:ind w:left="0"/>
        <w:rPr>
          <w:rFonts w:ascii="Times New Roman" w:hAnsi="Times New Roman"/>
          <w:b/>
          <w:lang w:val="en-US"/>
        </w:rPr>
      </w:pPr>
      <w:r w:rsidRPr="007D770B">
        <w:rPr>
          <w:rFonts w:ascii="Times New Roman" w:hAnsi="Times New Roman"/>
          <w:b/>
          <w:lang w:val="en-US"/>
        </w:rPr>
        <w:t>The calculation of operational value includes:</w:t>
      </w:r>
    </w:p>
    <w:p w14:paraId="6F8807A4" w14:textId="77777777" w:rsidR="009E2B77" w:rsidRPr="007D770B" w:rsidRDefault="009E2B77" w:rsidP="00AE698A">
      <w:pPr>
        <w:numPr>
          <w:ilvl w:val="0"/>
          <w:numId w:val="79"/>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the calculation of future cash inflows and outflows expected to arise from the continued use of the asset and from its disposal at the end of its useful life;</w:t>
      </w:r>
    </w:p>
    <w:p w14:paraId="509A0E5F" w14:textId="77777777" w:rsidR="009E2B77" w:rsidRPr="007D770B" w:rsidRDefault="009E2B77" w:rsidP="00AE698A">
      <w:pPr>
        <w:numPr>
          <w:ilvl w:val="0"/>
          <w:numId w:val="79"/>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applying an appropriate discount rate to future cash flows.</w:t>
      </w:r>
    </w:p>
    <w:p w14:paraId="41262CA7" w14:textId="77777777" w:rsidR="009E2B77" w:rsidRPr="007D770B" w:rsidRDefault="009E2B77" w:rsidP="00F96B17">
      <w:pPr>
        <w:autoSpaceDE w:val="0"/>
        <w:autoSpaceDN w:val="0"/>
        <w:adjustRightInd w:val="0"/>
        <w:spacing w:before="240" w:line="240" w:lineRule="auto"/>
        <w:ind w:left="0"/>
        <w:rPr>
          <w:rFonts w:ascii="Times New Roman" w:hAnsi="Times New Roman"/>
          <w:b/>
          <w:lang w:val="en-US"/>
        </w:rPr>
      </w:pPr>
      <w:r w:rsidRPr="007D770B">
        <w:rPr>
          <w:rFonts w:ascii="Times New Roman" w:hAnsi="Times New Roman"/>
          <w:b/>
          <w:lang w:val="en-US"/>
        </w:rPr>
        <w:t>Determination of future cash flows</w:t>
      </w:r>
    </w:p>
    <w:p w14:paraId="708BC9D9"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Cash flow projections:</w:t>
      </w:r>
    </w:p>
    <w:p w14:paraId="3DCB791A" w14:textId="77777777" w:rsidR="009E2B77" w:rsidRPr="007D770B" w:rsidRDefault="009E2B77" w:rsidP="00AE698A">
      <w:pPr>
        <w:numPr>
          <w:ilvl w:val="0"/>
          <w:numId w:val="80"/>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are based on reasonable and supportable assumptions that reflect the current condition of the asset and represent management's best estimates of the economic conditions that will exist over the remaining life of the asset;</w:t>
      </w:r>
    </w:p>
    <w:p w14:paraId="41F1AA3F" w14:textId="77777777" w:rsidR="009E2B77" w:rsidRPr="007D770B" w:rsidRDefault="009E2B77" w:rsidP="00AE698A">
      <w:pPr>
        <w:numPr>
          <w:ilvl w:val="0"/>
          <w:numId w:val="80"/>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are based on the latest available financial budgets and forecasts approved by management.</w:t>
      </w:r>
    </w:p>
    <w:p w14:paraId="6F1CF785" w14:textId="77777777" w:rsidR="009E2B77" w:rsidRPr="007D770B" w:rsidRDefault="009E2B77" w:rsidP="00F96B17">
      <w:pPr>
        <w:autoSpaceDE w:val="0"/>
        <w:autoSpaceDN w:val="0"/>
        <w:adjustRightInd w:val="0"/>
        <w:spacing w:before="240" w:line="240" w:lineRule="auto"/>
        <w:ind w:left="360" w:hanging="360"/>
        <w:rPr>
          <w:rFonts w:ascii="Times New Roman" w:hAnsi="Times New Roman"/>
          <w:lang w:val="en-US"/>
        </w:rPr>
      </w:pPr>
      <w:r w:rsidRPr="007D770B">
        <w:rPr>
          <w:rFonts w:ascii="Times New Roman" w:hAnsi="Times New Roman"/>
          <w:lang w:val="en-US"/>
        </w:rPr>
        <w:t>Future cash flows should include:</w:t>
      </w:r>
    </w:p>
    <w:p w14:paraId="455091D7" w14:textId="77777777" w:rsidR="009E2B77" w:rsidRPr="007D770B" w:rsidRDefault="009E2B77" w:rsidP="00AE698A">
      <w:pPr>
        <w:numPr>
          <w:ilvl w:val="0"/>
          <w:numId w:val="81"/>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lastRenderedPageBreak/>
        <w:t>future cash flows from the continued use of the asset;</w:t>
      </w:r>
    </w:p>
    <w:p w14:paraId="3EF7CDEE" w14:textId="77777777" w:rsidR="009E2B77" w:rsidRPr="007D770B" w:rsidRDefault="009E2B77" w:rsidP="00AE698A">
      <w:pPr>
        <w:numPr>
          <w:ilvl w:val="0"/>
          <w:numId w:val="81"/>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future cash payments required to generate cash inflows associated with the continued use of the asset;</w:t>
      </w:r>
    </w:p>
    <w:p w14:paraId="43A401B9" w14:textId="77777777" w:rsidR="009E2B77" w:rsidRPr="007D770B" w:rsidRDefault="009E2B77" w:rsidP="00AE698A">
      <w:pPr>
        <w:numPr>
          <w:ilvl w:val="0"/>
          <w:numId w:val="81"/>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the net cash flows expected to be received on disposal of the asset at the end of its useful life.</w:t>
      </w:r>
    </w:p>
    <w:p w14:paraId="05E2DD05"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Future cash flows are estimated for the asset in its present condition and should not include estimated future cash inflows and outflows expected to arise from:</w:t>
      </w:r>
    </w:p>
    <w:p w14:paraId="6B45AEE1" w14:textId="6F8F4D02" w:rsidR="009E2B77" w:rsidRPr="007D770B" w:rsidRDefault="009E2B77" w:rsidP="00AE698A">
      <w:pPr>
        <w:numPr>
          <w:ilvl w:val="0"/>
          <w:numId w:val="83"/>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future restructuring that the entity has not yet commenced or restructuring-related cost reductions and benefits (refer to section 7 Provisions, contingent assets and contingent liabilities (IAS 37) in Chapter 2 of this accounting policy);</w:t>
      </w:r>
    </w:p>
    <w:p w14:paraId="6B52D211" w14:textId="77777777" w:rsidR="009E2B77" w:rsidRPr="007D770B" w:rsidRDefault="009E2B77" w:rsidP="00AE698A">
      <w:pPr>
        <w:numPr>
          <w:ilvl w:val="0"/>
          <w:numId w:val="83"/>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future capital expenditures that will increase the productivity of the asset or the related cash inflows that will result from such expenditures;</w:t>
      </w:r>
    </w:p>
    <w:p w14:paraId="6351B868" w14:textId="77777777" w:rsidR="009E2B77" w:rsidRPr="002D4EA3" w:rsidRDefault="009E2B77" w:rsidP="00AE698A">
      <w:pPr>
        <w:numPr>
          <w:ilvl w:val="0"/>
          <w:numId w:val="82"/>
        </w:numPr>
        <w:autoSpaceDE w:val="0"/>
        <w:autoSpaceDN w:val="0"/>
        <w:adjustRightInd w:val="0"/>
        <w:spacing w:before="240" w:line="240" w:lineRule="auto"/>
        <w:rPr>
          <w:rFonts w:ascii="Times New Roman" w:hAnsi="Times New Roman"/>
        </w:rPr>
      </w:pPr>
      <w:r w:rsidRPr="002D4EA3">
        <w:rPr>
          <w:rFonts w:ascii="Times New Roman" w:hAnsi="Times New Roman"/>
        </w:rPr>
        <w:t>financial activities;</w:t>
      </w:r>
    </w:p>
    <w:p w14:paraId="511C4CB7" w14:textId="77777777" w:rsidR="009E2B77" w:rsidRPr="007D770B" w:rsidRDefault="009E2B77" w:rsidP="00AE698A">
      <w:pPr>
        <w:numPr>
          <w:ilvl w:val="0"/>
          <w:numId w:val="82"/>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receipts or payments of corporate income tax.</w:t>
      </w:r>
    </w:p>
    <w:p w14:paraId="45B7E7A4"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 xml:space="preserve">A </w:t>
      </w:r>
      <w:r w:rsidRPr="007D770B">
        <w:rPr>
          <w:rFonts w:ascii="Times New Roman" w:hAnsi="Times New Roman"/>
          <w:b/>
          <w:lang w:val="en-US"/>
        </w:rPr>
        <w:t xml:space="preserve">restructuring </w:t>
      </w:r>
      <w:r w:rsidRPr="007D770B">
        <w:rPr>
          <w:rFonts w:ascii="Times New Roman" w:hAnsi="Times New Roman"/>
          <w:lang w:val="en-US"/>
        </w:rPr>
        <w:t xml:space="preserve">is a program planned and supervised by </w:t>
      </w:r>
      <w:r w:rsidR="00F9744B" w:rsidRPr="007D770B">
        <w:rPr>
          <w:rFonts w:ascii="Times New Roman" w:hAnsi="Times New Roman"/>
          <w:lang w:val="en-US"/>
        </w:rPr>
        <w:t xml:space="preserve">the Bank's </w:t>
      </w:r>
      <w:r w:rsidRPr="007D770B">
        <w:rPr>
          <w:rFonts w:ascii="Times New Roman" w:hAnsi="Times New Roman"/>
          <w:lang w:val="en-US"/>
        </w:rPr>
        <w:t>management that significantly changes either:</w:t>
      </w:r>
    </w:p>
    <w:p w14:paraId="3B3E4C48" w14:textId="77777777" w:rsidR="009E2B77" w:rsidRPr="007D770B" w:rsidRDefault="009E2B77" w:rsidP="00AE698A">
      <w:pPr>
        <w:numPr>
          <w:ilvl w:val="0"/>
          <w:numId w:val="84"/>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 xml:space="preserve">the scale of the </w:t>
      </w:r>
      <w:r w:rsidR="00F9744B" w:rsidRPr="007D770B">
        <w:rPr>
          <w:rFonts w:ascii="Times New Roman" w:hAnsi="Times New Roman"/>
          <w:lang w:val="en-US"/>
        </w:rPr>
        <w:t xml:space="preserve">Bank's </w:t>
      </w:r>
      <w:r w:rsidRPr="007D770B">
        <w:rPr>
          <w:rFonts w:ascii="Times New Roman" w:hAnsi="Times New Roman"/>
          <w:lang w:val="en-US"/>
        </w:rPr>
        <w:t>operations; or</w:t>
      </w:r>
    </w:p>
    <w:p w14:paraId="6001277E" w14:textId="77777777" w:rsidR="009E2B77" w:rsidRPr="007D770B" w:rsidRDefault="009E2B77" w:rsidP="00AE698A">
      <w:pPr>
        <w:numPr>
          <w:ilvl w:val="0"/>
          <w:numId w:val="84"/>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the way in which these activities are conducted.</w:t>
      </w:r>
    </w:p>
    <w:p w14:paraId="2754F59A" w14:textId="77777777" w:rsidR="009E2B77" w:rsidRPr="007D770B" w:rsidRDefault="009E2B77" w:rsidP="00F96B17">
      <w:pPr>
        <w:autoSpaceDE w:val="0"/>
        <w:autoSpaceDN w:val="0"/>
        <w:adjustRightInd w:val="0"/>
        <w:spacing w:before="240" w:line="240" w:lineRule="auto"/>
        <w:ind w:left="0"/>
        <w:rPr>
          <w:rFonts w:ascii="Times New Roman" w:hAnsi="Times New Roman"/>
          <w:iCs/>
          <w:lang w:val="en-US"/>
        </w:rPr>
      </w:pPr>
      <w:r w:rsidRPr="007D770B">
        <w:rPr>
          <w:rFonts w:ascii="Times New Roman" w:hAnsi="Times New Roman"/>
          <w:lang w:val="en-US"/>
        </w:rPr>
        <w:t xml:space="preserve">Cash flows are estimated in the currency in which they will be generated and then discounted </w:t>
      </w:r>
      <w:r w:rsidRPr="007D770B">
        <w:rPr>
          <w:rFonts w:ascii="Times New Roman" w:hAnsi="Times New Roman"/>
          <w:iCs/>
          <w:lang w:val="en-US"/>
        </w:rPr>
        <w:t xml:space="preserve">using a discount rate appropriate for that currency. The </w:t>
      </w:r>
      <w:r w:rsidR="00F9744B" w:rsidRPr="007D770B">
        <w:rPr>
          <w:rFonts w:ascii="Times New Roman" w:hAnsi="Times New Roman"/>
          <w:lang w:val="en-US"/>
        </w:rPr>
        <w:t xml:space="preserve">Bank </w:t>
      </w:r>
      <w:r w:rsidRPr="007D770B">
        <w:rPr>
          <w:rFonts w:ascii="Times New Roman" w:hAnsi="Times New Roman"/>
          <w:iCs/>
          <w:lang w:val="en-US"/>
        </w:rPr>
        <w:t>translates the resulting present value using the exchange rate prevailing at the date when the value in use of the asset is calculated.</w:t>
      </w:r>
    </w:p>
    <w:p w14:paraId="015ECCD9" w14:textId="77777777" w:rsidR="009E2B77" w:rsidRPr="007D770B" w:rsidRDefault="009E2B77" w:rsidP="00F96B17">
      <w:pPr>
        <w:autoSpaceDE w:val="0"/>
        <w:autoSpaceDN w:val="0"/>
        <w:adjustRightInd w:val="0"/>
        <w:spacing w:before="240" w:line="240" w:lineRule="auto"/>
        <w:ind w:left="0"/>
        <w:rPr>
          <w:rFonts w:ascii="Times New Roman" w:hAnsi="Times New Roman"/>
          <w:b/>
          <w:lang w:val="en-US"/>
        </w:rPr>
      </w:pPr>
      <w:r w:rsidRPr="007D770B">
        <w:rPr>
          <w:rFonts w:ascii="Times New Roman" w:hAnsi="Times New Roman"/>
          <w:b/>
          <w:lang w:val="en-US"/>
        </w:rPr>
        <w:t>discount rate</w:t>
      </w:r>
    </w:p>
    <w:p w14:paraId="2CE54147"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 xml:space="preserve">The </w:t>
      </w:r>
      <w:r w:rsidRPr="007D770B">
        <w:rPr>
          <w:rFonts w:ascii="Times New Roman" w:hAnsi="Times New Roman"/>
          <w:b/>
          <w:lang w:val="en-US"/>
        </w:rPr>
        <w:t xml:space="preserve">discount </w:t>
      </w:r>
      <w:r w:rsidRPr="007D770B">
        <w:rPr>
          <w:rFonts w:ascii="Times New Roman" w:hAnsi="Times New Roman"/>
          <w:lang w:val="en-US"/>
        </w:rPr>
        <w:t>rate is the rate applied to pre-tax cash flows that reflects current market valuations:</w:t>
      </w:r>
    </w:p>
    <w:p w14:paraId="72060D38" w14:textId="77777777" w:rsidR="009E2B77" w:rsidRPr="007D770B" w:rsidRDefault="009E2B77" w:rsidP="00AE698A">
      <w:pPr>
        <w:numPr>
          <w:ilvl w:val="0"/>
          <w:numId w:val="85"/>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the risk-free interest rate;</w:t>
      </w:r>
    </w:p>
    <w:p w14:paraId="6D360D2C" w14:textId="77777777" w:rsidR="009E2B77" w:rsidRPr="002D4EA3" w:rsidRDefault="009E2B77" w:rsidP="00AE698A">
      <w:pPr>
        <w:numPr>
          <w:ilvl w:val="0"/>
          <w:numId w:val="85"/>
        </w:numPr>
        <w:autoSpaceDE w:val="0"/>
        <w:autoSpaceDN w:val="0"/>
        <w:adjustRightInd w:val="0"/>
        <w:spacing w:before="240" w:line="240" w:lineRule="auto"/>
        <w:rPr>
          <w:rFonts w:ascii="Times New Roman" w:hAnsi="Times New Roman"/>
        </w:rPr>
      </w:pPr>
      <w:r w:rsidRPr="002D4EA3">
        <w:rPr>
          <w:rFonts w:ascii="Times New Roman" w:hAnsi="Times New Roman"/>
        </w:rPr>
        <w:t>risk premiums;</w:t>
      </w:r>
    </w:p>
    <w:p w14:paraId="4DA441E7" w14:textId="77777777" w:rsidR="009E2B77" w:rsidRPr="002D4EA3" w:rsidRDefault="009E2B77" w:rsidP="00AE698A">
      <w:pPr>
        <w:numPr>
          <w:ilvl w:val="0"/>
          <w:numId w:val="85"/>
        </w:numPr>
        <w:autoSpaceDE w:val="0"/>
        <w:autoSpaceDN w:val="0"/>
        <w:adjustRightInd w:val="0"/>
        <w:spacing w:before="240" w:line="240" w:lineRule="auto"/>
        <w:rPr>
          <w:rFonts w:ascii="Times New Roman" w:hAnsi="Times New Roman"/>
        </w:rPr>
      </w:pPr>
      <w:r w:rsidRPr="002D4EA3">
        <w:rPr>
          <w:rFonts w:ascii="Times New Roman" w:hAnsi="Times New Roman"/>
        </w:rPr>
        <w:t>Inflation.</w:t>
      </w:r>
    </w:p>
    <w:p w14:paraId="31810A91" w14:textId="77777777" w:rsidR="009E2B77" w:rsidRPr="007D770B" w:rsidRDefault="009E2B77" w:rsidP="00F96B17">
      <w:pPr>
        <w:autoSpaceDE w:val="0"/>
        <w:autoSpaceDN w:val="0"/>
        <w:adjustRightInd w:val="0"/>
        <w:spacing w:before="240" w:line="240" w:lineRule="auto"/>
        <w:ind w:left="0"/>
        <w:rPr>
          <w:rFonts w:ascii="Times New Roman" w:hAnsi="Times New Roman"/>
          <w:bCs/>
          <w:lang w:val="en-US"/>
        </w:rPr>
      </w:pPr>
      <w:r w:rsidRPr="007D770B">
        <w:rPr>
          <w:rFonts w:ascii="Times New Roman" w:hAnsi="Times New Roman"/>
          <w:bCs/>
          <w:lang w:val="en-US"/>
        </w:rPr>
        <w:t xml:space="preserve">When the rate specific to an asset cannot be obtained directly from the market, the </w:t>
      </w:r>
      <w:r w:rsidR="00F9744B" w:rsidRPr="007D770B">
        <w:rPr>
          <w:rFonts w:ascii="Times New Roman" w:hAnsi="Times New Roman"/>
          <w:lang w:val="en-US"/>
        </w:rPr>
        <w:t xml:space="preserve">Bank </w:t>
      </w:r>
      <w:r w:rsidRPr="007D770B">
        <w:rPr>
          <w:rFonts w:ascii="Times New Roman" w:hAnsi="Times New Roman"/>
          <w:bCs/>
          <w:lang w:val="en-US"/>
        </w:rPr>
        <w:t xml:space="preserve">uses surrogate inputs to estimate the discount rate. </w:t>
      </w:r>
    </w:p>
    <w:p w14:paraId="3E7F39BD" w14:textId="77777777" w:rsidR="009E2B77" w:rsidRPr="007D770B" w:rsidRDefault="009E2B77" w:rsidP="00F96B17">
      <w:pPr>
        <w:autoSpaceDE w:val="0"/>
        <w:autoSpaceDN w:val="0"/>
        <w:adjustRightInd w:val="0"/>
        <w:spacing w:before="240" w:line="240" w:lineRule="auto"/>
        <w:ind w:left="0"/>
        <w:rPr>
          <w:rFonts w:ascii="Times New Roman" w:hAnsi="Times New Roman"/>
          <w:bCs/>
          <w:lang w:val="en-US"/>
        </w:rPr>
      </w:pPr>
      <w:r w:rsidRPr="007D770B">
        <w:rPr>
          <w:rFonts w:ascii="Times New Roman" w:hAnsi="Times New Roman"/>
          <w:bCs/>
          <w:lang w:val="en-US"/>
        </w:rPr>
        <w:t xml:space="preserve">To estimate the discount rate, the </w:t>
      </w:r>
      <w:r w:rsidR="00F9744B" w:rsidRPr="007D770B">
        <w:rPr>
          <w:rFonts w:ascii="Times New Roman" w:hAnsi="Times New Roman"/>
          <w:lang w:val="en-US"/>
        </w:rPr>
        <w:t xml:space="preserve">Bank </w:t>
      </w:r>
      <w:r w:rsidRPr="007D770B">
        <w:rPr>
          <w:rFonts w:ascii="Times New Roman" w:hAnsi="Times New Roman"/>
          <w:bCs/>
          <w:lang w:val="en-US"/>
        </w:rPr>
        <w:t>takes into account the following indicators as a starting point:</w:t>
      </w:r>
    </w:p>
    <w:p w14:paraId="31D6D211" w14:textId="77777777" w:rsidR="009E2B77" w:rsidRPr="007D770B" w:rsidRDefault="009E2B77" w:rsidP="00AE698A">
      <w:pPr>
        <w:numPr>
          <w:ilvl w:val="0"/>
          <w:numId w:val="86"/>
        </w:numPr>
        <w:autoSpaceDE w:val="0"/>
        <w:autoSpaceDN w:val="0"/>
        <w:adjustRightInd w:val="0"/>
        <w:spacing w:before="240" w:line="240" w:lineRule="auto"/>
        <w:rPr>
          <w:rFonts w:ascii="Times New Roman" w:hAnsi="Times New Roman"/>
          <w:bCs/>
          <w:lang w:val="en-US"/>
        </w:rPr>
      </w:pPr>
      <w:r w:rsidRPr="007D770B">
        <w:rPr>
          <w:rFonts w:ascii="Times New Roman" w:hAnsi="Times New Roman"/>
          <w:bCs/>
          <w:lang w:val="en-US"/>
        </w:rPr>
        <w:t xml:space="preserve">the </w:t>
      </w:r>
      <w:r w:rsidR="00F9744B" w:rsidRPr="007D770B">
        <w:rPr>
          <w:rFonts w:ascii="Times New Roman" w:hAnsi="Times New Roman"/>
          <w:lang w:val="en-US"/>
        </w:rPr>
        <w:t xml:space="preserve">Bank's </w:t>
      </w:r>
      <w:r w:rsidRPr="007D770B">
        <w:rPr>
          <w:rFonts w:ascii="Times New Roman" w:hAnsi="Times New Roman"/>
          <w:bCs/>
          <w:lang w:val="en-US"/>
        </w:rPr>
        <w:t>weighted average cost of capital (WACC) determined using methods such as the long-term asset pricing model (CAPM);</w:t>
      </w:r>
    </w:p>
    <w:p w14:paraId="194597D1" w14:textId="77777777" w:rsidR="009E2B77" w:rsidRPr="007D770B" w:rsidRDefault="009E2B77" w:rsidP="00AE698A">
      <w:pPr>
        <w:numPr>
          <w:ilvl w:val="0"/>
          <w:numId w:val="86"/>
        </w:numPr>
        <w:autoSpaceDE w:val="0"/>
        <w:autoSpaceDN w:val="0"/>
        <w:adjustRightInd w:val="0"/>
        <w:spacing w:before="240" w:line="240" w:lineRule="auto"/>
        <w:rPr>
          <w:rFonts w:ascii="Times New Roman" w:hAnsi="Times New Roman"/>
          <w:bCs/>
          <w:lang w:val="en-US"/>
        </w:rPr>
      </w:pPr>
      <w:r w:rsidRPr="007D770B">
        <w:rPr>
          <w:rFonts w:ascii="Times New Roman" w:hAnsi="Times New Roman"/>
          <w:bCs/>
          <w:lang w:val="en-US"/>
        </w:rPr>
        <w:t>incremental interest rate on borrowed capital; and</w:t>
      </w:r>
    </w:p>
    <w:p w14:paraId="1DDDE4E6" w14:textId="77777777" w:rsidR="009E2B77" w:rsidRPr="002D4EA3" w:rsidRDefault="009E2B77" w:rsidP="00AE698A">
      <w:pPr>
        <w:numPr>
          <w:ilvl w:val="0"/>
          <w:numId w:val="86"/>
        </w:numPr>
        <w:autoSpaceDE w:val="0"/>
        <w:autoSpaceDN w:val="0"/>
        <w:adjustRightInd w:val="0"/>
        <w:spacing w:before="240" w:line="240" w:lineRule="auto"/>
        <w:rPr>
          <w:rFonts w:ascii="Times New Roman" w:hAnsi="Times New Roman"/>
          <w:bCs/>
        </w:rPr>
      </w:pPr>
      <w:r w:rsidRPr="002D4EA3">
        <w:rPr>
          <w:rFonts w:ascii="Times New Roman" w:hAnsi="Times New Roman"/>
          <w:bCs/>
        </w:rPr>
        <w:t>other market borrowing rates.</w:t>
      </w:r>
    </w:p>
    <w:p w14:paraId="64A31954" w14:textId="77777777" w:rsidR="009E2B77" w:rsidRPr="007D770B" w:rsidRDefault="009E2B77" w:rsidP="00F96B17">
      <w:pPr>
        <w:autoSpaceDE w:val="0"/>
        <w:autoSpaceDN w:val="0"/>
        <w:adjustRightInd w:val="0"/>
        <w:spacing w:before="240" w:line="240" w:lineRule="auto"/>
        <w:ind w:left="0"/>
        <w:rPr>
          <w:rFonts w:ascii="Times New Roman" w:hAnsi="Times New Roman"/>
          <w:bCs/>
          <w:lang w:val="en-US"/>
        </w:rPr>
      </w:pPr>
      <w:r w:rsidRPr="007D770B">
        <w:rPr>
          <w:rFonts w:ascii="Times New Roman" w:hAnsi="Times New Roman"/>
          <w:bCs/>
          <w:lang w:val="en-US"/>
        </w:rPr>
        <w:t>These rates, however, are being adjusted:</w:t>
      </w:r>
    </w:p>
    <w:p w14:paraId="600F9A2F" w14:textId="77777777" w:rsidR="009E2B77" w:rsidRPr="007D770B" w:rsidRDefault="009E2B77" w:rsidP="00AE698A">
      <w:pPr>
        <w:numPr>
          <w:ilvl w:val="0"/>
          <w:numId w:val="87"/>
        </w:numPr>
        <w:autoSpaceDE w:val="0"/>
        <w:autoSpaceDN w:val="0"/>
        <w:adjustRightInd w:val="0"/>
        <w:spacing w:before="240" w:line="240" w:lineRule="auto"/>
        <w:rPr>
          <w:rFonts w:ascii="Times New Roman" w:hAnsi="Times New Roman"/>
          <w:bCs/>
          <w:lang w:val="en-US"/>
        </w:rPr>
      </w:pPr>
      <w:r w:rsidRPr="007D770B">
        <w:rPr>
          <w:rFonts w:ascii="Times New Roman" w:hAnsi="Times New Roman"/>
          <w:bCs/>
          <w:lang w:val="en-US"/>
        </w:rPr>
        <w:t>to reflect the way in which the market will assess the specific risks associated with the asset's projected cash flows; and</w:t>
      </w:r>
    </w:p>
    <w:p w14:paraId="519AE1C7" w14:textId="77777777" w:rsidR="009E2B77" w:rsidRPr="007D770B" w:rsidRDefault="009E2B77" w:rsidP="00AE698A">
      <w:pPr>
        <w:numPr>
          <w:ilvl w:val="0"/>
          <w:numId w:val="87"/>
        </w:numPr>
        <w:autoSpaceDE w:val="0"/>
        <w:autoSpaceDN w:val="0"/>
        <w:adjustRightInd w:val="0"/>
        <w:spacing w:before="240" w:line="240" w:lineRule="auto"/>
        <w:rPr>
          <w:rFonts w:ascii="Times New Roman" w:hAnsi="Times New Roman"/>
          <w:bCs/>
          <w:lang w:val="en-US"/>
        </w:rPr>
      </w:pPr>
      <w:r w:rsidRPr="007D770B">
        <w:rPr>
          <w:rFonts w:ascii="Times New Roman" w:hAnsi="Times New Roman"/>
          <w:bCs/>
          <w:lang w:val="en-US"/>
        </w:rPr>
        <w:t>to exclude risks that are not relevant to the asset's projected cash flows or for which the projected cash flows have already been adjusted.</w:t>
      </w:r>
    </w:p>
    <w:p w14:paraId="3DD46DEE" w14:textId="77777777" w:rsidR="009E2B77" w:rsidRPr="007D770B" w:rsidRDefault="009E2B77" w:rsidP="00F96B17">
      <w:pPr>
        <w:autoSpaceDE w:val="0"/>
        <w:autoSpaceDN w:val="0"/>
        <w:adjustRightInd w:val="0"/>
        <w:spacing w:before="240" w:line="240" w:lineRule="auto"/>
        <w:ind w:left="0"/>
        <w:rPr>
          <w:rFonts w:ascii="Times New Roman" w:hAnsi="Times New Roman"/>
          <w:bCs/>
          <w:lang w:val="en-US"/>
        </w:rPr>
      </w:pPr>
      <w:r w:rsidRPr="007D770B">
        <w:rPr>
          <w:rFonts w:ascii="Times New Roman" w:hAnsi="Times New Roman"/>
          <w:bCs/>
          <w:lang w:val="en-US"/>
        </w:rPr>
        <w:t>Risks such as country, currency and price risks are taken into account.</w:t>
      </w:r>
    </w:p>
    <w:p w14:paraId="198A06C0" w14:textId="77777777" w:rsidR="009E2B77" w:rsidRPr="007D770B" w:rsidRDefault="009E2B77" w:rsidP="00F96B17">
      <w:pPr>
        <w:autoSpaceDE w:val="0"/>
        <w:autoSpaceDN w:val="0"/>
        <w:adjustRightInd w:val="0"/>
        <w:spacing w:before="240" w:line="240" w:lineRule="auto"/>
        <w:ind w:left="0"/>
        <w:rPr>
          <w:rFonts w:ascii="Times New Roman" w:hAnsi="Times New Roman"/>
          <w:bCs/>
          <w:lang w:val="en-US"/>
        </w:rPr>
      </w:pPr>
      <w:r w:rsidRPr="007D770B">
        <w:rPr>
          <w:rFonts w:ascii="Times New Roman" w:hAnsi="Times New Roman"/>
          <w:bCs/>
          <w:lang w:val="en-US"/>
        </w:rPr>
        <w:lastRenderedPageBreak/>
        <w:t>To avoid double counting, the discount rate does not reflect the risks for which estimates of future cash flows have already been adjusted.</w:t>
      </w:r>
    </w:p>
    <w:p w14:paraId="5F31AB92" w14:textId="54CBBB26" w:rsidR="009E2B77" w:rsidRPr="007D770B" w:rsidRDefault="009E2B77" w:rsidP="00F96B17">
      <w:pPr>
        <w:autoSpaceDE w:val="0"/>
        <w:autoSpaceDN w:val="0"/>
        <w:adjustRightInd w:val="0"/>
        <w:spacing w:before="240" w:line="240" w:lineRule="auto"/>
        <w:ind w:left="0"/>
        <w:rPr>
          <w:rFonts w:ascii="Times New Roman" w:hAnsi="Times New Roman"/>
          <w:bCs/>
          <w:lang w:val="en-US"/>
        </w:rPr>
      </w:pPr>
      <w:r w:rsidRPr="007D770B">
        <w:rPr>
          <w:rFonts w:ascii="Times New Roman" w:hAnsi="Times New Roman"/>
          <w:bCs/>
          <w:lang w:val="en-US"/>
        </w:rPr>
        <w:t xml:space="preserve">The discount rate is independent of the </w:t>
      </w:r>
      <w:r w:rsidR="00F9744B" w:rsidRPr="007D770B">
        <w:rPr>
          <w:rFonts w:ascii="Times New Roman" w:hAnsi="Times New Roman"/>
          <w:lang w:val="en-US"/>
        </w:rPr>
        <w:t xml:space="preserve">Bank's </w:t>
      </w:r>
      <w:r w:rsidRPr="007D770B">
        <w:rPr>
          <w:rFonts w:ascii="Times New Roman" w:hAnsi="Times New Roman"/>
          <w:bCs/>
          <w:lang w:val="en-US"/>
        </w:rPr>
        <w:t xml:space="preserve">capital structure and the way in which the </w:t>
      </w:r>
      <w:r w:rsidR="00F9744B" w:rsidRPr="007D770B">
        <w:rPr>
          <w:rFonts w:ascii="Times New Roman" w:hAnsi="Times New Roman"/>
          <w:lang w:val="en-US"/>
        </w:rPr>
        <w:t xml:space="preserve">Bank </w:t>
      </w:r>
      <w:r w:rsidRPr="007D770B">
        <w:rPr>
          <w:rFonts w:ascii="Times New Roman" w:hAnsi="Times New Roman"/>
          <w:bCs/>
          <w:lang w:val="en-US"/>
        </w:rPr>
        <w:t xml:space="preserve">finances the purchase of the asset because the future cash flows expected to arise from the asset are independent of the way in which the </w:t>
      </w:r>
      <w:r w:rsidR="00F9744B" w:rsidRPr="007D770B">
        <w:rPr>
          <w:rFonts w:ascii="Times New Roman" w:hAnsi="Times New Roman"/>
          <w:lang w:val="en-US"/>
        </w:rPr>
        <w:t xml:space="preserve">Bank </w:t>
      </w:r>
      <w:r w:rsidRPr="007D770B">
        <w:rPr>
          <w:rFonts w:ascii="Times New Roman" w:hAnsi="Times New Roman"/>
          <w:bCs/>
          <w:lang w:val="en-US"/>
        </w:rPr>
        <w:t>finances the purchase of the asset.</w:t>
      </w:r>
    </w:p>
    <w:p w14:paraId="0F8FE63F" w14:textId="77777777" w:rsidR="009E2B77" w:rsidRPr="007D770B" w:rsidRDefault="009E2B77" w:rsidP="00F96B17">
      <w:pPr>
        <w:autoSpaceDE w:val="0"/>
        <w:autoSpaceDN w:val="0"/>
        <w:adjustRightInd w:val="0"/>
        <w:spacing w:before="240" w:line="240" w:lineRule="auto"/>
        <w:ind w:left="0"/>
        <w:rPr>
          <w:rFonts w:ascii="Times New Roman" w:hAnsi="Times New Roman"/>
          <w:bCs/>
          <w:lang w:val="en-US"/>
        </w:rPr>
      </w:pPr>
      <w:r w:rsidRPr="007D770B">
        <w:rPr>
          <w:rFonts w:ascii="Times New Roman" w:hAnsi="Times New Roman"/>
          <w:bCs/>
          <w:lang w:val="en-US"/>
        </w:rPr>
        <w:t xml:space="preserve">The </w:t>
      </w:r>
      <w:r w:rsidR="00F9744B" w:rsidRPr="007D770B">
        <w:rPr>
          <w:rFonts w:ascii="Times New Roman" w:hAnsi="Times New Roman"/>
          <w:lang w:val="en-US"/>
        </w:rPr>
        <w:t xml:space="preserve">Bank </w:t>
      </w:r>
      <w:r w:rsidRPr="007D770B">
        <w:rPr>
          <w:rFonts w:ascii="Times New Roman" w:hAnsi="Times New Roman"/>
          <w:bCs/>
          <w:lang w:val="en-US"/>
        </w:rPr>
        <w:t xml:space="preserve">generally uses a single discount rate to estimate the asset's value in use. However, the </w:t>
      </w:r>
      <w:r w:rsidR="00F9744B" w:rsidRPr="007D770B">
        <w:rPr>
          <w:rFonts w:ascii="Times New Roman" w:hAnsi="Times New Roman"/>
          <w:lang w:val="en-US"/>
        </w:rPr>
        <w:t xml:space="preserve">Bank </w:t>
      </w:r>
      <w:r w:rsidRPr="007D770B">
        <w:rPr>
          <w:rFonts w:ascii="Times New Roman" w:hAnsi="Times New Roman"/>
          <w:bCs/>
          <w:lang w:val="en-US"/>
        </w:rPr>
        <w:t>uses separate discount rates for different future periods if the asset's value in use is sensitive to risk differentials between periods or to the term structure of interest rates.</w:t>
      </w:r>
    </w:p>
    <w:p w14:paraId="1E80A913" w14:textId="77777777" w:rsidR="009E2B77" w:rsidRPr="007D770B" w:rsidRDefault="009E2B77" w:rsidP="00F96B17">
      <w:pPr>
        <w:autoSpaceDE w:val="0"/>
        <w:autoSpaceDN w:val="0"/>
        <w:adjustRightInd w:val="0"/>
        <w:spacing w:before="240" w:line="240" w:lineRule="auto"/>
        <w:ind w:left="0"/>
        <w:rPr>
          <w:rFonts w:ascii="Times New Roman" w:hAnsi="Times New Roman"/>
          <w:b/>
          <w:bCs/>
          <w:lang w:val="en-US"/>
        </w:rPr>
      </w:pPr>
      <w:r w:rsidRPr="007D770B">
        <w:rPr>
          <w:rFonts w:ascii="Times New Roman" w:hAnsi="Times New Roman"/>
          <w:b/>
          <w:bCs/>
          <w:lang w:val="en-US"/>
        </w:rPr>
        <w:t>Cash generating units</w:t>
      </w:r>
    </w:p>
    <w:p w14:paraId="48E2FB7E"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Where it is not possible to estimate the recoverable amount of an individual asset, the recoverable amount of the cash-generating unit to which the asset belongs is estimated.</w:t>
      </w:r>
    </w:p>
    <w:p w14:paraId="46D6F673"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Sometimes it is possible to identify cash flows from a particular asset, but those cash flows cannot be generated separately from other assets. In such cases, the asset should not be considered separately. It should be considered as part of the cash-generating unit to which the asset belongs.</w:t>
      </w:r>
    </w:p>
    <w:p w14:paraId="3FB98646" w14:textId="3F1F67D5"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A cash-generating unit (</w:t>
      </w:r>
      <w:r w:rsidR="00802136" w:rsidRPr="007D770B">
        <w:rPr>
          <w:rFonts w:ascii="Times New Roman" w:hAnsi="Times New Roman"/>
          <w:lang w:val="en-US"/>
        </w:rPr>
        <w:t>"</w:t>
      </w:r>
      <w:r w:rsidRPr="007D770B">
        <w:rPr>
          <w:rFonts w:ascii="Times New Roman" w:hAnsi="Times New Roman"/>
          <w:lang w:val="en-US"/>
        </w:rPr>
        <w:t>CGU</w:t>
      </w:r>
      <w:r w:rsidR="00802136" w:rsidRPr="007D770B">
        <w:rPr>
          <w:rFonts w:ascii="Times New Roman" w:hAnsi="Times New Roman"/>
          <w:lang w:val="en-US"/>
        </w:rPr>
        <w:t>"</w:t>
      </w:r>
      <w:r w:rsidRPr="007D770B">
        <w:rPr>
          <w:rFonts w:ascii="Times New Roman" w:hAnsi="Times New Roman"/>
          <w:lang w:val="en-US"/>
        </w:rPr>
        <w:t>) is the smallest identifiable group of assets that generates cash inflows from continuing use that are largely independent of the cash inflows from other assets or groups of assets.</w:t>
      </w:r>
    </w:p>
    <w:p w14:paraId="4B6105DE"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If there is an active market for the output that an asset or group of assets produces, that asset or group of assets should be identified as a cash-generating unit, even if that output or part of it is used for internal needs.</w:t>
      </w:r>
    </w:p>
    <w:p w14:paraId="642AF8B4"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Generating units shall be determined consistently from period to period for the same assets or groups of assets, unless a change is justified.</w:t>
      </w:r>
    </w:p>
    <w:p w14:paraId="5F93F02C" w14:textId="3C76430C"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 xml:space="preserve">The rules applicable to the allocation of </w:t>
      </w:r>
      <w:r w:rsidR="00C94D9C" w:rsidRPr="007D770B">
        <w:rPr>
          <w:rFonts w:ascii="Times New Roman" w:hAnsi="Times New Roman"/>
          <w:lang w:val="en-US"/>
        </w:rPr>
        <w:t xml:space="preserve">goodwill </w:t>
      </w:r>
      <w:r w:rsidRPr="007D770B">
        <w:rPr>
          <w:rFonts w:ascii="Times New Roman" w:hAnsi="Times New Roman"/>
          <w:lang w:val="en-US"/>
        </w:rPr>
        <w:t>to cash-generating units are set out below.</w:t>
      </w:r>
    </w:p>
    <w:p w14:paraId="4971BF92" w14:textId="77777777" w:rsidR="009E2B77" w:rsidRPr="007D770B" w:rsidRDefault="009E2B77" w:rsidP="00F96B17">
      <w:pPr>
        <w:autoSpaceDE w:val="0"/>
        <w:autoSpaceDN w:val="0"/>
        <w:adjustRightInd w:val="0"/>
        <w:spacing w:before="240" w:line="240" w:lineRule="auto"/>
        <w:ind w:left="0"/>
        <w:rPr>
          <w:rFonts w:ascii="Times New Roman" w:hAnsi="Times New Roman"/>
          <w:b/>
          <w:bCs/>
          <w:lang w:val="en-US"/>
        </w:rPr>
      </w:pPr>
      <w:r w:rsidRPr="007D770B">
        <w:rPr>
          <w:rFonts w:ascii="Times New Roman" w:hAnsi="Times New Roman"/>
          <w:b/>
          <w:bCs/>
          <w:lang w:val="en-US"/>
        </w:rPr>
        <w:t>Recoverable amount and carrying amount of cash-generating unit</w:t>
      </w:r>
    </w:p>
    <w:p w14:paraId="2BCF19FC"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 xml:space="preserve">The recoverable amount of a cash-generating unit is the higher of the two values: </w:t>
      </w:r>
    </w:p>
    <w:p w14:paraId="43249923" w14:textId="77777777" w:rsidR="009E2B77" w:rsidRPr="007D770B" w:rsidRDefault="009E2B77" w:rsidP="00AE698A">
      <w:pPr>
        <w:numPr>
          <w:ilvl w:val="0"/>
          <w:numId w:val="88"/>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 xml:space="preserve">its fair value less costs of disposal and </w:t>
      </w:r>
    </w:p>
    <w:p w14:paraId="6E139D38" w14:textId="77777777" w:rsidR="009E2B77" w:rsidRPr="002D4EA3" w:rsidRDefault="009E2B77" w:rsidP="00AE698A">
      <w:pPr>
        <w:numPr>
          <w:ilvl w:val="0"/>
          <w:numId w:val="88"/>
        </w:numPr>
        <w:autoSpaceDE w:val="0"/>
        <w:autoSpaceDN w:val="0"/>
        <w:adjustRightInd w:val="0"/>
        <w:spacing w:before="240" w:line="240" w:lineRule="auto"/>
        <w:rPr>
          <w:rFonts w:ascii="Times New Roman" w:hAnsi="Times New Roman"/>
        </w:rPr>
      </w:pPr>
      <w:r w:rsidRPr="002D4EA3">
        <w:rPr>
          <w:rFonts w:ascii="Times New Roman" w:hAnsi="Times New Roman"/>
        </w:rPr>
        <w:t>of its operational value.</w:t>
      </w:r>
    </w:p>
    <w:p w14:paraId="01834E74"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Clearly the above looks like this:</w:t>
      </w:r>
    </w:p>
    <w:p w14:paraId="25657B34" w14:textId="77777777" w:rsidR="009E2B77" w:rsidRPr="002D4EA3" w:rsidRDefault="00B312BF" w:rsidP="00F96B17">
      <w:pPr>
        <w:autoSpaceDE w:val="0"/>
        <w:autoSpaceDN w:val="0"/>
        <w:adjustRightInd w:val="0"/>
        <w:spacing w:before="240" w:line="240" w:lineRule="auto"/>
        <w:ind w:left="0"/>
        <w:rPr>
          <w:rFonts w:ascii="Times New Roman" w:hAnsi="Times New Roman"/>
        </w:rPr>
      </w:pPr>
      <w:r w:rsidRPr="002D4EA3">
        <w:rPr>
          <w:rFonts w:ascii="Times New Roman" w:hAnsi="Times New Roman"/>
          <w:noProof/>
        </w:rPr>
        <w:object w:dxaOrig="11026" w:dyaOrig="3691" w14:anchorId="514A6A04">
          <v:shape id="_x0000_i1026" type="#_x0000_t75" alt="" style="width:460.8pt;height:151.8pt;mso-width-percent:0;mso-height-percent:0;mso-width-percent:0;mso-height-percent:0" o:ole="">
            <v:imagedata r:id="rId61" o:title=""/>
          </v:shape>
          <o:OLEObject Type="Embed" ProgID="Visio.Drawing.11" ShapeID="_x0000_i1026" DrawAspect="Content" ObjectID="_1802083648" r:id="rId62"/>
        </w:object>
      </w:r>
    </w:p>
    <w:p w14:paraId="4134432C"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The carrying amount of the cash-generating unit shall be determined in accordance with the method for determining the recoverable amount of the cash-generating unit.</w:t>
      </w:r>
    </w:p>
    <w:p w14:paraId="0D01C6B1"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Carrying amount of the cash-generating unit:</w:t>
      </w:r>
    </w:p>
    <w:p w14:paraId="18302C0D" w14:textId="77777777" w:rsidR="009E2B77" w:rsidRPr="007D770B" w:rsidRDefault="009E2B77" w:rsidP="00AE698A">
      <w:pPr>
        <w:numPr>
          <w:ilvl w:val="0"/>
          <w:numId w:val="89"/>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includes the carrying amount of only those assets that generate cash inflows;</w:t>
      </w:r>
    </w:p>
    <w:p w14:paraId="0B16A799" w14:textId="77777777" w:rsidR="009E2B77" w:rsidRPr="007D770B" w:rsidRDefault="009E2B77" w:rsidP="00AE698A">
      <w:pPr>
        <w:numPr>
          <w:ilvl w:val="0"/>
          <w:numId w:val="89"/>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lastRenderedPageBreak/>
        <w:t>does not include the carrying amount of any recognized liability (unless the recoverable amount of the cash-generating unit cannot be determined without taking into account that liability).</w:t>
      </w:r>
    </w:p>
    <w:p w14:paraId="7F2846E2"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When assets are grouped for the purpose of assessing recoverable amount, it is important that all assets that generate relevant cash inflows are included in the cash-generating unit. Otherwise, it may appear that the value of the cash-generating unit is fully recoverable when in fact there is an impairment loss.</w:t>
      </w:r>
    </w:p>
    <w:p w14:paraId="4734560B"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Where assets or liabilities (e.g. receivables or other financial assets, payables, pensions or other estimated liabilities) contribute to the cash flows or outflows of the unit, the recoverable amount is determined by taking into account those assets and liabilities. In such cases, the carrying amount of the cash-generating unit is increased by the carrying amount of those assets and decreased by the carrying amount of those liabilities.</w:t>
      </w:r>
    </w:p>
    <w:p w14:paraId="3DD5CD45"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In order to determine the recoverable amount of a cash-generating unit, it may be necessary to consider certain recognized liabilities. This may occur if the disposal of a cash-generating unit requires the buyer to assume a liability. In this case, the fair value less costs of disposal (or estimated cash flows on final disposal) of the cash-generating unit is the estimated selling price of the assets of the unit, together with the liabilities, less costs of disposal.</w:t>
      </w:r>
    </w:p>
    <w:p w14:paraId="4E30B1C6" w14:textId="606DC9EE"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 xml:space="preserve">The carrying amount of the liability is deducted in arriving at both the recoverable amount and the </w:t>
      </w:r>
      <w:r w:rsidR="00C94D9C" w:rsidRPr="007D770B">
        <w:rPr>
          <w:rFonts w:ascii="Times New Roman" w:hAnsi="Times New Roman"/>
          <w:lang w:val="en-US"/>
        </w:rPr>
        <w:t xml:space="preserve">carrying </w:t>
      </w:r>
      <w:r w:rsidRPr="007D770B">
        <w:rPr>
          <w:rFonts w:ascii="Times New Roman" w:hAnsi="Times New Roman"/>
          <w:lang w:val="en-US"/>
        </w:rPr>
        <w:t>amount of the asset in order to compare the carrying amount of the cash-generating unit with its recoverable amount.</w:t>
      </w:r>
    </w:p>
    <w:p w14:paraId="3D20CD60" w14:textId="77777777" w:rsidR="009E2B77" w:rsidRPr="007D770B" w:rsidRDefault="009E2B77" w:rsidP="00F96B17">
      <w:pPr>
        <w:tabs>
          <w:tab w:val="left" w:pos="0"/>
        </w:tabs>
        <w:autoSpaceDE w:val="0"/>
        <w:autoSpaceDN w:val="0"/>
        <w:adjustRightInd w:val="0"/>
        <w:spacing w:before="240" w:line="240" w:lineRule="auto"/>
        <w:ind w:left="0"/>
        <w:rPr>
          <w:rFonts w:ascii="Times New Roman" w:hAnsi="Times New Roman"/>
          <w:b/>
          <w:lang w:val="en-US"/>
        </w:rPr>
      </w:pPr>
      <w:r w:rsidRPr="007D770B">
        <w:rPr>
          <w:rFonts w:ascii="Times New Roman" w:hAnsi="Times New Roman"/>
          <w:b/>
          <w:lang w:val="en-US"/>
        </w:rPr>
        <w:t>Impairment test</w:t>
      </w:r>
    </w:p>
    <w:p w14:paraId="2E73AA8D"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Below is a chart showing at what point an impairment test should be performed:</w:t>
      </w:r>
    </w:p>
    <w:p w14:paraId="2662B26C" w14:textId="77777777" w:rsidR="009E2B77" w:rsidRPr="002D4EA3" w:rsidRDefault="004E5375" w:rsidP="00F96B17">
      <w:pPr>
        <w:autoSpaceDE w:val="0"/>
        <w:autoSpaceDN w:val="0"/>
        <w:adjustRightInd w:val="0"/>
        <w:spacing w:before="240" w:line="240" w:lineRule="auto"/>
        <w:ind w:left="0"/>
        <w:rPr>
          <w:rFonts w:ascii="Times New Roman" w:hAnsi="Times New Roman"/>
        </w:rPr>
      </w:pPr>
      <w:r>
        <w:rPr>
          <w:rFonts w:ascii="Times New Roman" w:hAnsi="Times New Roman"/>
          <w:noProof/>
          <w:lang w:eastAsia="ru-RU"/>
        </w:rPr>
        <w:lastRenderedPageBreak/>
        <w:drawing>
          <wp:inline distT="0" distB="0" distL="0" distR="0" wp14:anchorId="2ED1E9E8" wp14:editId="46072393">
            <wp:extent cx="5029200" cy="6534150"/>
            <wp:effectExtent l="19050" t="0" r="0" b="0"/>
            <wp:docPr id="14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3" cstate="print"/>
                    <a:srcRect/>
                    <a:stretch>
                      <a:fillRect/>
                    </a:stretch>
                  </pic:blipFill>
                  <pic:spPr bwMode="auto">
                    <a:xfrm>
                      <a:off x="0" y="0"/>
                      <a:ext cx="5029200" cy="6534150"/>
                    </a:xfrm>
                    <a:prstGeom prst="rect">
                      <a:avLst/>
                    </a:prstGeom>
                    <a:noFill/>
                    <a:ln w="9525">
                      <a:noFill/>
                      <a:miter lim="800000"/>
                      <a:headEnd/>
                      <a:tailEnd/>
                    </a:ln>
                  </pic:spPr>
                </pic:pic>
              </a:graphicData>
            </a:graphic>
          </wp:inline>
        </w:drawing>
      </w:r>
    </w:p>
    <w:p w14:paraId="3363B2DA" w14:textId="77777777" w:rsidR="009E2B77" w:rsidRPr="007D770B" w:rsidRDefault="009E2B77" w:rsidP="00F96B17">
      <w:pPr>
        <w:autoSpaceDE w:val="0"/>
        <w:autoSpaceDN w:val="0"/>
        <w:adjustRightInd w:val="0"/>
        <w:spacing w:before="240" w:line="240" w:lineRule="auto"/>
        <w:ind w:left="0"/>
        <w:rPr>
          <w:rFonts w:ascii="Times New Roman" w:hAnsi="Times New Roman"/>
          <w:b/>
          <w:lang w:val="en-US"/>
        </w:rPr>
      </w:pPr>
      <w:r w:rsidRPr="007D770B">
        <w:rPr>
          <w:rFonts w:ascii="Times New Roman" w:hAnsi="Times New Roman"/>
          <w:b/>
          <w:lang w:val="en-US"/>
        </w:rPr>
        <w:t>Performing impairment testing of corporate assets</w:t>
      </w:r>
    </w:p>
    <w:p w14:paraId="12D111F7" w14:textId="6F1B04C4"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 xml:space="preserve">As corporate assets do not generate cash flows per se, the recoverable amount of individual corporate assets cannot be determined unless management has elected to dispose of the asset. Consequently, if there is an indication that a corporate </w:t>
      </w:r>
      <w:r w:rsidR="00C94D9C" w:rsidRPr="007D770B">
        <w:rPr>
          <w:rFonts w:ascii="Times New Roman" w:hAnsi="Times New Roman"/>
          <w:lang w:val="en-US"/>
        </w:rPr>
        <w:t xml:space="preserve">asset </w:t>
      </w:r>
      <w:r w:rsidRPr="007D770B">
        <w:rPr>
          <w:rFonts w:ascii="Times New Roman" w:hAnsi="Times New Roman"/>
          <w:lang w:val="en-US"/>
        </w:rPr>
        <w:t>may be impaired</w:t>
      </w:r>
      <w:r w:rsidR="00C94D9C" w:rsidRPr="007D770B">
        <w:rPr>
          <w:rFonts w:ascii="Times New Roman" w:hAnsi="Times New Roman"/>
          <w:lang w:val="en-US"/>
        </w:rPr>
        <w:t xml:space="preserve">, the recoverable </w:t>
      </w:r>
      <w:r w:rsidRPr="007D770B">
        <w:rPr>
          <w:rFonts w:ascii="Times New Roman" w:hAnsi="Times New Roman"/>
          <w:lang w:val="en-US"/>
        </w:rPr>
        <w:t xml:space="preserve">amount is determined for the cash-generating unit or group of cash-generating units to which the asset belongs and compared to the carrying amount of the cash-generating unit or group of cash-generating units. In testing a cash-generating unit for impairment, </w:t>
      </w:r>
      <w:r w:rsidR="00F9744B" w:rsidRPr="007D770B">
        <w:rPr>
          <w:rFonts w:ascii="Times New Roman" w:hAnsi="Times New Roman"/>
          <w:lang w:val="en-US"/>
        </w:rPr>
        <w:t xml:space="preserve">the Bank </w:t>
      </w:r>
      <w:r w:rsidRPr="007D770B">
        <w:rPr>
          <w:rFonts w:ascii="Times New Roman" w:hAnsi="Times New Roman"/>
          <w:lang w:val="en-US"/>
        </w:rPr>
        <w:t>identifies all corporate assets that are allocated to the cash-generating unit under review. If a portion of the carrying amount of a corporate asset:</w:t>
      </w:r>
    </w:p>
    <w:p w14:paraId="79AAF01E" w14:textId="697AFFEE" w:rsidR="009E2B77" w:rsidRPr="007D770B" w:rsidRDefault="009E2B77" w:rsidP="00AE698A">
      <w:pPr>
        <w:numPr>
          <w:ilvl w:val="0"/>
          <w:numId w:val="90"/>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 xml:space="preserve">can be allocated to such a unit on a reasonable and consistent basis, the </w:t>
      </w:r>
      <w:r w:rsidR="00F9744B" w:rsidRPr="007D770B">
        <w:rPr>
          <w:rFonts w:ascii="Times New Roman" w:hAnsi="Times New Roman"/>
          <w:lang w:val="en-US"/>
        </w:rPr>
        <w:t xml:space="preserve">Bank </w:t>
      </w:r>
      <w:r w:rsidRPr="007D770B">
        <w:rPr>
          <w:rFonts w:ascii="Times New Roman" w:hAnsi="Times New Roman"/>
          <w:lang w:val="en-US"/>
        </w:rPr>
        <w:t xml:space="preserve">compares the carrying amount of the </w:t>
      </w:r>
      <w:r w:rsidR="00C94D9C" w:rsidRPr="007D770B">
        <w:rPr>
          <w:rFonts w:ascii="Times New Roman" w:hAnsi="Times New Roman"/>
          <w:lang w:val="en-US"/>
        </w:rPr>
        <w:t xml:space="preserve">unit, including the </w:t>
      </w:r>
      <w:r w:rsidRPr="007D770B">
        <w:rPr>
          <w:rFonts w:ascii="Times New Roman" w:hAnsi="Times New Roman"/>
          <w:lang w:val="en-US"/>
        </w:rPr>
        <w:t>portion of the carrying amount of the corporate asset allocated to the cash-generating unit, to its recoverable amount.</w:t>
      </w:r>
    </w:p>
    <w:p w14:paraId="2DCAA25D" w14:textId="77777777" w:rsidR="009E2B77" w:rsidRPr="007D770B" w:rsidRDefault="009E2B77" w:rsidP="00AE698A">
      <w:pPr>
        <w:numPr>
          <w:ilvl w:val="0"/>
          <w:numId w:val="90"/>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 xml:space="preserve">cannot reasonably and consistently be attributed to such unit, </w:t>
      </w:r>
      <w:r w:rsidR="00634659" w:rsidRPr="007D770B">
        <w:rPr>
          <w:rFonts w:ascii="Times New Roman" w:hAnsi="Times New Roman"/>
          <w:lang w:val="en-US"/>
        </w:rPr>
        <w:t>Bank</w:t>
      </w:r>
      <w:r w:rsidRPr="007D770B">
        <w:rPr>
          <w:rFonts w:ascii="Times New Roman" w:hAnsi="Times New Roman"/>
          <w:lang w:val="en-US"/>
        </w:rPr>
        <w:t>:</w:t>
      </w:r>
    </w:p>
    <w:p w14:paraId="51C3A02D" w14:textId="1B61DECD" w:rsidR="009E2B77" w:rsidRPr="007D770B" w:rsidRDefault="009E2B77" w:rsidP="00AE698A">
      <w:pPr>
        <w:numPr>
          <w:ilvl w:val="0"/>
          <w:numId w:val="91"/>
        </w:numPr>
        <w:autoSpaceDE w:val="0"/>
        <w:autoSpaceDN w:val="0"/>
        <w:adjustRightInd w:val="0"/>
        <w:spacing w:before="240" w:line="240" w:lineRule="auto"/>
        <w:ind w:left="1080"/>
        <w:rPr>
          <w:rFonts w:ascii="Times New Roman" w:hAnsi="Times New Roman"/>
          <w:lang w:val="en-US"/>
        </w:rPr>
      </w:pPr>
      <w:r w:rsidRPr="007D770B">
        <w:rPr>
          <w:rFonts w:ascii="Times New Roman" w:hAnsi="Times New Roman"/>
          <w:lang w:val="en-US"/>
        </w:rPr>
        <w:t xml:space="preserve">compares the carrying amount of the </w:t>
      </w:r>
      <w:r w:rsidR="00F95963" w:rsidRPr="007D770B">
        <w:rPr>
          <w:rFonts w:ascii="Times New Roman" w:hAnsi="Times New Roman"/>
          <w:lang w:val="en-US"/>
        </w:rPr>
        <w:t xml:space="preserve">unit, excluding </w:t>
      </w:r>
      <w:r w:rsidRPr="007D770B">
        <w:rPr>
          <w:rFonts w:ascii="Times New Roman" w:hAnsi="Times New Roman"/>
          <w:lang w:val="en-US"/>
        </w:rPr>
        <w:t>the corporate asset, to its recoverable amount and recognizes any impairment loss;</w:t>
      </w:r>
    </w:p>
    <w:p w14:paraId="58E4C8BF" w14:textId="77777777" w:rsidR="009E2B77" w:rsidRPr="007D770B" w:rsidRDefault="009E2B77" w:rsidP="00AE698A">
      <w:pPr>
        <w:numPr>
          <w:ilvl w:val="0"/>
          <w:numId w:val="91"/>
        </w:numPr>
        <w:autoSpaceDE w:val="0"/>
        <w:autoSpaceDN w:val="0"/>
        <w:adjustRightInd w:val="0"/>
        <w:spacing w:before="240" w:line="240" w:lineRule="auto"/>
        <w:ind w:left="1080"/>
        <w:rPr>
          <w:rFonts w:ascii="Times New Roman" w:hAnsi="Times New Roman"/>
          <w:lang w:val="en-US"/>
        </w:rPr>
      </w:pPr>
      <w:r w:rsidRPr="007D770B">
        <w:rPr>
          <w:rFonts w:ascii="Times New Roman" w:hAnsi="Times New Roman"/>
          <w:lang w:val="en-US"/>
        </w:rPr>
        <w:lastRenderedPageBreak/>
        <w:t xml:space="preserve">Identifies the smallest group of cash-generating units to which the cash-generating unit under review belongs and to which a portion of the carrying amount of the corporate asset can be allocated on a reasonable and consistent basis; and, </w:t>
      </w:r>
    </w:p>
    <w:p w14:paraId="5BF61E87" w14:textId="71AE80E2" w:rsidR="009E2B77" w:rsidRPr="007D770B" w:rsidRDefault="009E2B77" w:rsidP="00AE698A">
      <w:pPr>
        <w:numPr>
          <w:ilvl w:val="0"/>
          <w:numId w:val="91"/>
        </w:numPr>
        <w:autoSpaceDE w:val="0"/>
        <w:autoSpaceDN w:val="0"/>
        <w:adjustRightInd w:val="0"/>
        <w:spacing w:before="240" w:line="240" w:lineRule="auto"/>
        <w:ind w:left="1080"/>
        <w:rPr>
          <w:rFonts w:ascii="Times New Roman" w:hAnsi="Times New Roman"/>
          <w:lang w:val="en-US"/>
        </w:rPr>
      </w:pPr>
      <w:r w:rsidRPr="007D770B">
        <w:rPr>
          <w:rFonts w:ascii="Times New Roman" w:hAnsi="Times New Roman"/>
          <w:lang w:val="en-US"/>
        </w:rPr>
        <w:t xml:space="preserve">compares the carrying amount of such group of cash-generating units, including the portion of the carrying amount of the </w:t>
      </w:r>
      <w:r w:rsidR="00F95963" w:rsidRPr="007D770B">
        <w:rPr>
          <w:rFonts w:ascii="Times New Roman" w:hAnsi="Times New Roman"/>
          <w:lang w:val="en-US"/>
        </w:rPr>
        <w:t xml:space="preserve">corporate asset allocated to </w:t>
      </w:r>
      <w:r w:rsidRPr="007D770B">
        <w:rPr>
          <w:rFonts w:ascii="Times New Roman" w:hAnsi="Times New Roman"/>
          <w:lang w:val="en-US"/>
        </w:rPr>
        <w:t>such group of units, with the recoverable amount of that group of units.</w:t>
      </w:r>
    </w:p>
    <w:p w14:paraId="0BFE0467" w14:textId="77777777" w:rsidR="009E2B77" w:rsidRPr="007D770B" w:rsidRDefault="009E2B77" w:rsidP="00F96B17">
      <w:pPr>
        <w:autoSpaceDE w:val="0"/>
        <w:autoSpaceDN w:val="0"/>
        <w:adjustRightInd w:val="0"/>
        <w:spacing w:before="240" w:line="240" w:lineRule="auto"/>
        <w:ind w:left="0"/>
        <w:rPr>
          <w:rFonts w:ascii="Times New Roman" w:hAnsi="Times New Roman"/>
          <w:b/>
          <w:bCs/>
          <w:lang w:val="en-US"/>
        </w:rPr>
      </w:pPr>
      <w:r w:rsidRPr="007D770B">
        <w:rPr>
          <w:rFonts w:ascii="Times New Roman" w:hAnsi="Times New Roman"/>
          <w:b/>
          <w:bCs/>
          <w:lang w:val="en-US"/>
        </w:rPr>
        <w:t>Accounting for impairment losses</w:t>
      </w:r>
    </w:p>
    <w:p w14:paraId="2AFB915A" w14:textId="77777777" w:rsidR="009E2B77" w:rsidRPr="007D770B" w:rsidRDefault="009E2B77" w:rsidP="00F96B17">
      <w:pPr>
        <w:autoSpaceDE w:val="0"/>
        <w:autoSpaceDN w:val="0"/>
        <w:adjustRightInd w:val="0"/>
        <w:spacing w:before="240" w:line="240" w:lineRule="auto"/>
        <w:ind w:left="0"/>
        <w:rPr>
          <w:rFonts w:ascii="Times New Roman" w:hAnsi="Times New Roman"/>
          <w:bCs/>
          <w:lang w:val="en-US"/>
        </w:rPr>
      </w:pPr>
      <w:r w:rsidRPr="007D770B">
        <w:rPr>
          <w:rFonts w:ascii="Times New Roman" w:hAnsi="Times New Roman"/>
          <w:bCs/>
          <w:lang w:val="en-US"/>
        </w:rPr>
        <w:t>When the recoverable amount of an asset is lower than its carrying amount, the carrying amount of the asset is reduced to its recoverable amount. This reduction represents an impairment loss.</w:t>
      </w:r>
    </w:p>
    <w:p w14:paraId="1003EA70" w14:textId="77777777" w:rsidR="009E2B77" w:rsidRPr="007D770B" w:rsidRDefault="009E2B77" w:rsidP="00F96B17">
      <w:pPr>
        <w:autoSpaceDE w:val="0"/>
        <w:autoSpaceDN w:val="0"/>
        <w:adjustRightInd w:val="0"/>
        <w:spacing w:before="240" w:line="240" w:lineRule="auto"/>
        <w:ind w:left="0"/>
        <w:rPr>
          <w:rFonts w:ascii="Times New Roman" w:hAnsi="Times New Roman"/>
          <w:bCs/>
          <w:lang w:val="en-US"/>
        </w:rPr>
      </w:pPr>
      <w:r w:rsidRPr="007D770B">
        <w:rPr>
          <w:rFonts w:ascii="Times New Roman" w:hAnsi="Times New Roman"/>
          <w:bCs/>
          <w:lang w:val="en-US"/>
        </w:rPr>
        <w:t xml:space="preserve">An impairment loss is recognized as an expense in the statement of </w:t>
      </w:r>
      <w:r w:rsidRPr="007D770B">
        <w:rPr>
          <w:rFonts w:ascii="Times New Roman" w:hAnsi="Times New Roman"/>
          <w:lang w:val="en-US" w:eastAsia="ru-RU"/>
        </w:rPr>
        <w:t xml:space="preserve">comprehensive income </w:t>
      </w:r>
      <w:r w:rsidRPr="007D770B">
        <w:rPr>
          <w:rFonts w:ascii="Times New Roman" w:hAnsi="Times New Roman"/>
          <w:bCs/>
          <w:lang w:val="en-US"/>
        </w:rPr>
        <w:t>in the current reporting period, unless the asset is carried at a revalued amount in accordance with another section.</w:t>
      </w:r>
    </w:p>
    <w:p w14:paraId="01457BC5" w14:textId="77777777" w:rsidR="009E2B77" w:rsidRPr="007D770B" w:rsidRDefault="009E2B77" w:rsidP="00F96B17">
      <w:pPr>
        <w:autoSpaceDE w:val="0"/>
        <w:autoSpaceDN w:val="0"/>
        <w:adjustRightInd w:val="0"/>
        <w:spacing w:before="240" w:line="240" w:lineRule="auto"/>
        <w:ind w:left="0"/>
        <w:rPr>
          <w:rFonts w:ascii="Times New Roman" w:hAnsi="Times New Roman"/>
          <w:bCs/>
          <w:lang w:val="en-US"/>
        </w:rPr>
      </w:pPr>
      <w:r w:rsidRPr="007D770B">
        <w:rPr>
          <w:rFonts w:ascii="Times New Roman" w:hAnsi="Times New Roman"/>
          <w:bCs/>
          <w:lang w:val="en-US"/>
        </w:rPr>
        <w:t>In allocating an impairment loss, care should be taken to ensure that the carrying amount of the asset is not less than the higher of the following amounts:</w:t>
      </w:r>
    </w:p>
    <w:p w14:paraId="61A9E711" w14:textId="77777777" w:rsidR="009E2B77" w:rsidRPr="007D770B" w:rsidRDefault="009E2B77" w:rsidP="00AE698A">
      <w:pPr>
        <w:numPr>
          <w:ilvl w:val="0"/>
          <w:numId w:val="92"/>
        </w:numPr>
        <w:autoSpaceDE w:val="0"/>
        <w:autoSpaceDN w:val="0"/>
        <w:adjustRightInd w:val="0"/>
        <w:spacing w:before="240" w:line="240" w:lineRule="auto"/>
        <w:rPr>
          <w:rFonts w:ascii="Times New Roman" w:hAnsi="Times New Roman"/>
          <w:bCs/>
          <w:lang w:val="en-US"/>
        </w:rPr>
      </w:pPr>
      <w:r w:rsidRPr="007D770B">
        <w:rPr>
          <w:rFonts w:ascii="Times New Roman" w:hAnsi="Times New Roman"/>
          <w:bCs/>
          <w:lang w:val="en-US"/>
        </w:rPr>
        <w:t>fair value less costs of disposal (if determinable);</w:t>
      </w:r>
    </w:p>
    <w:p w14:paraId="4E12615A" w14:textId="77777777" w:rsidR="009E2B77" w:rsidRPr="007D770B" w:rsidRDefault="009E2B77" w:rsidP="00AE698A">
      <w:pPr>
        <w:numPr>
          <w:ilvl w:val="0"/>
          <w:numId w:val="92"/>
        </w:numPr>
        <w:autoSpaceDE w:val="0"/>
        <w:autoSpaceDN w:val="0"/>
        <w:adjustRightInd w:val="0"/>
        <w:spacing w:before="240" w:line="240" w:lineRule="auto"/>
        <w:rPr>
          <w:rFonts w:ascii="Times New Roman" w:hAnsi="Times New Roman"/>
          <w:bCs/>
          <w:lang w:val="en-US"/>
        </w:rPr>
      </w:pPr>
      <w:r w:rsidRPr="007D770B">
        <w:rPr>
          <w:rFonts w:ascii="Times New Roman" w:hAnsi="Times New Roman"/>
          <w:bCs/>
          <w:lang w:val="en-US"/>
        </w:rPr>
        <w:t>the value in use of the asset (if determinable);</w:t>
      </w:r>
    </w:p>
    <w:p w14:paraId="322D8766" w14:textId="77777777" w:rsidR="009E2B77" w:rsidRPr="002D4EA3" w:rsidRDefault="009E2B77" w:rsidP="00AE698A">
      <w:pPr>
        <w:numPr>
          <w:ilvl w:val="0"/>
          <w:numId w:val="92"/>
        </w:numPr>
        <w:autoSpaceDE w:val="0"/>
        <w:autoSpaceDN w:val="0"/>
        <w:adjustRightInd w:val="0"/>
        <w:spacing w:before="240" w:line="240" w:lineRule="auto"/>
        <w:rPr>
          <w:rFonts w:ascii="Times New Roman" w:hAnsi="Times New Roman"/>
          <w:bCs/>
        </w:rPr>
      </w:pPr>
      <w:r w:rsidRPr="002D4EA3">
        <w:rPr>
          <w:rFonts w:ascii="Times New Roman" w:hAnsi="Times New Roman"/>
          <w:bCs/>
        </w:rPr>
        <w:t>zero.</w:t>
      </w:r>
    </w:p>
    <w:p w14:paraId="17B01565" w14:textId="0581B480" w:rsidR="009E2B77" w:rsidRPr="007D770B" w:rsidRDefault="009E2B77" w:rsidP="00F96B17">
      <w:pPr>
        <w:autoSpaceDE w:val="0"/>
        <w:autoSpaceDN w:val="0"/>
        <w:adjustRightInd w:val="0"/>
        <w:spacing w:before="240" w:line="240" w:lineRule="auto"/>
        <w:ind w:left="0"/>
        <w:rPr>
          <w:rFonts w:ascii="Times New Roman" w:hAnsi="Times New Roman"/>
          <w:bCs/>
          <w:lang w:val="en-US"/>
        </w:rPr>
      </w:pPr>
      <w:r w:rsidRPr="007D770B">
        <w:rPr>
          <w:rFonts w:ascii="Times New Roman" w:hAnsi="Times New Roman"/>
          <w:bCs/>
          <w:lang w:val="en-US"/>
        </w:rPr>
        <w:t xml:space="preserve">Once an impairment loss has been recognized, the depreciation charge for the asset is adjusted in future </w:t>
      </w:r>
      <w:r w:rsidR="00F95963" w:rsidRPr="007D770B">
        <w:rPr>
          <w:rFonts w:ascii="Times New Roman" w:hAnsi="Times New Roman"/>
          <w:bCs/>
          <w:lang w:val="en-US"/>
        </w:rPr>
        <w:t xml:space="preserve">periods to </w:t>
      </w:r>
      <w:r w:rsidRPr="007D770B">
        <w:rPr>
          <w:rFonts w:ascii="Times New Roman" w:hAnsi="Times New Roman"/>
          <w:bCs/>
          <w:lang w:val="en-US"/>
        </w:rPr>
        <w:t>reflect the asset's new carrying amount, less its residual value, if any, on a systematic basis over its remaining useful life.</w:t>
      </w:r>
    </w:p>
    <w:p w14:paraId="59318627" w14:textId="77777777" w:rsidR="009E2B77" w:rsidRPr="007D770B" w:rsidRDefault="009E2B77" w:rsidP="00F96B17">
      <w:pPr>
        <w:autoSpaceDE w:val="0"/>
        <w:autoSpaceDN w:val="0"/>
        <w:adjustRightInd w:val="0"/>
        <w:spacing w:before="240" w:line="240" w:lineRule="auto"/>
        <w:ind w:left="0"/>
        <w:rPr>
          <w:rFonts w:ascii="Times New Roman" w:hAnsi="Times New Roman"/>
          <w:bCs/>
          <w:lang w:val="en-US"/>
        </w:rPr>
      </w:pPr>
      <w:r w:rsidRPr="007D770B">
        <w:rPr>
          <w:rFonts w:ascii="Times New Roman" w:hAnsi="Times New Roman"/>
          <w:b/>
          <w:bCs/>
          <w:lang w:val="en-US"/>
        </w:rPr>
        <w:t>Reversal of impairment losses</w:t>
      </w:r>
    </w:p>
    <w:p w14:paraId="5BF4646D"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 xml:space="preserve">An impairment loss recognized in prior periods is reversed only if there has been a change in the estimates used to determine the asset's recoverable amount since the last impairment loss was recognized. In order to reverse an impairment loss, the carrying amount of the asset must be increased to its recoverable amount. This increase is a reversal of an impairment loss. </w:t>
      </w:r>
    </w:p>
    <w:p w14:paraId="49BD96C5"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b/>
          <w:bCs/>
          <w:lang w:val="en-US"/>
        </w:rPr>
        <w:t xml:space="preserve">Where a loss is reversed for an individual asset, </w:t>
      </w:r>
      <w:r w:rsidRPr="007D770B">
        <w:rPr>
          <w:rFonts w:ascii="Times New Roman" w:hAnsi="Times New Roman"/>
          <w:bCs/>
          <w:lang w:val="en-US"/>
        </w:rPr>
        <w:t xml:space="preserve">the carrying amount of </w:t>
      </w:r>
      <w:r w:rsidRPr="007D770B">
        <w:rPr>
          <w:rFonts w:ascii="Times New Roman" w:hAnsi="Times New Roman"/>
          <w:lang w:val="en-US"/>
        </w:rPr>
        <w:t xml:space="preserve">the asset increased as a result of the reversal must not exceed the carrying amount that would have been determined had no impairment loss been recognized in prior periods. </w:t>
      </w:r>
    </w:p>
    <w:p w14:paraId="094DCFFF"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 xml:space="preserve">A reversal of an impairment loss should be recognized immediately in the statement of </w:t>
      </w:r>
      <w:r w:rsidRPr="007D770B">
        <w:rPr>
          <w:rFonts w:ascii="Times New Roman" w:hAnsi="Times New Roman"/>
          <w:lang w:val="en-US" w:eastAsia="ru-RU"/>
        </w:rPr>
        <w:t>comprehensive income</w:t>
      </w:r>
      <w:r w:rsidRPr="007D770B">
        <w:rPr>
          <w:rFonts w:ascii="Times New Roman" w:hAnsi="Times New Roman"/>
          <w:lang w:val="en-US"/>
        </w:rPr>
        <w:t>.</w:t>
      </w:r>
    </w:p>
    <w:p w14:paraId="0931279B"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 xml:space="preserve">After the reversal of an impairment loss, the depreciation charge for the related asset is adjusted prospectively to write off the asset's adjusted carrying amount less its residual value on a straight-line basis over the asset's remaining useful life. </w:t>
      </w:r>
    </w:p>
    <w:p w14:paraId="3DC9211A" w14:textId="05FE37D6" w:rsidR="009E2B77" w:rsidRPr="007D770B" w:rsidRDefault="00F95C14" w:rsidP="00E61D21">
      <w:pPr>
        <w:pStyle w:val="3"/>
        <w:rPr>
          <w:lang w:val="en-US"/>
        </w:rPr>
      </w:pPr>
      <w:bookmarkStart w:id="285" w:name="_Toc255041562"/>
      <w:bookmarkStart w:id="286" w:name="_Toc168502085"/>
      <w:r w:rsidRPr="007D770B">
        <w:rPr>
          <w:lang w:val="en-US"/>
        </w:rPr>
        <w:t>11</w:t>
      </w:r>
      <w:r w:rsidR="009E2B77" w:rsidRPr="007D770B">
        <w:rPr>
          <w:lang w:val="en-US"/>
        </w:rPr>
        <w:t>.4 Disclosure of information</w:t>
      </w:r>
      <w:bookmarkEnd w:id="285"/>
      <w:bookmarkEnd w:id="286"/>
    </w:p>
    <w:p w14:paraId="6807BA56" w14:textId="77777777" w:rsidR="009E2B77" w:rsidRPr="007D770B" w:rsidRDefault="009E2B77" w:rsidP="00F96B17">
      <w:pPr>
        <w:autoSpaceDE w:val="0"/>
        <w:autoSpaceDN w:val="0"/>
        <w:adjustRightInd w:val="0"/>
        <w:spacing w:before="240" w:line="240" w:lineRule="auto"/>
        <w:ind w:left="0"/>
        <w:rPr>
          <w:rFonts w:ascii="Times New Roman" w:hAnsi="Times New Roman"/>
          <w:bCs/>
          <w:lang w:val="en-US"/>
        </w:rPr>
      </w:pPr>
      <w:r w:rsidRPr="007D770B">
        <w:rPr>
          <w:rFonts w:ascii="Times New Roman" w:hAnsi="Times New Roman"/>
          <w:bCs/>
          <w:lang w:val="en-US"/>
        </w:rPr>
        <w:t xml:space="preserve">For each class of assets, the financial statements should disclose the amount recognized in </w:t>
      </w:r>
      <w:r w:rsidRPr="007D770B">
        <w:rPr>
          <w:rFonts w:ascii="Times New Roman" w:hAnsi="Times New Roman"/>
          <w:lang w:val="en-US" w:eastAsia="ru-RU"/>
        </w:rPr>
        <w:t>profit or loss</w:t>
      </w:r>
      <w:r w:rsidRPr="007D770B">
        <w:rPr>
          <w:rFonts w:ascii="Times New Roman" w:hAnsi="Times New Roman"/>
          <w:bCs/>
          <w:lang w:val="en-US"/>
        </w:rPr>
        <w:t xml:space="preserve">, and an indication of the relevant line in the statement of comprehensive </w:t>
      </w:r>
      <w:r w:rsidR="00EA19BB" w:rsidRPr="007D770B">
        <w:rPr>
          <w:rFonts w:ascii="Times New Roman" w:hAnsi="Times New Roman"/>
          <w:bCs/>
          <w:lang w:val="en-US"/>
        </w:rPr>
        <w:t xml:space="preserve">income </w:t>
      </w:r>
      <w:r w:rsidRPr="007D770B">
        <w:rPr>
          <w:rFonts w:ascii="Times New Roman" w:hAnsi="Times New Roman"/>
          <w:bCs/>
          <w:lang w:val="en-US"/>
        </w:rPr>
        <w:t>in which the amount of loss is recognized, in respect of:</w:t>
      </w:r>
    </w:p>
    <w:p w14:paraId="0B84518F" w14:textId="77777777" w:rsidR="009E2B77" w:rsidRPr="002D4EA3" w:rsidRDefault="009E2B77" w:rsidP="00AE698A">
      <w:pPr>
        <w:numPr>
          <w:ilvl w:val="0"/>
          <w:numId w:val="93"/>
        </w:numPr>
        <w:autoSpaceDE w:val="0"/>
        <w:autoSpaceDN w:val="0"/>
        <w:adjustRightInd w:val="0"/>
        <w:spacing w:before="240" w:line="240" w:lineRule="auto"/>
        <w:rPr>
          <w:rFonts w:ascii="Times New Roman" w:hAnsi="Times New Roman"/>
          <w:bCs/>
        </w:rPr>
      </w:pPr>
      <w:r w:rsidRPr="002D4EA3">
        <w:rPr>
          <w:rFonts w:ascii="Times New Roman" w:hAnsi="Times New Roman"/>
          <w:bCs/>
        </w:rPr>
        <w:t>impairment losses;</w:t>
      </w:r>
    </w:p>
    <w:p w14:paraId="6E398608" w14:textId="77777777" w:rsidR="009E2B77" w:rsidRPr="002D4EA3" w:rsidRDefault="009E2B77" w:rsidP="00AE698A">
      <w:pPr>
        <w:numPr>
          <w:ilvl w:val="0"/>
          <w:numId w:val="93"/>
        </w:numPr>
        <w:autoSpaceDE w:val="0"/>
        <w:autoSpaceDN w:val="0"/>
        <w:adjustRightInd w:val="0"/>
        <w:spacing w:before="240" w:line="240" w:lineRule="auto"/>
        <w:rPr>
          <w:rFonts w:ascii="Times New Roman" w:hAnsi="Times New Roman"/>
          <w:bCs/>
        </w:rPr>
      </w:pPr>
      <w:r w:rsidRPr="002D4EA3">
        <w:rPr>
          <w:rFonts w:ascii="Times New Roman" w:hAnsi="Times New Roman"/>
          <w:bCs/>
        </w:rPr>
        <w:t>reversal of impairment losses.</w:t>
      </w:r>
    </w:p>
    <w:p w14:paraId="2FD7CBC1" w14:textId="77777777" w:rsidR="009E2B77" w:rsidRPr="007D770B" w:rsidRDefault="009E2B77" w:rsidP="00F96B17">
      <w:pPr>
        <w:autoSpaceDE w:val="0"/>
        <w:autoSpaceDN w:val="0"/>
        <w:adjustRightInd w:val="0"/>
        <w:spacing w:before="240" w:line="240" w:lineRule="auto"/>
        <w:ind w:left="0"/>
        <w:rPr>
          <w:rFonts w:ascii="Times New Roman" w:hAnsi="Times New Roman"/>
          <w:bCs/>
          <w:lang w:val="en-US"/>
        </w:rPr>
      </w:pPr>
      <w:r w:rsidRPr="007D770B">
        <w:rPr>
          <w:rFonts w:ascii="Times New Roman" w:hAnsi="Times New Roman"/>
          <w:bCs/>
          <w:lang w:val="en-US"/>
        </w:rPr>
        <w:t xml:space="preserve">If an impairment loss for an individual asset (cash-generating unit) recognized or reversed in the reporting period is material to the </w:t>
      </w:r>
      <w:r w:rsidR="00F9744B" w:rsidRPr="007D770B">
        <w:rPr>
          <w:rFonts w:ascii="Times New Roman" w:hAnsi="Times New Roman"/>
          <w:lang w:val="en-US"/>
        </w:rPr>
        <w:t xml:space="preserve">Bank's </w:t>
      </w:r>
      <w:r w:rsidRPr="007D770B">
        <w:rPr>
          <w:rFonts w:ascii="Times New Roman" w:hAnsi="Times New Roman"/>
          <w:bCs/>
          <w:lang w:val="en-US"/>
        </w:rPr>
        <w:t>financial statements as a whole, the following disclosures are required:</w:t>
      </w:r>
    </w:p>
    <w:p w14:paraId="04B085DB" w14:textId="77777777" w:rsidR="009E2B77" w:rsidRPr="007D770B" w:rsidRDefault="009E2B77" w:rsidP="00AE698A">
      <w:pPr>
        <w:numPr>
          <w:ilvl w:val="0"/>
          <w:numId w:val="94"/>
        </w:numPr>
        <w:tabs>
          <w:tab w:val="left" w:pos="720"/>
        </w:tabs>
        <w:autoSpaceDE w:val="0"/>
        <w:autoSpaceDN w:val="0"/>
        <w:adjustRightInd w:val="0"/>
        <w:spacing w:before="240" w:line="240" w:lineRule="auto"/>
        <w:rPr>
          <w:rFonts w:ascii="Times New Roman" w:hAnsi="Times New Roman"/>
          <w:bCs/>
          <w:lang w:val="en-US"/>
        </w:rPr>
      </w:pPr>
      <w:r w:rsidRPr="007D770B">
        <w:rPr>
          <w:rFonts w:ascii="Times New Roman" w:hAnsi="Times New Roman"/>
          <w:bCs/>
          <w:lang w:val="en-US"/>
        </w:rPr>
        <w:t>the events or circumstances that led to the recognition or reversal of an impairment loss;</w:t>
      </w:r>
    </w:p>
    <w:p w14:paraId="030BD4C4" w14:textId="59513B28" w:rsidR="009E2B77" w:rsidRPr="007D770B" w:rsidRDefault="009E2B77" w:rsidP="00AE698A">
      <w:pPr>
        <w:numPr>
          <w:ilvl w:val="0"/>
          <w:numId w:val="94"/>
        </w:numPr>
        <w:tabs>
          <w:tab w:val="left" w:pos="720"/>
        </w:tabs>
        <w:autoSpaceDE w:val="0"/>
        <w:autoSpaceDN w:val="0"/>
        <w:adjustRightInd w:val="0"/>
        <w:spacing w:before="240" w:line="240" w:lineRule="auto"/>
        <w:rPr>
          <w:rFonts w:ascii="Times New Roman" w:hAnsi="Times New Roman"/>
          <w:bCs/>
          <w:lang w:val="en-US"/>
        </w:rPr>
      </w:pPr>
      <w:r w:rsidRPr="007D770B">
        <w:rPr>
          <w:rFonts w:ascii="Times New Roman" w:hAnsi="Times New Roman"/>
          <w:bCs/>
          <w:lang w:val="en-US"/>
        </w:rPr>
        <w:t xml:space="preserve">the amount of </w:t>
      </w:r>
      <w:r w:rsidR="00F95963" w:rsidRPr="007D770B">
        <w:rPr>
          <w:rFonts w:ascii="Times New Roman" w:hAnsi="Times New Roman"/>
          <w:bCs/>
          <w:lang w:val="en-US"/>
        </w:rPr>
        <w:t xml:space="preserve">impairment </w:t>
      </w:r>
      <w:r w:rsidRPr="007D770B">
        <w:rPr>
          <w:rFonts w:ascii="Times New Roman" w:hAnsi="Times New Roman"/>
          <w:bCs/>
          <w:lang w:val="en-US"/>
        </w:rPr>
        <w:t>loss recognized or reversed;</w:t>
      </w:r>
    </w:p>
    <w:p w14:paraId="77EE0B23" w14:textId="77777777" w:rsidR="009E2B77" w:rsidRPr="007D770B" w:rsidRDefault="009E2B77" w:rsidP="00AE698A">
      <w:pPr>
        <w:numPr>
          <w:ilvl w:val="0"/>
          <w:numId w:val="94"/>
        </w:numPr>
        <w:tabs>
          <w:tab w:val="left" w:pos="720"/>
        </w:tabs>
        <w:autoSpaceDE w:val="0"/>
        <w:autoSpaceDN w:val="0"/>
        <w:adjustRightInd w:val="0"/>
        <w:spacing w:before="240" w:line="240" w:lineRule="auto"/>
        <w:rPr>
          <w:rFonts w:ascii="Times New Roman" w:hAnsi="Times New Roman"/>
          <w:bCs/>
          <w:lang w:val="en-US"/>
        </w:rPr>
      </w:pPr>
      <w:r w:rsidRPr="007D770B">
        <w:rPr>
          <w:rFonts w:ascii="Times New Roman" w:hAnsi="Times New Roman"/>
          <w:bCs/>
          <w:lang w:val="en-US"/>
        </w:rPr>
        <w:t>For an individual asset, a description of the asset and the reportable segment to which the asset belongs;</w:t>
      </w:r>
    </w:p>
    <w:p w14:paraId="022E36CE" w14:textId="4054E357" w:rsidR="009E2B77" w:rsidRPr="007D770B" w:rsidRDefault="009E2B77" w:rsidP="00AE698A">
      <w:pPr>
        <w:numPr>
          <w:ilvl w:val="0"/>
          <w:numId w:val="94"/>
        </w:numPr>
        <w:tabs>
          <w:tab w:val="left" w:pos="720"/>
        </w:tabs>
        <w:autoSpaceDE w:val="0"/>
        <w:autoSpaceDN w:val="0"/>
        <w:adjustRightInd w:val="0"/>
        <w:spacing w:before="240" w:line="240" w:lineRule="auto"/>
        <w:rPr>
          <w:rFonts w:ascii="Times New Roman" w:hAnsi="Times New Roman"/>
          <w:bCs/>
          <w:lang w:val="en-US"/>
        </w:rPr>
      </w:pPr>
      <w:r w:rsidRPr="007D770B">
        <w:rPr>
          <w:rFonts w:ascii="Times New Roman" w:hAnsi="Times New Roman"/>
          <w:bCs/>
          <w:lang w:val="en-US"/>
        </w:rPr>
        <w:t xml:space="preserve">the amount of </w:t>
      </w:r>
      <w:r w:rsidR="00F95963" w:rsidRPr="007D770B">
        <w:rPr>
          <w:rFonts w:ascii="Times New Roman" w:hAnsi="Times New Roman"/>
          <w:bCs/>
          <w:lang w:val="en-US"/>
        </w:rPr>
        <w:t xml:space="preserve">impairment </w:t>
      </w:r>
      <w:r w:rsidRPr="007D770B">
        <w:rPr>
          <w:rFonts w:ascii="Times New Roman" w:hAnsi="Times New Roman"/>
          <w:bCs/>
          <w:lang w:val="en-US"/>
        </w:rPr>
        <w:t xml:space="preserve">loss recognized or reversed: </w:t>
      </w:r>
      <w:r w:rsidR="007F0544" w:rsidRPr="007D770B">
        <w:rPr>
          <w:rFonts w:ascii="Times New Roman" w:hAnsi="Times New Roman"/>
          <w:bCs/>
          <w:lang w:val="en-US"/>
        </w:rPr>
        <w:t xml:space="preserve">by asset type </w:t>
      </w:r>
      <w:r w:rsidRPr="007D770B">
        <w:rPr>
          <w:rFonts w:ascii="Times New Roman" w:hAnsi="Times New Roman"/>
          <w:bCs/>
          <w:lang w:val="en-US"/>
        </w:rPr>
        <w:t>and by reportable segment;</w:t>
      </w:r>
    </w:p>
    <w:p w14:paraId="41F93568" w14:textId="77777777" w:rsidR="009E2B77" w:rsidRPr="007D770B" w:rsidRDefault="009E2B77" w:rsidP="00AE698A">
      <w:pPr>
        <w:numPr>
          <w:ilvl w:val="0"/>
          <w:numId w:val="94"/>
        </w:numPr>
        <w:tabs>
          <w:tab w:val="left" w:pos="720"/>
        </w:tabs>
        <w:autoSpaceDE w:val="0"/>
        <w:autoSpaceDN w:val="0"/>
        <w:adjustRightInd w:val="0"/>
        <w:spacing w:before="240" w:line="240" w:lineRule="auto"/>
        <w:rPr>
          <w:rFonts w:ascii="Times New Roman" w:hAnsi="Times New Roman"/>
          <w:bCs/>
          <w:lang w:val="en-US"/>
        </w:rPr>
      </w:pPr>
      <w:r w:rsidRPr="007D770B">
        <w:rPr>
          <w:rFonts w:ascii="Times New Roman" w:hAnsi="Times New Roman"/>
          <w:bCs/>
          <w:lang w:val="en-US"/>
        </w:rPr>
        <w:lastRenderedPageBreak/>
        <w:t>If the recoverable amount is fair value less costs to sell, a disclosure of how it was determined (e.g., whether it was determined based on market information or otherwise); and</w:t>
      </w:r>
    </w:p>
    <w:p w14:paraId="1082B5F2" w14:textId="77777777" w:rsidR="009E2B77" w:rsidRPr="007D770B" w:rsidRDefault="009E2B77" w:rsidP="00AE698A">
      <w:pPr>
        <w:numPr>
          <w:ilvl w:val="0"/>
          <w:numId w:val="94"/>
        </w:numPr>
        <w:tabs>
          <w:tab w:val="left" w:pos="720"/>
        </w:tabs>
        <w:autoSpaceDE w:val="0"/>
        <w:autoSpaceDN w:val="0"/>
        <w:adjustRightInd w:val="0"/>
        <w:spacing w:before="240" w:line="240" w:lineRule="auto"/>
        <w:rPr>
          <w:rFonts w:ascii="Times New Roman" w:hAnsi="Times New Roman"/>
          <w:bCs/>
          <w:lang w:val="en-US"/>
        </w:rPr>
      </w:pPr>
      <w:r w:rsidRPr="007D770B">
        <w:rPr>
          <w:rFonts w:ascii="Times New Roman" w:hAnsi="Times New Roman"/>
          <w:bCs/>
          <w:lang w:val="en-US"/>
        </w:rPr>
        <w:t>if the recoverable amount is value in use, the discount rates used in the current estimate and in the previous estimate (if any) of the value in use shall be disclosed.</w:t>
      </w:r>
    </w:p>
    <w:p w14:paraId="018AC342" w14:textId="77777777" w:rsidR="009E2B77" w:rsidRPr="007D770B" w:rsidRDefault="009E2B77" w:rsidP="00F96B17">
      <w:pPr>
        <w:autoSpaceDE w:val="0"/>
        <w:autoSpaceDN w:val="0"/>
        <w:adjustRightInd w:val="0"/>
        <w:spacing w:before="240" w:line="240" w:lineRule="auto"/>
        <w:ind w:left="0"/>
        <w:rPr>
          <w:rFonts w:ascii="Times New Roman" w:hAnsi="Times New Roman"/>
          <w:bCs/>
          <w:lang w:val="en-US"/>
        </w:rPr>
      </w:pPr>
      <w:r w:rsidRPr="007D770B">
        <w:rPr>
          <w:rFonts w:ascii="Times New Roman" w:hAnsi="Times New Roman"/>
          <w:bCs/>
          <w:lang w:val="en-US"/>
        </w:rPr>
        <w:t>The following information is disclosed for the cumulative impairment losses recognized and reversed:</w:t>
      </w:r>
    </w:p>
    <w:p w14:paraId="4371733F" w14:textId="77777777" w:rsidR="009E2B77" w:rsidRPr="007D770B" w:rsidRDefault="009E2B77" w:rsidP="00AE698A">
      <w:pPr>
        <w:numPr>
          <w:ilvl w:val="0"/>
          <w:numId w:val="95"/>
        </w:numPr>
        <w:tabs>
          <w:tab w:val="left" w:pos="360"/>
        </w:tabs>
        <w:autoSpaceDE w:val="0"/>
        <w:autoSpaceDN w:val="0"/>
        <w:adjustRightInd w:val="0"/>
        <w:spacing w:before="240" w:line="240" w:lineRule="auto"/>
        <w:rPr>
          <w:rFonts w:ascii="Times New Roman" w:hAnsi="Times New Roman"/>
          <w:bCs/>
          <w:lang w:val="en-US"/>
        </w:rPr>
      </w:pPr>
      <w:r w:rsidRPr="007D770B">
        <w:rPr>
          <w:rFonts w:ascii="Times New Roman" w:hAnsi="Times New Roman"/>
          <w:bCs/>
          <w:lang w:val="en-US"/>
        </w:rPr>
        <w:t>major classes of assets that have been impaired (or for which a previously recognized impairment has been reversed); and</w:t>
      </w:r>
    </w:p>
    <w:p w14:paraId="725F2189" w14:textId="77777777" w:rsidR="009E2B77" w:rsidRPr="007D770B" w:rsidRDefault="009E2B77" w:rsidP="00AE698A">
      <w:pPr>
        <w:numPr>
          <w:ilvl w:val="0"/>
          <w:numId w:val="95"/>
        </w:numPr>
        <w:tabs>
          <w:tab w:val="left" w:pos="360"/>
        </w:tabs>
        <w:autoSpaceDE w:val="0"/>
        <w:autoSpaceDN w:val="0"/>
        <w:adjustRightInd w:val="0"/>
        <w:spacing w:before="240" w:line="240" w:lineRule="auto"/>
        <w:rPr>
          <w:rFonts w:ascii="Times New Roman" w:hAnsi="Times New Roman"/>
          <w:bCs/>
          <w:lang w:val="en-US"/>
        </w:rPr>
      </w:pPr>
      <w:r w:rsidRPr="007D770B">
        <w:rPr>
          <w:rFonts w:ascii="Times New Roman" w:hAnsi="Times New Roman"/>
          <w:bCs/>
          <w:lang w:val="en-US"/>
        </w:rPr>
        <w:t>the key events and circumstances that led to the recognition (reversal) of impairment losses.</w:t>
      </w:r>
    </w:p>
    <w:p w14:paraId="46966E6B" w14:textId="0A8013DA" w:rsidR="009E2B77" w:rsidRPr="007D770B" w:rsidRDefault="009E2B77" w:rsidP="00F96B17">
      <w:pPr>
        <w:autoSpaceDE w:val="0"/>
        <w:autoSpaceDN w:val="0"/>
        <w:adjustRightInd w:val="0"/>
        <w:spacing w:before="240" w:line="240" w:lineRule="auto"/>
        <w:ind w:left="0"/>
        <w:rPr>
          <w:rFonts w:ascii="Times New Roman" w:hAnsi="Times New Roman"/>
          <w:bCs/>
          <w:lang w:val="en-US"/>
        </w:rPr>
      </w:pPr>
      <w:r w:rsidRPr="007D770B">
        <w:rPr>
          <w:rFonts w:ascii="Times New Roman" w:hAnsi="Times New Roman"/>
          <w:bCs/>
          <w:lang w:val="en-US"/>
        </w:rPr>
        <w:t xml:space="preserve">For each cash-generating unit, or group of cash-generating units, for which the carrying amount of </w:t>
      </w:r>
      <w:r w:rsidR="00F95963" w:rsidRPr="007D770B">
        <w:rPr>
          <w:rFonts w:ascii="Times New Roman" w:hAnsi="Times New Roman"/>
          <w:bCs/>
          <w:lang w:val="en-US"/>
        </w:rPr>
        <w:t xml:space="preserve">goodwill </w:t>
      </w:r>
      <w:r w:rsidRPr="007D770B">
        <w:rPr>
          <w:rFonts w:ascii="Times New Roman" w:hAnsi="Times New Roman"/>
          <w:bCs/>
          <w:lang w:val="en-US"/>
        </w:rPr>
        <w:t xml:space="preserve">or indefinite-lived intangible assets allocated to that cash-generating unit or group of cash-generating units is significant in relation to the aggregate carrying amount of </w:t>
      </w:r>
      <w:r w:rsidR="00F95963" w:rsidRPr="007D770B">
        <w:rPr>
          <w:rFonts w:ascii="Times New Roman" w:hAnsi="Times New Roman"/>
          <w:bCs/>
          <w:lang w:val="en-US"/>
        </w:rPr>
        <w:t xml:space="preserve">goodwill </w:t>
      </w:r>
      <w:r w:rsidRPr="007D770B">
        <w:rPr>
          <w:rFonts w:ascii="Times New Roman" w:hAnsi="Times New Roman"/>
          <w:bCs/>
          <w:lang w:val="en-US"/>
        </w:rPr>
        <w:t>or indefinite-lived intangible assets, the following information is provided:</w:t>
      </w:r>
    </w:p>
    <w:p w14:paraId="1416DD35" w14:textId="56BA74E3" w:rsidR="009E2B77" w:rsidRPr="007D770B" w:rsidRDefault="009E2B77" w:rsidP="00AE698A">
      <w:pPr>
        <w:numPr>
          <w:ilvl w:val="0"/>
          <w:numId w:val="96"/>
        </w:numPr>
        <w:tabs>
          <w:tab w:val="num" w:pos="720"/>
        </w:tabs>
        <w:autoSpaceDE w:val="0"/>
        <w:autoSpaceDN w:val="0"/>
        <w:adjustRightInd w:val="0"/>
        <w:spacing w:before="240" w:line="240" w:lineRule="auto"/>
        <w:rPr>
          <w:rFonts w:ascii="Times New Roman" w:hAnsi="Times New Roman"/>
          <w:bCs/>
          <w:lang w:val="en-US"/>
        </w:rPr>
      </w:pPr>
      <w:r w:rsidRPr="007D770B">
        <w:rPr>
          <w:rFonts w:ascii="Times New Roman" w:hAnsi="Times New Roman"/>
          <w:bCs/>
          <w:lang w:val="en-US"/>
        </w:rPr>
        <w:t xml:space="preserve">the carrying amount of </w:t>
      </w:r>
      <w:r w:rsidR="00F95963" w:rsidRPr="007D770B">
        <w:rPr>
          <w:rFonts w:ascii="Times New Roman" w:hAnsi="Times New Roman"/>
          <w:bCs/>
          <w:lang w:val="en-US"/>
        </w:rPr>
        <w:t xml:space="preserve">goodwill </w:t>
      </w:r>
      <w:r w:rsidRPr="007D770B">
        <w:rPr>
          <w:rFonts w:ascii="Times New Roman" w:hAnsi="Times New Roman"/>
          <w:bCs/>
          <w:lang w:val="en-US"/>
        </w:rPr>
        <w:t>allocated to the cash-generating unit (group of units);</w:t>
      </w:r>
    </w:p>
    <w:p w14:paraId="4C310807" w14:textId="77777777" w:rsidR="009E2B77" w:rsidRPr="007D770B" w:rsidRDefault="009E2B77" w:rsidP="00AE698A">
      <w:pPr>
        <w:numPr>
          <w:ilvl w:val="0"/>
          <w:numId w:val="96"/>
        </w:numPr>
        <w:tabs>
          <w:tab w:val="num" w:pos="720"/>
        </w:tabs>
        <w:autoSpaceDE w:val="0"/>
        <w:autoSpaceDN w:val="0"/>
        <w:adjustRightInd w:val="0"/>
        <w:spacing w:before="240" w:line="240" w:lineRule="auto"/>
        <w:rPr>
          <w:rFonts w:ascii="Times New Roman" w:hAnsi="Times New Roman"/>
          <w:bCs/>
          <w:lang w:val="en-US"/>
        </w:rPr>
      </w:pPr>
      <w:r w:rsidRPr="007D770B">
        <w:rPr>
          <w:rFonts w:ascii="Times New Roman" w:hAnsi="Times New Roman"/>
          <w:bCs/>
          <w:lang w:val="en-US"/>
        </w:rPr>
        <w:t>carrying amount of intangible assets with indefinite useful life allocated to a cash-generating unit (group of units);</w:t>
      </w:r>
    </w:p>
    <w:p w14:paraId="100DE337" w14:textId="77777777" w:rsidR="009E2B77" w:rsidRPr="007D770B" w:rsidRDefault="009E2B77" w:rsidP="00AE698A">
      <w:pPr>
        <w:numPr>
          <w:ilvl w:val="0"/>
          <w:numId w:val="96"/>
        </w:numPr>
        <w:tabs>
          <w:tab w:val="num" w:pos="720"/>
        </w:tabs>
        <w:autoSpaceDE w:val="0"/>
        <w:autoSpaceDN w:val="0"/>
        <w:adjustRightInd w:val="0"/>
        <w:spacing w:before="240" w:line="240" w:lineRule="auto"/>
        <w:rPr>
          <w:rFonts w:ascii="Times New Roman" w:hAnsi="Times New Roman"/>
          <w:bCs/>
          <w:lang w:val="en-US"/>
        </w:rPr>
      </w:pPr>
      <w:r w:rsidRPr="007D770B">
        <w:rPr>
          <w:rFonts w:ascii="Times New Roman" w:hAnsi="Times New Roman"/>
          <w:bCs/>
          <w:lang w:val="en-US"/>
        </w:rPr>
        <w:t>the basis for determining the recoverable amount of a cash-generating unit (i.e., value in use or fair value less costs to sell);</w:t>
      </w:r>
    </w:p>
    <w:p w14:paraId="7FD27351" w14:textId="77777777" w:rsidR="009E2B77" w:rsidRPr="007D770B" w:rsidRDefault="009E2B77" w:rsidP="00AE698A">
      <w:pPr>
        <w:numPr>
          <w:ilvl w:val="0"/>
          <w:numId w:val="96"/>
        </w:numPr>
        <w:tabs>
          <w:tab w:val="num" w:pos="720"/>
        </w:tabs>
        <w:autoSpaceDE w:val="0"/>
        <w:autoSpaceDN w:val="0"/>
        <w:adjustRightInd w:val="0"/>
        <w:spacing w:before="240" w:line="240" w:lineRule="auto"/>
        <w:rPr>
          <w:rFonts w:ascii="Times New Roman" w:hAnsi="Times New Roman"/>
          <w:bCs/>
          <w:lang w:val="en-US"/>
        </w:rPr>
      </w:pPr>
      <w:r w:rsidRPr="007D770B">
        <w:rPr>
          <w:rFonts w:ascii="Times New Roman" w:hAnsi="Times New Roman"/>
          <w:bCs/>
          <w:lang w:val="en-US"/>
        </w:rPr>
        <w:t>If the recoverable amount of a cash-generating unit (group of units) is based on value in use, the following information is provided:</w:t>
      </w:r>
    </w:p>
    <w:p w14:paraId="479EEF6C" w14:textId="77777777" w:rsidR="009E2B77" w:rsidRPr="007D770B" w:rsidRDefault="009E2B77" w:rsidP="002D72FD">
      <w:pPr>
        <w:numPr>
          <w:ilvl w:val="0"/>
          <w:numId w:val="19"/>
        </w:numPr>
        <w:tabs>
          <w:tab w:val="left" w:pos="1080"/>
          <w:tab w:val="num" w:pos="1980"/>
        </w:tabs>
        <w:autoSpaceDE w:val="0"/>
        <w:autoSpaceDN w:val="0"/>
        <w:adjustRightInd w:val="0"/>
        <w:spacing w:before="240" w:line="240" w:lineRule="auto"/>
        <w:ind w:left="1080"/>
        <w:rPr>
          <w:rFonts w:ascii="Times New Roman" w:hAnsi="Times New Roman"/>
          <w:bCs/>
          <w:lang w:val="en-US"/>
        </w:rPr>
      </w:pPr>
      <w:r w:rsidRPr="007D770B">
        <w:rPr>
          <w:rFonts w:ascii="Times New Roman" w:hAnsi="Times New Roman"/>
          <w:bCs/>
          <w:lang w:val="en-US"/>
        </w:rPr>
        <w:t>a description of all key assumptions made by management to prepare cash flow projections for the period covered by current budgets/plans (key assumptions are those against which the recoverable amount of the cash-generating unit is most volatile);</w:t>
      </w:r>
    </w:p>
    <w:p w14:paraId="3753EBF6" w14:textId="77777777" w:rsidR="009E2B77" w:rsidRPr="007D770B" w:rsidRDefault="009E2B77" w:rsidP="002D72FD">
      <w:pPr>
        <w:numPr>
          <w:ilvl w:val="0"/>
          <w:numId w:val="19"/>
        </w:numPr>
        <w:tabs>
          <w:tab w:val="left" w:pos="1080"/>
          <w:tab w:val="num" w:pos="1980"/>
        </w:tabs>
        <w:autoSpaceDE w:val="0"/>
        <w:autoSpaceDN w:val="0"/>
        <w:adjustRightInd w:val="0"/>
        <w:spacing w:before="240" w:line="240" w:lineRule="auto"/>
        <w:ind w:left="1080"/>
        <w:rPr>
          <w:rFonts w:ascii="Times New Roman" w:hAnsi="Times New Roman"/>
          <w:bCs/>
          <w:lang w:val="en-US"/>
        </w:rPr>
      </w:pPr>
      <w:r w:rsidRPr="007D770B">
        <w:rPr>
          <w:rFonts w:ascii="Times New Roman" w:hAnsi="Times New Roman"/>
          <w:bCs/>
          <w:lang w:val="en-US"/>
        </w:rPr>
        <w:t>a description of management's approach to determining the value of each key assumption; whether these values reflect past experience and/or are consistent with external sources of information, if relevant. If not, how and why they differ from past experience and/or external sources of information;</w:t>
      </w:r>
    </w:p>
    <w:p w14:paraId="298FFB29" w14:textId="77777777" w:rsidR="009E2B77" w:rsidRPr="007D770B" w:rsidRDefault="009E2B77" w:rsidP="002D72FD">
      <w:pPr>
        <w:numPr>
          <w:ilvl w:val="0"/>
          <w:numId w:val="19"/>
        </w:numPr>
        <w:tabs>
          <w:tab w:val="left" w:pos="1080"/>
          <w:tab w:val="num" w:pos="1980"/>
        </w:tabs>
        <w:autoSpaceDE w:val="0"/>
        <w:autoSpaceDN w:val="0"/>
        <w:adjustRightInd w:val="0"/>
        <w:spacing w:before="240" w:line="240" w:lineRule="auto"/>
        <w:ind w:left="1080"/>
        <w:rPr>
          <w:rFonts w:ascii="Times New Roman" w:hAnsi="Times New Roman"/>
          <w:bCs/>
          <w:lang w:val="en-US"/>
        </w:rPr>
      </w:pPr>
      <w:r w:rsidRPr="007D770B">
        <w:rPr>
          <w:rFonts w:ascii="Times New Roman" w:hAnsi="Times New Roman"/>
          <w:bCs/>
          <w:lang w:val="en-US"/>
        </w:rPr>
        <w:t>the period of cash flow projections based on financial plans/budgets approved by management and, if the period used for the cash-generating unit (group of units) exceeds five years, the rationale for using a longer period;</w:t>
      </w:r>
    </w:p>
    <w:p w14:paraId="13A30F9E" w14:textId="77777777" w:rsidR="009E2B77" w:rsidRPr="007D770B" w:rsidRDefault="009E2B77" w:rsidP="002D72FD">
      <w:pPr>
        <w:numPr>
          <w:ilvl w:val="0"/>
          <w:numId w:val="19"/>
        </w:numPr>
        <w:tabs>
          <w:tab w:val="left" w:pos="1080"/>
          <w:tab w:val="num" w:pos="1980"/>
        </w:tabs>
        <w:autoSpaceDE w:val="0"/>
        <w:autoSpaceDN w:val="0"/>
        <w:adjustRightInd w:val="0"/>
        <w:spacing w:before="240" w:line="240" w:lineRule="auto"/>
        <w:ind w:left="1080"/>
        <w:rPr>
          <w:rFonts w:ascii="Times New Roman" w:hAnsi="Times New Roman"/>
          <w:bCs/>
          <w:lang w:val="en-US"/>
        </w:rPr>
      </w:pPr>
      <w:r w:rsidRPr="007D770B">
        <w:rPr>
          <w:rFonts w:ascii="Times New Roman" w:hAnsi="Times New Roman"/>
          <w:bCs/>
          <w:lang w:val="en-US"/>
        </w:rPr>
        <w:t xml:space="preserve">the growth rate used to extrapolate the cash flow forecast beyond the period covered by current budgets/plans </w:t>
      </w:r>
      <w:r w:rsidR="007F0544" w:rsidRPr="007D770B">
        <w:rPr>
          <w:rFonts w:ascii="Times New Roman" w:hAnsi="Times New Roman"/>
          <w:bCs/>
          <w:lang w:val="en-US"/>
        </w:rPr>
        <w:t xml:space="preserve">and, if any, </w:t>
      </w:r>
      <w:r w:rsidRPr="007D770B">
        <w:rPr>
          <w:rFonts w:ascii="Times New Roman" w:hAnsi="Times New Roman"/>
          <w:bCs/>
          <w:lang w:val="en-US"/>
        </w:rPr>
        <w:t xml:space="preserve">a justification for the growth rate exceeding the long-term average growth rate for the products, industries and countries in which the </w:t>
      </w:r>
      <w:r w:rsidR="00F9744B" w:rsidRPr="007D770B">
        <w:rPr>
          <w:rFonts w:ascii="Times New Roman" w:hAnsi="Times New Roman"/>
          <w:lang w:val="en-US"/>
        </w:rPr>
        <w:t xml:space="preserve">Bank </w:t>
      </w:r>
      <w:r w:rsidRPr="007D770B">
        <w:rPr>
          <w:rFonts w:ascii="Times New Roman" w:hAnsi="Times New Roman"/>
          <w:bCs/>
          <w:lang w:val="en-US"/>
        </w:rPr>
        <w:t>operates or for the market to which the cash-generating unit (group of units) belongs;</w:t>
      </w:r>
    </w:p>
    <w:p w14:paraId="719ACAF4" w14:textId="77777777" w:rsidR="009E2B77" w:rsidRPr="007D770B" w:rsidRDefault="009E2B77" w:rsidP="002D72FD">
      <w:pPr>
        <w:numPr>
          <w:ilvl w:val="0"/>
          <w:numId w:val="19"/>
        </w:numPr>
        <w:tabs>
          <w:tab w:val="left" w:pos="1080"/>
          <w:tab w:val="num" w:pos="1980"/>
        </w:tabs>
        <w:autoSpaceDE w:val="0"/>
        <w:autoSpaceDN w:val="0"/>
        <w:adjustRightInd w:val="0"/>
        <w:spacing w:before="240" w:line="240" w:lineRule="auto"/>
        <w:ind w:left="1080"/>
        <w:rPr>
          <w:rFonts w:ascii="Times New Roman" w:hAnsi="Times New Roman"/>
          <w:bCs/>
          <w:lang w:val="en-US"/>
        </w:rPr>
      </w:pPr>
      <w:r w:rsidRPr="007D770B">
        <w:rPr>
          <w:rFonts w:ascii="Times New Roman" w:hAnsi="Times New Roman"/>
          <w:bCs/>
          <w:lang w:val="en-US"/>
        </w:rPr>
        <w:t>and discount rate(s) applied to cash flow projections;</w:t>
      </w:r>
    </w:p>
    <w:p w14:paraId="5A68F96F" w14:textId="77777777" w:rsidR="009E2B77" w:rsidRPr="007D770B" w:rsidRDefault="009E2B77" w:rsidP="00AE698A">
      <w:pPr>
        <w:numPr>
          <w:ilvl w:val="0"/>
          <w:numId w:val="97"/>
        </w:numPr>
        <w:tabs>
          <w:tab w:val="num" w:pos="720"/>
        </w:tabs>
        <w:autoSpaceDE w:val="0"/>
        <w:autoSpaceDN w:val="0"/>
        <w:adjustRightInd w:val="0"/>
        <w:spacing w:before="240" w:line="240" w:lineRule="auto"/>
        <w:rPr>
          <w:rFonts w:ascii="Times New Roman" w:hAnsi="Times New Roman"/>
          <w:bCs/>
          <w:lang w:val="en-US"/>
        </w:rPr>
      </w:pPr>
      <w:r w:rsidRPr="007D770B">
        <w:rPr>
          <w:rFonts w:ascii="Times New Roman" w:hAnsi="Times New Roman"/>
          <w:bCs/>
          <w:lang w:val="en-US"/>
        </w:rPr>
        <w:t>If the recoverable amount of the cash-generating unit is fair value less costs to sell, the methodology used to determine fair value less costs to sell is disclosed. If the fair value less costs to sell is not based on observable market prices, the following disclosures are provided:</w:t>
      </w:r>
    </w:p>
    <w:p w14:paraId="08360ED7" w14:textId="77777777" w:rsidR="009E2B77" w:rsidRPr="007D770B" w:rsidRDefault="009E2B77" w:rsidP="002D72FD">
      <w:pPr>
        <w:numPr>
          <w:ilvl w:val="0"/>
          <w:numId w:val="20"/>
        </w:numPr>
        <w:tabs>
          <w:tab w:val="num" w:pos="1080"/>
          <w:tab w:val="num" w:pos="1980"/>
        </w:tabs>
        <w:autoSpaceDE w:val="0"/>
        <w:autoSpaceDN w:val="0"/>
        <w:adjustRightInd w:val="0"/>
        <w:spacing w:before="240" w:line="240" w:lineRule="auto"/>
        <w:ind w:left="1080"/>
        <w:rPr>
          <w:rFonts w:ascii="Times New Roman" w:hAnsi="Times New Roman"/>
          <w:bCs/>
          <w:lang w:val="en-US"/>
        </w:rPr>
      </w:pPr>
      <w:r w:rsidRPr="007D770B">
        <w:rPr>
          <w:rFonts w:ascii="Times New Roman" w:hAnsi="Times New Roman"/>
          <w:bCs/>
          <w:lang w:val="en-US"/>
        </w:rPr>
        <w:t>A description of all key assumptions on which management has calculated fair value less costs to sell (key assumptions are those against which the recoverable amount of the cash-generating unit is most volatile); and</w:t>
      </w:r>
    </w:p>
    <w:p w14:paraId="1CE3F6B8" w14:textId="77777777" w:rsidR="009E2B77" w:rsidRPr="007D770B" w:rsidRDefault="009E2B77" w:rsidP="002D72FD">
      <w:pPr>
        <w:numPr>
          <w:ilvl w:val="0"/>
          <w:numId w:val="20"/>
        </w:numPr>
        <w:tabs>
          <w:tab w:val="num" w:pos="1080"/>
          <w:tab w:val="num" w:pos="1980"/>
        </w:tabs>
        <w:autoSpaceDE w:val="0"/>
        <w:autoSpaceDN w:val="0"/>
        <w:adjustRightInd w:val="0"/>
        <w:spacing w:before="240" w:line="240" w:lineRule="auto"/>
        <w:ind w:left="1080"/>
        <w:rPr>
          <w:rFonts w:ascii="Times New Roman" w:hAnsi="Times New Roman"/>
          <w:bCs/>
          <w:lang w:val="en-US"/>
        </w:rPr>
      </w:pPr>
      <w:r w:rsidRPr="007D770B">
        <w:rPr>
          <w:rFonts w:ascii="Times New Roman" w:hAnsi="Times New Roman"/>
          <w:bCs/>
          <w:lang w:val="en-US"/>
        </w:rPr>
        <w:t>a description of management's approach to determining the significance of each key assumption; whether the values reflect past experience and/or are consistent with external sources of information, if relevant. If not, how and why they differ from past experience and/or external sources of information.</w:t>
      </w:r>
    </w:p>
    <w:p w14:paraId="707CB58D" w14:textId="77777777" w:rsidR="009E2B77" w:rsidRPr="007D770B" w:rsidRDefault="009E2B77" w:rsidP="00F96B17">
      <w:pPr>
        <w:autoSpaceDE w:val="0"/>
        <w:autoSpaceDN w:val="0"/>
        <w:adjustRightInd w:val="0"/>
        <w:spacing w:before="240" w:line="240" w:lineRule="auto"/>
        <w:ind w:left="0"/>
        <w:rPr>
          <w:rFonts w:ascii="Times New Roman" w:hAnsi="Times New Roman"/>
          <w:bCs/>
          <w:lang w:val="en-US"/>
        </w:rPr>
      </w:pPr>
      <w:r w:rsidRPr="007D770B">
        <w:rPr>
          <w:rFonts w:ascii="Times New Roman" w:hAnsi="Times New Roman"/>
          <w:bCs/>
          <w:lang w:val="en-US"/>
        </w:rPr>
        <w:t>If management determines fair value less costs to sell through a cash flow reconciliation, the following disclosures are required:</w:t>
      </w:r>
    </w:p>
    <w:p w14:paraId="7B4DD1B6" w14:textId="77777777" w:rsidR="009E2B77" w:rsidRPr="007D770B" w:rsidRDefault="009E2B77" w:rsidP="00AE698A">
      <w:pPr>
        <w:numPr>
          <w:ilvl w:val="0"/>
          <w:numId w:val="98"/>
        </w:numPr>
        <w:autoSpaceDE w:val="0"/>
        <w:autoSpaceDN w:val="0"/>
        <w:adjustRightInd w:val="0"/>
        <w:spacing w:before="240" w:line="240" w:lineRule="auto"/>
        <w:rPr>
          <w:rFonts w:ascii="Times New Roman" w:hAnsi="Times New Roman"/>
          <w:bCs/>
          <w:lang w:val="en-US"/>
        </w:rPr>
      </w:pPr>
      <w:r w:rsidRPr="007D770B">
        <w:rPr>
          <w:rFonts w:ascii="Times New Roman" w:hAnsi="Times New Roman"/>
          <w:bCs/>
          <w:lang w:val="en-US"/>
        </w:rPr>
        <w:t>the period over which management forecasts cash flows;</w:t>
      </w:r>
    </w:p>
    <w:p w14:paraId="73733E1B" w14:textId="77777777" w:rsidR="009E2B77" w:rsidRPr="007D770B" w:rsidRDefault="009E2B77" w:rsidP="00AE698A">
      <w:pPr>
        <w:numPr>
          <w:ilvl w:val="0"/>
          <w:numId w:val="98"/>
        </w:numPr>
        <w:autoSpaceDE w:val="0"/>
        <w:autoSpaceDN w:val="0"/>
        <w:adjustRightInd w:val="0"/>
        <w:spacing w:before="240" w:line="240" w:lineRule="auto"/>
        <w:rPr>
          <w:rFonts w:ascii="Times New Roman" w:hAnsi="Times New Roman"/>
          <w:bCs/>
          <w:lang w:val="en-US"/>
        </w:rPr>
      </w:pPr>
      <w:r w:rsidRPr="007D770B">
        <w:rPr>
          <w:rFonts w:ascii="Times New Roman" w:hAnsi="Times New Roman"/>
          <w:bCs/>
          <w:lang w:val="en-US"/>
        </w:rPr>
        <w:t>growth rate used to extrapolate cash flow projections;</w:t>
      </w:r>
    </w:p>
    <w:p w14:paraId="27228FEA" w14:textId="77777777" w:rsidR="009E2B77" w:rsidRPr="007D770B" w:rsidRDefault="009E2B77" w:rsidP="00AE698A">
      <w:pPr>
        <w:numPr>
          <w:ilvl w:val="0"/>
          <w:numId w:val="98"/>
        </w:numPr>
        <w:autoSpaceDE w:val="0"/>
        <w:autoSpaceDN w:val="0"/>
        <w:adjustRightInd w:val="0"/>
        <w:spacing w:before="240" w:line="240" w:lineRule="auto"/>
        <w:rPr>
          <w:rFonts w:ascii="Times New Roman" w:hAnsi="Times New Roman"/>
          <w:bCs/>
          <w:lang w:val="en-US"/>
        </w:rPr>
      </w:pPr>
      <w:r w:rsidRPr="007D770B">
        <w:rPr>
          <w:rFonts w:ascii="Times New Roman" w:hAnsi="Times New Roman"/>
          <w:bCs/>
          <w:lang w:val="en-US"/>
        </w:rPr>
        <w:lastRenderedPageBreak/>
        <w:t>discount rates used for cash flow projections.</w:t>
      </w:r>
    </w:p>
    <w:p w14:paraId="73F7D274" w14:textId="77777777" w:rsidR="009E2B77" w:rsidRPr="007D770B" w:rsidRDefault="009E2B77" w:rsidP="00F96B17">
      <w:pPr>
        <w:autoSpaceDE w:val="0"/>
        <w:autoSpaceDN w:val="0"/>
        <w:adjustRightInd w:val="0"/>
        <w:spacing w:before="240" w:line="240" w:lineRule="auto"/>
        <w:ind w:left="0"/>
        <w:rPr>
          <w:rFonts w:ascii="Times New Roman" w:hAnsi="Times New Roman"/>
          <w:bCs/>
          <w:lang w:val="en-US"/>
        </w:rPr>
      </w:pPr>
      <w:r w:rsidRPr="007D770B">
        <w:rPr>
          <w:rFonts w:ascii="Times New Roman" w:hAnsi="Times New Roman"/>
          <w:bCs/>
          <w:lang w:val="en-US"/>
        </w:rPr>
        <w:t>If it is reasonable to expect a change in a key assumption on the basis of which management determined the recoverable amounts of cash-generating units that would cause the carrying amount of a cash-generating unit to exceed its recoverable amount, disclosed:</w:t>
      </w:r>
    </w:p>
    <w:p w14:paraId="0551B32A" w14:textId="77777777" w:rsidR="009E2B77" w:rsidRPr="007D770B" w:rsidRDefault="009E2B77" w:rsidP="00AE698A">
      <w:pPr>
        <w:numPr>
          <w:ilvl w:val="0"/>
          <w:numId w:val="99"/>
        </w:numPr>
        <w:autoSpaceDE w:val="0"/>
        <w:autoSpaceDN w:val="0"/>
        <w:adjustRightInd w:val="0"/>
        <w:spacing w:before="240" w:line="240" w:lineRule="auto"/>
        <w:rPr>
          <w:rFonts w:ascii="Times New Roman" w:hAnsi="Times New Roman"/>
          <w:bCs/>
          <w:lang w:val="en-US"/>
        </w:rPr>
      </w:pPr>
      <w:r w:rsidRPr="007D770B">
        <w:rPr>
          <w:rFonts w:ascii="Times New Roman" w:hAnsi="Times New Roman"/>
          <w:bCs/>
          <w:lang w:val="en-US"/>
        </w:rPr>
        <w:t>the difference between the recoverable amount of the cash-generating unit and its carrying amount;</w:t>
      </w:r>
    </w:p>
    <w:p w14:paraId="2A531206" w14:textId="77777777" w:rsidR="009E2B77" w:rsidRPr="007D770B" w:rsidRDefault="009E2B77" w:rsidP="00AE698A">
      <w:pPr>
        <w:numPr>
          <w:ilvl w:val="0"/>
          <w:numId w:val="99"/>
        </w:numPr>
        <w:autoSpaceDE w:val="0"/>
        <w:autoSpaceDN w:val="0"/>
        <w:adjustRightInd w:val="0"/>
        <w:spacing w:before="240" w:line="240" w:lineRule="auto"/>
        <w:rPr>
          <w:rFonts w:ascii="Times New Roman" w:hAnsi="Times New Roman"/>
          <w:bCs/>
          <w:lang w:val="en-US"/>
        </w:rPr>
      </w:pPr>
      <w:r w:rsidRPr="007D770B">
        <w:rPr>
          <w:rFonts w:ascii="Times New Roman" w:hAnsi="Times New Roman"/>
          <w:bCs/>
          <w:lang w:val="en-US"/>
        </w:rPr>
        <w:t>the values of the key assumptions adopted and the amount by which the value of the key assumption must change, taking into account the consequential effect of that change on the other variables underlying the recoverable amount estimate, in order for the recoverable amount to equal the carrying amount.</w:t>
      </w:r>
    </w:p>
    <w:p w14:paraId="4FE739C2" w14:textId="23CEA3E5" w:rsidR="009E2B77" w:rsidRPr="007D770B" w:rsidRDefault="009E2B77" w:rsidP="00F96B17">
      <w:pPr>
        <w:autoSpaceDE w:val="0"/>
        <w:autoSpaceDN w:val="0"/>
        <w:adjustRightInd w:val="0"/>
        <w:spacing w:before="240" w:line="240" w:lineRule="auto"/>
        <w:ind w:left="0"/>
        <w:rPr>
          <w:rFonts w:ascii="Times New Roman" w:hAnsi="Times New Roman"/>
          <w:bCs/>
          <w:lang w:val="en-US"/>
        </w:rPr>
      </w:pPr>
      <w:r w:rsidRPr="007D770B">
        <w:rPr>
          <w:rFonts w:ascii="Times New Roman" w:hAnsi="Times New Roman"/>
          <w:bCs/>
          <w:lang w:val="en-US"/>
        </w:rPr>
        <w:t xml:space="preserve">If some or all of the carrying amount of </w:t>
      </w:r>
      <w:r w:rsidR="00F95963" w:rsidRPr="007D770B">
        <w:rPr>
          <w:rFonts w:ascii="Times New Roman" w:hAnsi="Times New Roman"/>
          <w:bCs/>
          <w:lang w:val="en-US"/>
        </w:rPr>
        <w:t xml:space="preserve">goodwill </w:t>
      </w:r>
      <w:r w:rsidRPr="007D770B">
        <w:rPr>
          <w:rFonts w:ascii="Times New Roman" w:hAnsi="Times New Roman"/>
          <w:bCs/>
          <w:lang w:val="en-US"/>
        </w:rPr>
        <w:t xml:space="preserve">or intangible assets with indefinite useful lives is allocated to more than one cash-generating unit (or group of cash-generating units), and the amount allocated to each cash-generating unit (or group of cash-generating units) is not material compared to the total carrying amount of </w:t>
      </w:r>
      <w:r w:rsidR="00F95963" w:rsidRPr="007D770B">
        <w:rPr>
          <w:rFonts w:ascii="Times New Roman" w:hAnsi="Times New Roman"/>
          <w:bCs/>
          <w:lang w:val="en-US"/>
        </w:rPr>
        <w:t xml:space="preserve">goodwill </w:t>
      </w:r>
      <w:r w:rsidRPr="007D770B">
        <w:rPr>
          <w:rFonts w:ascii="Times New Roman" w:hAnsi="Times New Roman"/>
          <w:bCs/>
          <w:lang w:val="en-US"/>
        </w:rPr>
        <w:t xml:space="preserve">or intangible assets with indefinite useful lives of the </w:t>
      </w:r>
      <w:r w:rsidR="00F9744B" w:rsidRPr="007D770B">
        <w:rPr>
          <w:rFonts w:ascii="Times New Roman" w:hAnsi="Times New Roman"/>
          <w:lang w:val="en-US"/>
        </w:rPr>
        <w:t>Bank</w:t>
      </w:r>
      <w:r w:rsidRPr="007D770B">
        <w:rPr>
          <w:rFonts w:ascii="Times New Roman" w:hAnsi="Times New Roman"/>
          <w:bCs/>
          <w:lang w:val="en-US"/>
        </w:rPr>
        <w:t xml:space="preserve">, this fact is disclosed and the total amount of </w:t>
      </w:r>
      <w:r w:rsidR="00F95963" w:rsidRPr="007D770B">
        <w:rPr>
          <w:rFonts w:ascii="Times New Roman" w:hAnsi="Times New Roman"/>
          <w:bCs/>
          <w:lang w:val="en-US"/>
        </w:rPr>
        <w:t xml:space="preserve">goodwill </w:t>
      </w:r>
      <w:r w:rsidRPr="007D770B">
        <w:rPr>
          <w:rFonts w:ascii="Times New Roman" w:hAnsi="Times New Roman"/>
          <w:bCs/>
          <w:lang w:val="en-US"/>
        </w:rPr>
        <w:t xml:space="preserve">or intangible assets with indefinite useful lives is reported in the statement of </w:t>
      </w:r>
      <w:r w:rsidR="00F95963" w:rsidRPr="007D770B">
        <w:rPr>
          <w:rFonts w:ascii="Times New Roman" w:hAnsi="Times New Roman"/>
          <w:bCs/>
          <w:lang w:val="en-US"/>
        </w:rPr>
        <w:t xml:space="preserve">financial </w:t>
      </w:r>
      <w:r w:rsidRPr="007D770B">
        <w:rPr>
          <w:rFonts w:ascii="Times New Roman" w:hAnsi="Times New Roman"/>
          <w:bCs/>
          <w:lang w:val="en-US"/>
        </w:rPr>
        <w:t>position.</w:t>
      </w:r>
    </w:p>
    <w:p w14:paraId="749FAF8D" w14:textId="2D9F2E5E" w:rsidR="009E2B77" w:rsidRPr="007D770B" w:rsidRDefault="009E2B77" w:rsidP="00F96B17">
      <w:pPr>
        <w:autoSpaceDE w:val="0"/>
        <w:autoSpaceDN w:val="0"/>
        <w:adjustRightInd w:val="0"/>
        <w:spacing w:before="240" w:line="240" w:lineRule="auto"/>
        <w:ind w:left="0"/>
        <w:rPr>
          <w:rFonts w:ascii="Times New Roman" w:hAnsi="Times New Roman"/>
          <w:bCs/>
          <w:lang w:val="en-US"/>
        </w:rPr>
      </w:pPr>
      <w:r w:rsidRPr="007D770B">
        <w:rPr>
          <w:rFonts w:ascii="Times New Roman" w:hAnsi="Times New Roman"/>
          <w:bCs/>
          <w:lang w:val="en-US"/>
        </w:rPr>
        <w:t xml:space="preserve">If the recoverable amounts of multiple cash-generating units (or groups of cash-generating units) are based on the same key assumptions and the aggregate carrying amount of </w:t>
      </w:r>
      <w:r w:rsidR="00F95963" w:rsidRPr="007D770B">
        <w:rPr>
          <w:rFonts w:ascii="Times New Roman" w:hAnsi="Times New Roman"/>
          <w:bCs/>
          <w:lang w:val="en-US"/>
        </w:rPr>
        <w:t xml:space="preserve">goodwill </w:t>
      </w:r>
      <w:r w:rsidRPr="007D770B">
        <w:rPr>
          <w:rFonts w:ascii="Times New Roman" w:hAnsi="Times New Roman"/>
          <w:bCs/>
          <w:lang w:val="en-US"/>
        </w:rPr>
        <w:t xml:space="preserve">or intangible assets with definite useful lives is allocated to those cash-generating units and is material, the </w:t>
      </w:r>
      <w:r w:rsidR="00F9744B" w:rsidRPr="007D770B">
        <w:rPr>
          <w:rFonts w:ascii="Times New Roman" w:hAnsi="Times New Roman"/>
          <w:lang w:val="en-US"/>
        </w:rPr>
        <w:t xml:space="preserve">Bank </w:t>
      </w:r>
      <w:r w:rsidRPr="007D770B">
        <w:rPr>
          <w:rFonts w:ascii="Times New Roman" w:hAnsi="Times New Roman"/>
          <w:bCs/>
          <w:lang w:val="en-US"/>
        </w:rPr>
        <w:t>discloses that fact and indicates:</w:t>
      </w:r>
    </w:p>
    <w:p w14:paraId="2D1E9987" w14:textId="77777777" w:rsidR="009E2B77" w:rsidRPr="007D770B" w:rsidRDefault="009E2B77" w:rsidP="00AE698A">
      <w:pPr>
        <w:numPr>
          <w:ilvl w:val="0"/>
          <w:numId w:val="100"/>
        </w:numPr>
        <w:autoSpaceDE w:val="0"/>
        <w:autoSpaceDN w:val="0"/>
        <w:adjustRightInd w:val="0"/>
        <w:spacing w:before="240" w:line="240" w:lineRule="auto"/>
        <w:rPr>
          <w:rFonts w:ascii="Times New Roman" w:hAnsi="Times New Roman"/>
          <w:bCs/>
          <w:lang w:val="en-US"/>
        </w:rPr>
      </w:pPr>
      <w:r w:rsidRPr="007D770B">
        <w:rPr>
          <w:rFonts w:ascii="Times New Roman" w:hAnsi="Times New Roman"/>
          <w:bCs/>
          <w:lang w:val="en-US"/>
        </w:rPr>
        <w:t>the total carrying amount of intangible assets with indefinite useful lives allocated to the cash-generating units (or groups of cash-generating units);</w:t>
      </w:r>
    </w:p>
    <w:p w14:paraId="09F499B3" w14:textId="77777777" w:rsidR="009E2B77" w:rsidRPr="002D4EA3" w:rsidRDefault="009E2B77" w:rsidP="00AE698A">
      <w:pPr>
        <w:numPr>
          <w:ilvl w:val="0"/>
          <w:numId w:val="100"/>
        </w:numPr>
        <w:autoSpaceDE w:val="0"/>
        <w:autoSpaceDN w:val="0"/>
        <w:adjustRightInd w:val="0"/>
        <w:spacing w:before="240" w:line="240" w:lineRule="auto"/>
        <w:rPr>
          <w:rFonts w:ascii="Times New Roman" w:hAnsi="Times New Roman"/>
          <w:bCs/>
        </w:rPr>
      </w:pPr>
      <w:r w:rsidRPr="002D4EA3">
        <w:rPr>
          <w:rFonts w:ascii="Times New Roman" w:hAnsi="Times New Roman"/>
          <w:bCs/>
        </w:rPr>
        <w:t>description of key assumptions;</w:t>
      </w:r>
    </w:p>
    <w:p w14:paraId="07B930B6" w14:textId="77777777" w:rsidR="009E2B77" w:rsidRPr="007D770B" w:rsidRDefault="009E2B77" w:rsidP="00AE698A">
      <w:pPr>
        <w:numPr>
          <w:ilvl w:val="0"/>
          <w:numId w:val="100"/>
        </w:numPr>
        <w:autoSpaceDE w:val="0"/>
        <w:autoSpaceDN w:val="0"/>
        <w:adjustRightInd w:val="0"/>
        <w:spacing w:before="240" w:line="240" w:lineRule="auto"/>
        <w:rPr>
          <w:rFonts w:ascii="Times New Roman" w:hAnsi="Times New Roman"/>
          <w:bCs/>
          <w:lang w:val="en-US"/>
        </w:rPr>
      </w:pPr>
      <w:r w:rsidRPr="007D770B">
        <w:rPr>
          <w:rFonts w:ascii="Times New Roman" w:hAnsi="Times New Roman"/>
          <w:bCs/>
          <w:lang w:val="en-US"/>
        </w:rPr>
        <w:t>a description of management's approach to determining the value of each key assumption; whether these values reflect past experience and/or are consistent with external sources of information, if relevant. If not, how and why they differ from past experience and/or external sources of information; and</w:t>
      </w:r>
    </w:p>
    <w:p w14:paraId="668E70EF" w14:textId="77777777" w:rsidR="009E2B77" w:rsidRPr="007D770B" w:rsidRDefault="009E2B77" w:rsidP="00AE698A">
      <w:pPr>
        <w:numPr>
          <w:ilvl w:val="0"/>
          <w:numId w:val="100"/>
        </w:numPr>
        <w:autoSpaceDE w:val="0"/>
        <w:autoSpaceDN w:val="0"/>
        <w:adjustRightInd w:val="0"/>
        <w:spacing w:before="240" w:line="240" w:lineRule="auto"/>
        <w:rPr>
          <w:rFonts w:ascii="Times New Roman" w:hAnsi="Times New Roman"/>
          <w:bCs/>
          <w:lang w:val="en-US"/>
        </w:rPr>
      </w:pPr>
      <w:r w:rsidRPr="007D770B">
        <w:rPr>
          <w:rFonts w:ascii="Times New Roman" w:hAnsi="Times New Roman"/>
          <w:bCs/>
          <w:lang w:val="en-US"/>
        </w:rPr>
        <w:t>if a change in a key assumption that would cause the carrying amount of a cash-generating unit (or group of cash-generating units) to exceed its recoverable amount can be expected, is disclosed:</w:t>
      </w:r>
    </w:p>
    <w:p w14:paraId="018F7139" w14:textId="77777777" w:rsidR="009E2B77" w:rsidRPr="007D770B" w:rsidRDefault="009E2B77" w:rsidP="00AE698A">
      <w:pPr>
        <w:numPr>
          <w:ilvl w:val="0"/>
          <w:numId w:val="26"/>
        </w:numPr>
        <w:tabs>
          <w:tab w:val="num" w:pos="1080"/>
        </w:tabs>
        <w:autoSpaceDE w:val="0"/>
        <w:autoSpaceDN w:val="0"/>
        <w:adjustRightInd w:val="0"/>
        <w:spacing w:before="240" w:line="240" w:lineRule="auto"/>
        <w:ind w:left="1080"/>
        <w:rPr>
          <w:rFonts w:ascii="Times New Roman" w:hAnsi="Times New Roman"/>
          <w:bCs/>
          <w:lang w:val="en-US"/>
        </w:rPr>
      </w:pPr>
      <w:r w:rsidRPr="007D770B">
        <w:rPr>
          <w:rFonts w:ascii="Times New Roman" w:hAnsi="Times New Roman"/>
          <w:bCs/>
          <w:lang w:val="en-US"/>
        </w:rPr>
        <w:t>the difference between the recoverable amount of the cash-generating unit and its carrying amount;</w:t>
      </w:r>
    </w:p>
    <w:p w14:paraId="76F73680" w14:textId="77777777" w:rsidR="009E2B77" w:rsidRPr="007D770B" w:rsidRDefault="009E2B77" w:rsidP="00AE698A">
      <w:pPr>
        <w:numPr>
          <w:ilvl w:val="0"/>
          <w:numId w:val="26"/>
        </w:numPr>
        <w:tabs>
          <w:tab w:val="num" w:pos="1080"/>
        </w:tabs>
        <w:autoSpaceDE w:val="0"/>
        <w:autoSpaceDN w:val="0"/>
        <w:adjustRightInd w:val="0"/>
        <w:spacing w:before="240" w:line="240" w:lineRule="auto"/>
        <w:ind w:left="1080"/>
        <w:rPr>
          <w:rFonts w:ascii="Times New Roman" w:hAnsi="Times New Roman"/>
          <w:bCs/>
          <w:lang w:val="en-US"/>
        </w:rPr>
      </w:pPr>
      <w:r w:rsidRPr="007D770B">
        <w:rPr>
          <w:rFonts w:ascii="Times New Roman" w:hAnsi="Times New Roman"/>
          <w:bCs/>
          <w:lang w:val="en-US"/>
        </w:rPr>
        <w:t>the values of key assumptions adopted; and</w:t>
      </w:r>
    </w:p>
    <w:p w14:paraId="04F2BF72" w14:textId="1B4459A5" w:rsidR="0089594E" w:rsidRPr="007D770B" w:rsidRDefault="009E2B77" w:rsidP="00AE698A">
      <w:pPr>
        <w:numPr>
          <w:ilvl w:val="0"/>
          <w:numId w:val="26"/>
        </w:numPr>
        <w:tabs>
          <w:tab w:val="num" w:pos="1080"/>
        </w:tabs>
        <w:autoSpaceDE w:val="0"/>
        <w:autoSpaceDN w:val="0"/>
        <w:adjustRightInd w:val="0"/>
        <w:spacing w:before="240" w:line="240" w:lineRule="auto"/>
        <w:ind w:left="1080"/>
        <w:rPr>
          <w:rFonts w:ascii="Times New Roman" w:hAnsi="Times New Roman"/>
          <w:bCs/>
          <w:lang w:val="en-US"/>
        </w:rPr>
      </w:pPr>
      <w:r w:rsidRPr="007D770B">
        <w:rPr>
          <w:rFonts w:ascii="Times New Roman" w:hAnsi="Times New Roman"/>
          <w:bCs/>
          <w:lang w:val="en-US"/>
        </w:rPr>
        <w:t xml:space="preserve">the amount by which the value of the key assumption must change, taking into account the consequential effect of that change on the other variables underlying the recoverable amount estimate, in order for the recoverable amount of the cash-generating unit (or group of cash-generating </w:t>
      </w:r>
      <w:r w:rsidR="00F95963" w:rsidRPr="007D770B">
        <w:rPr>
          <w:rFonts w:ascii="Times New Roman" w:hAnsi="Times New Roman"/>
          <w:bCs/>
          <w:lang w:val="en-US"/>
        </w:rPr>
        <w:t xml:space="preserve">units) to </w:t>
      </w:r>
      <w:r w:rsidRPr="007D770B">
        <w:rPr>
          <w:rFonts w:ascii="Times New Roman" w:hAnsi="Times New Roman"/>
          <w:bCs/>
          <w:lang w:val="en-US"/>
        </w:rPr>
        <w:t>equal its carrying amount.</w:t>
      </w:r>
    </w:p>
    <w:p w14:paraId="6FA7297D" w14:textId="77777777" w:rsidR="0089594E" w:rsidRPr="007D770B" w:rsidRDefault="0089594E" w:rsidP="0089594E">
      <w:pPr>
        <w:autoSpaceDE w:val="0"/>
        <w:autoSpaceDN w:val="0"/>
        <w:adjustRightInd w:val="0"/>
        <w:spacing w:before="240" w:line="240" w:lineRule="auto"/>
        <w:rPr>
          <w:rFonts w:ascii="Times New Roman" w:hAnsi="Times New Roman"/>
          <w:bCs/>
          <w:lang w:val="en-US"/>
        </w:rPr>
      </w:pPr>
    </w:p>
    <w:p w14:paraId="7AEF9FA3" w14:textId="77777777" w:rsidR="0089594E" w:rsidRPr="007D770B" w:rsidRDefault="0089594E" w:rsidP="0089594E">
      <w:pPr>
        <w:autoSpaceDE w:val="0"/>
        <w:autoSpaceDN w:val="0"/>
        <w:adjustRightInd w:val="0"/>
        <w:spacing w:before="240" w:line="240" w:lineRule="auto"/>
        <w:rPr>
          <w:rFonts w:ascii="Times New Roman" w:hAnsi="Times New Roman"/>
          <w:bCs/>
          <w:lang w:val="en-US"/>
        </w:rPr>
        <w:sectPr w:rsidR="0089594E" w:rsidRPr="007D770B" w:rsidSect="0005635A">
          <w:headerReference w:type="even" r:id="rId64"/>
          <w:headerReference w:type="default" r:id="rId65"/>
          <w:headerReference w:type="first" r:id="rId66"/>
          <w:type w:val="continuous"/>
          <w:pgSz w:w="11906" w:h="16838"/>
          <w:pgMar w:top="1268" w:right="680" w:bottom="900" w:left="1134" w:header="510" w:footer="404" w:gutter="0"/>
          <w:cols w:space="708"/>
          <w:titlePg/>
          <w:docGrid w:linePitch="360"/>
        </w:sectPr>
      </w:pPr>
    </w:p>
    <w:p w14:paraId="06B90DEF" w14:textId="77777777" w:rsidR="00B13FE5" w:rsidRPr="007D770B" w:rsidRDefault="00B13FE5" w:rsidP="00B13FE5">
      <w:pPr>
        <w:pStyle w:val="2"/>
        <w:pageBreakBefore/>
        <w:spacing w:before="240"/>
        <w:jc w:val="both"/>
        <w:rPr>
          <w:rFonts w:ascii="Times New Roman" w:eastAsia="Calibri" w:hAnsi="Times New Roman"/>
          <w:kern w:val="0"/>
          <w:sz w:val="20"/>
          <w:szCs w:val="20"/>
          <w:lang w:val="en-US"/>
        </w:rPr>
      </w:pPr>
      <w:bookmarkStart w:id="287" w:name="_Toc168502086"/>
      <w:r w:rsidRPr="007D770B">
        <w:rPr>
          <w:rFonts w:ascii="Times New Roman" w:eastAsia="Calibri" w:hAnsi="Times New Roman"/>
          <w:kern w:val="0"/>
          <w:sz w:val="20"/>
          <w:szCs w:val="20"/>
          <w:lang w:val="en-US"/>
        </w:rPr>
        <w:lastRenderedPageBreak/>
        <w:t>Section 12. Leases (IFRS 16)</w:t>
      </w:r>
      <w:bookmarkEnd w:id="287"/>
    </w:p>
    <w:p w14:paraId="04583F07" w14:textId="77777777" w:rsidR="00B13FE5" w:rsidRPr="007D770B" w:rsidRDefault="00B13FE5" w:rsidP="00E61D21">
      <w:pPr>
        <w:pStyle w:val="3"/>
        <w:rPr>
          <w:lang w:val="en-US"/>
        </w:rPr>
      </w:pPr>
      <w:bookmarkStart w:id="288" w:name="_Toc168502087"/>
      <w:r w:rsidRPr="007D770B">
        <w:rPr>
          <w:lang w:val="en-US"/>
        </w:rPr>
        <w:t>12.1 General Provisions.</w:t>
      </w:r>
      <w:bookmarkEnd w:id="288"/>
    </w:p>
    <w:p w14:paraId="4876A1AB" w14:textId="77777777" w:rsidR="00B13FE5" w:rsidRPr="007D770B" w:rsidRDefault="00B13FE5" w:rsidP="00B13FE5">
      <w:pPr>
        <w:ind w:left="0"/>
        <w:rPr>
          <w:rFonts w:ascii="Times New Roman" w:hAnsi="Times New Roman"/>
          <w:lang w:val="en-US"/>
        </w:rPr>
      </w:pPr>
      <w:r w:rsidRPr="007D770B">
        <w:rPr>
          <w:rFonts w:ascii="Times New Roman" w:hAnsi="Times New Roman"/>
          <w:lang w:val="en-US"/>
        </w:rPr>
        <w:t>This section of the Accounting Policy is applied by the Bank to account for leases. The Bank must consider the terms of the contracts and all relevant facts and circumstances.</w:t>
      </w:r>
    </w:p>
    <w:p w14:paraId="0A250AD2" w14:textId="77777777" w:rsidR="00B13FE5" w:rsidRPr="007D770B" w:rsidRDefault="00B13FE5" w:rsidP="00B13FE5">
      <w:pPr>
        <w:ind w:left="0"/>
        <w:rPr>
          <w:rFonts w:ascii="Times New Roman" w:hAnsi="Times New Roman"/>
          <w:lang w:val="en-US"/>
        </w:rPr>
      </w:pPr>
      <w:r w:rsidRPr="007D770B">
        <w:rPr>
          <w:rFonts w:ascii="Times New Roman" w:hAnsi="Times New Roman"/>
          <w:lang w:val="en-US"/>
        </w:rPr>
        <w:t>At the inception of the contract, the Bank must assess whether the contract as a whole or its individual components is a lease. A contract or its separate components is a lease if the contract conveys the right to control the use of an identified asset for a specified period of time in exchange for consideration.</w:t>
      </w:r>
    </w:p>
    <w:p w14:paraId="4A1CCAC4" w14:textId="77777777" w:rsidR="00B13FE5" w:rsidRPr="007D770B" w:rsidRDefault="00B13FE5" w:rsidP="00B13FE5">
      <w:pPr>
        <w:ind w:left="0"/>
        <w:rPr>
          <w:rFonts w:ascii="Times New Roman" w:hAnsi="Times New Roman"/>
          <w:lang w:val="en-US"/>
        </w:rPr>
      </w:pPr>
      <w:r w:rsidRPr="007D770B">
        <w:rPr>
          <w:rFonts w:ascii="Times New Roman" w:hAnsi="Times New Roman"/>
          <w:lang w:val="en-US"/>
        </w:rPr>
        <w:t xml:space="preserve">An identified asset can be a part of an asset that is physically distinguishable (e.g., a floor of a building). </w:t>
      </w:r>
    </w:p>
    <w:p w14:paraId="5CEAA63A" w14:textId="77777777" w:rsidR="00F47DFF" w:rsidRPr="007D770B" w:rsidRDefault="00F47DFF" w:rsidP="00F47DFF">
      <w:pPr>
        <w:ind w:left="0"/>
        <w:rPr>
          <w:rFonts w:ascii="Times New Roman" w:hAnsi="Times New Roman"/>
          <w:lang w:val="en-US"/>
        </w:rPr>
      </w:pPr>
      <w:r w:rsidRPr="007D770B">
        <w:rPr>
          <w:rFonts w:ascii="Times New Roman" w:hAnsi="Times New Roman"/>
          <w:lang w:val="en-US"/>
        </w:rPr>
        <w:t>The right to control the use of an identified asset is determined by the presence of the following characteristics:</w:t>
      </w:r>
    </w:p>
    <w:p w14:paraId="30F7D9E3" w14:textId="77777777" w:rsidR="00F47DFF" w:rsidRPr="007D770B" w:rsidRDefault="00F47DFF" w:rsidP="00AE698A">
      <w:pPr>
        <w:pStyle w:val="aa"/>
        <w:widowControl w:val="0"/>
        <w:numPr>
          <w:ilvl w:val="0"/>
          <w:numId w:val="377"/>
        </w:numPr>
        <w:tabs>
          <w:tab w:val="left" w:pos="284"/>
        </w:tabs>
        <w:autoSpaceDE w:val="0"/>
        <w:autoSpaceDN w:val="0"/>
        <w:adjustRightInd w:val="0"/>
        <w:spacing w:after="0" w:line="240" w:lineRule="auto"/>
        <w:ind w:left="0" w:firstLine="0"/>
        <w:jc w:val="left"/>
        <w:rPr>
          <w:rFonts w:ascii="Times New Roman" w:hAnsi="Times New Roman"/>
          <w:lang w:val="en-US"/>
        </w:rPr>
      </w:pPr>
      <w:r w:rsidRPr="007D770B">
        <w:rPr>
          <w:rFonts w:ascii="Times New Roman" w:hAnsi="Times New Roman"/>
          <w:lang w:val="en-US"/>
        </w:rPr>
        <w:t>the right to obtain substantially all of the economic benefits from the use of the identified asset;</w:t>
      </w:r>
    </w:p>
    <w:p w14:paraId="3A4B24CF" w14:textId="77777777" w:rsidR="00FB090E" w:rsidRPr="007D770B" w:rsidRDefault="00F47DFF" w:rsidP="00AE698A">
      <w:pPr>
        <w:pStyle w:val="aa"/>
        <w:widowControl w:val="0"/>
        <w:numPr>
          <w:ilvl w:val="0"/>
          <w:numId w:val="377"/>
        </w:numPr>
        <w:tabs>
          <w:tab w:val="left" w:pos="284"/>
        </w:tabs>
        <w:autoSpaceDE w:val="0"/>
        <w:autoSpaceDN w:val="0"/>
        <w:adjustRightInd w:val="0"/>
        <w:spacing w:after="0" w:line="240" w:lineRule="auto"/>
        <w:ind w:left="0" w:firstLine="0"/>
        <w:jc w:val="left"/>
        <w:rPr>
          <w:rFonts w:ascii="Times New Roman" w:hAnsi="Times New Roman"/>
          <w:lang w:val="en-US"/>
        </w:rPr>
      </w:pPr>
      <w:r w:rsidRPr="007D770B">
        <w:rPr>
          <w:rFonts w:ascii="Times New Roman" w:hAnsi="Times New Roman"/>
          <w:lang w:val="en-US"/>
        </w:rPr>
        <w:t xml:space="preserve">the right to direct the use of the identified asset. </w:t>
      </w:r>
    </w:p>
    <w:p w14:paraId="1760DBAC" w14:textId="77777777" w:rsidR="00FB090E" w:rsidRPr="007D770B" w:rsidRDefault="00FB090E" w:rsidP="00FB090E">
      <w:pPr>
        <w:pStyle w:val="aa"/>
        <w:widowControl w:val="0"/>
        <w:tabs>
          <w:tab w:val="left" w:pos="284"/>
        </w:tabs>
        <w:autoSpaceDE w:val="0"/>
        <w:autoSpaceDN w:val="0"/>
        <w:adjustRightInd w:val="0"/>
        <w:spacing w:after="0" w:line="240" w:lineRule="auto"/>
        <w:ind w:left="0"/>
        <w:jc w:val="left"/>
        <w:rPr>
          <w:rFonts w:ascii="Times New Roman" w:hAnsi="Times New Roman"/>
          <w:lang w:val="en-US"/>
        </w:rPr>
      </w:pPr>
    </w:p>
    <w:p w14:paraId="337ADC0F" w14:textId="77777777" w:rsidR="00F47DFF" w:rsidRPr="007D770B" w:rsidRDefault="00F47DFF" w:rsidP="00F47DFF">
      <w:pPr>
        <w:ind w:left="0"/>
        <w:rPr>
          <w:rFonts w:ascii="Times New Roman" w:hAnsi="Times New Roman"/>
          <w:lang w:val="en-US"/>
        </w:rPr>
      </w:pPr>
      <w:r w:rsidRPr="007D770B">
        <w:rPr>
          <w:rFonts w:ascii="Times New Roman" w:hAnsi="Times New Roman"/>
          <w:lang w:val="en-US"/>
        </w:rPr>
        <w:t xml:space="preserve">The leased asset must be explicitly or implicitly specified in the contract, and the lessor must not have a substantive right to substitute the asset during the period of use. </w:t>
      </w:r>
    </w:p>
    <w:p w14:paraId="70CAFDF3" w14:textId="77777777" w:rsidR="00F47DFF" w:rsidRPr="007D770B" w:rsidRDefault="00F47DFF" w:rsidP="00F47DFF">
      <w:pPr>
        <w:ind w:left="0"/>
        <w:rPr>
          <w:rFonts w:ascii="Times New Roman" w:hAnsi="Times New Roman"/>
          <w:lang w:val="en-US"/>
        </w:rPr>
      </w:pPr>
      <w:r w:rsidRPr="007D770B">
        <w:rPr>
          <w:rFonts w:ascii="Times New Roman" w:hAnsi="Times New Roman"/>
          <w:lang w:val="en-US"/>
        </w:rPr>
        <w:t>The Bank reassesses whether an arrangement is, or contains, a lease only if the terms of the arrangement are modified.</w:t>
      </w:r>
    </w:p>
    <w:p w14:paraId="2B685A36" w14:textId="77777777" w:rsidR="00B13FE5" w:rsidRPr="007D770B" w:rsidRDefault="00B13FE5" w:rsidP="00E61D21">
      <w:pPr>
        <w:pStyle w:val="3"/>
        <w:rPr>
          <w:lang w:val="en-US"/>
        </w:rPr>
      </w:pPr>
      <w:bookmarkStart w:id="289" w:name="_Toc168502088"/>
      <w:r w:rsidRPr="007D770B">
        <w:rPr>
          <w:lang w:val="en-US"/>
        </w:rPr>
        <w:t>12.2 Definitions.</w:t>
      </w:r>
      <w:bookmarkEnd w:id="289"/>
    </w:p>
    <w:p w14:paraId="5D5985A2" w14:textId="77777777" w:rsidR="00B13FE5" w:rsidRPr="007D770B" w:rsidRDefault="00B13FE5" w:rsidP="00B13FE5">
      <w:pPr>
        <w:ind w:left="0"/>
        <w:rPr>
          <w:rFonts w:ascii="Times New Roman" w:hAnsi="Times New Roman"/>
          <w:lang w:val="en-US" w:eastAsia="ru-RU"/>
        </w:rPr>
      </w:pPr>
      <w:r w:rsidRPr="007D770B">
        <w:rPr>
          <w:rFonts w:ascii="Times New Roman" w:hAnsi="Times New Roman"/>
          <w:b/>
          <w:lang w:val="en-US" w:eastAsia="ru-RU"/>
        </w:rPr>
        <w:t xml:space="preserve">A right-of-use </w:t>
      </w:r>
      <w:r w:rsidRPr="007D770B">
        <w:rPr>
          <w:rFonts w:ascii="Times New Roman" w:hAnsi="Times New Roman"/>
          <w:lang w:val="en-US" w:eastAsia="ru-RU"/>
        </w:rPr>
        <w:t>asset is an asset that represents the lessee's right to use the underlying asset during the lease term.</w:t>
      </w:r>
    </w:p>
    <w:p w14:paraId="4E6884A6" w14:textId="1F44ABF7" w:rsidR="00B13FE5" w:rsidRPr="007D770B" w:rsidRDefault="00B13FE5" w:rsidP="00B13FE5">
      <w:pPr>
        <w:ind w:left="0"/>
        <w:rPr>
          <w:rFonts w:ascii="Times New Roman" w:hAnsi="Times New Roman"/>
          <w:lang w:val="en-US" w:eastAsia="ru-RU"/>
        </w:rPr>
      </w:pPr>
      <w:r w:rsidRPr="007D770B">
        <w:rPr>
          <w:rFonts w:ascii="Times New Roman" w:hAnsi="Times New Roman"/>
          <w:b/>
          <w:lang w:val="en-US" w:eastAsia="ru-RU"/>
        </w:rPr>
        <w:t xml:space="preserve">A lease </w:t>
      </w:r>
      <w:r w:rsidRPr="007D770B">
        <w:rPr>
          <w:rFonts w:ascii="Times New Roman" w:hAnsi="Times New Roman"/>
          <w:lang w:val="en-US" w:eastAsia="ru-RU"/>
        </w:rPr>
        <w:t xml:space="preserve">is a contract or part of a contract that conveys the right to use an asset </w:t>
      </w:r>
      <w:r w:rsidR="00F47DFF" w:rsidRPr="007D770B">
        <w:rPr>
          <w:rFonts w:ascii="Times New Roman" w:hAnsi="Times New Roman"/>
          <w:lang w:val="en-US" w:eastAsia="ru-RU"/>
        </w:rPr>
        <w:t xml:space="preserve">(the underlying asset) for </w:t>
      </w:r>
      <w:r w:rsidRPr="007D770B">
        <w:rPr>
          <w:rFonts w:ascii="Times New Roman" w:hAnsi="Times New Roman"/>
          <w:lang w:val="en-US" w:eastAsia="ru-RU"/>
        </w:rPr>
        <w:t xml:space="preserve">a specified period of time in exchange for consideration. </w:t>
      </w:r>
    </w:p>
    <w:p w14:paraId="1AB5A441" w14:textId="77777777" w:rsidR="00B13FE5" w:rsidRPr="007D770B" w:rsidRDefault="00B13FE5" w:rsidP="00B13FE5">
      <w:pPr>
        <w:ind w:left="0"/>
        <w:rPr>
          <w:rFonts w:ascii="Times New Roman" w:hAnsi="Times New Roman"/>
          <w:lang w:val="en-US" w:eastAsia="ru-RU"/>
        </w:rPr>
      </w:pPr>
      <w:r w:rsidRPr="007D770B">
        <w:rPr>
          <w:rFonts w:ascii="Times New Roman" w:hAnsi="Times New Roman"/>
          <w:b/>
          <w:lang w:val="en-US" w:eastAsia="ru-RU"/>
        </w:rPr>
        <w:t xml:space="preserve">Lessee </w:t>
      </w:r>
      <w:r w:rsidRPr="007D770B">
        <w:rPr>
          <w:rFonts w:ascii="Times New Roman" w:hAnsi="Times New Roman"/>
          <w:lang w:val="en-US" w:eastAsia="ru-RU"/>
        </w:rPr>
        <w:t>- An entity that receives the right to use an underlying asset for a specified period in exchange for consideration.</w:t>
      </w:r>
    </w:p>
    <w:p w14:paraId="456B242F" w14:textId="77777777" w:rsidR="00B13FE5" w:rsidRPr="007D770B" w:rsidRDefault="00B13FE5" w:rsidP="00B13FE5">
      <w:pPr>
        <w:ind w:left="0"/>
        <w:rPr>
          <w:rFonts w:ascii="Times New Roman" w:hAnsi="Times New Roman"/>
          <w:lang w:val="en-US" w:eastAsia="ru-RU"/>
        </w:rPr>
      </w:pPr>
      <w:r w:rsidRPr="007D770B">
        <w:rPr>
          <w:rFonts w:ascii="Times New Roman" w:hAnsi="Times New Roman"/>
          <w:b/>
          <w:lang w:val="en-US" w:eastAsia="ru-RU"/>
        </w:rPr>
        <w:t xml:space="preserve">A lessor </w:t>
      </w:r>
      <w:r w:rsidRPr="007D770B">
        <w:rPr>
          <w:rFonts w:ascii="Times New Roman" w:hAnsi="Times New Roman"/>
          <w:lang w:val="en-US" w:eastAsia="ru-RU"/>
        </w:rPr>
        <w:t>is an entity that grants the right to use an underlying asset for a specified period in exchange for consideration.</w:t>
      </w:r>
    </w:p>
    <w:p w14:paraId="3A57FF5C" w14:textId="77777777" w:rsidR="00B13FE5" w:rsidRPr="007D770B" w:rsidRDefault="00B13FE5" w:rsidP="00B13FE5">
      <w:pPr>
        <w:ind w:left="0"/>
        <w:rPr>
          <w:rFonts w:ascii="Times New Roman" w:hAnsi="Times New Roman"/>
          <w:lang w:val="en-US" w:eastAsia="ru-RU"/>
        </w:rPr>
      </w:pPr>
      <w:r w:rsidRPr="007D770B">
        <w:rPr>
          <w:rFonts w:ascii="Times New Roman" w:hAnsi="Times New Roman"/>
          <w:b/>
          <w:lang w:val="en-US" w:eastAsia="ru-RU"/>
        </w:rPr>
        <w:t xml:space="preserve">Lease </w:t>
      </w:r>
      <w:r w:rsidRPr="007D770B">
        <w:rPr>
          <w:rFonts w:ascii="Times New Roman" w:hAnsi="Times New Roman"/>
          <w:lang w:val="en-US" w:eastAsia="ru-RU"/>
        </w:rPr>
        <w:t>payments are payments made by the lessee to the lessor in respect of the right to use the underlying asset during the lease term, which include the following:</w:t>
      </w:r>
    </w:p>
    <w:p w14:paraId="5CEC2F8E" w14:textId="3F68A47C" w:rsidR="00B13FE5" w:rsidRPr="007D770B" w:rsidRDefault="00B13FE5" w:rsidP="00D80214">
      <w:pPr>
        <w:spacing w:after="120"/>
        <w:ind w:left="0"/>
        <w:rPr>
          <w:rFonts w:ascii="Times New Roman" w:hAnsi="Times New Roman"/>
          <w:lang w:val="en-US" w:eastAsia="ru-RU"/>
        </w:rPr>
      </w:pPr>
      <w:r w:rsidRPr="007D770B">
        <w:rPr>
          <w:rFonts w:ascii="Times New Roman" w:hAnsi="Times New Roman"/>
          <w:lang w:val="en-US" w:eastAsia="ru-RU"/>
        </w:rPr>
        <w:t>-fixed payments (including substantially fixed payments) less any lease incentive payments;</w:t>
      </w:r>
    </w:p>
    <w:p w14:paraId="6BE95132" w14:textId="4C9109F5" w:rsidR="00B13FE5" w:rsidRPr="007D770B" w:rsidRDefault="00B13FE5" w:rsidP="00D80214">
      <w:pPr>
        <w:spacing w:after="120"/>
        <w:ind w:left="0"/>
        <w:rPr>
          <w:rFonts w:ascii="Times New Roman" w:hAnsi="Times New Roman"/>
          <w:lang w:val="en-US" w:eastAsia="ru-RU"/>
        </w:rPr>
      </w:pPr>
      <w:r w:rsidRPr="007D770B">
        <w:rPr>
          <w:rFonts w:ascii="Times New Roman" w:hAnsi="Times New Roman"/>
          <w:lang w:val="en-US" w:eastAsia="ru-RU"/>
        </w:rPr>
        <w:t>-Variable lease payments that depend on an index or rate;</w:t>
      </w:r>
    </w:p>
    <w:p w14:paraId="70DCD99B" w14:textId="4D2449E3" w:rsidR="00B13FE5" w:rsidRPr="007D770B" w:rsidRDefault="00B13FE5" w:rsidP="00D80214">
      <w:pPr>
        <w:spacing w:after="120"/>
        <w:ind w:left="0"/>
        <w:rPr>
          <w:rFonts w:ascii="Times New Roman" w:hAnsi="Times New Roman"/>
          <w:lang w:val="en-US" w:eastAsia="ru-RU"/>
        </w:rPr>
      </w:pPr>
      <w:r w:rsidRPr="007D770B">
        <w:rPr>
          <w:rFonts w:ascii="Times New Roman" w:hAnsi="Times New Roman"/>
          <w:lang w:val="en-US" w:eastAsia="ru-RU"/>
        </w:rPr>
        <w:t>-The exercise price of a purchase option if it is reasonably certain that the lessee will exercise that option; and</w:t>
      </w:r>
    </w:p>
    <w:p w14:paraId="6395059E" w14:textId="34ED9D04" w:rsidR="00B13FE5" w:rsidRPr="007D770B" w:rsidRDefault="00B13FE5" w:rsidP="00D80214">
      <w:pPr>
        <w:spacing w:after="120"/>
        <w:ind w:left="0"/>
        <w:rPr>
          <w:rFonts w:ascii="Times New Roman" w:hAnsi="Times New Roman"/>
          <w:lang w:val="en-US" w:eastAsia="ru-RU"/>
        </w:rPr>
      </w:pPr>
      <w:r w:rsidRPr="007D770B">
        <w:rPr>
          <w:rFonts w:ascii="Times New Roman" w:hAnsi="Times New Roman"/>
          <w:lang w:val="en-US" w:eastAsia="ru-RU"/>
        </w:rPr>
        <w:t>-Payments of lease termination penalties if the lease term reflects the tenant's potential exercise of an option to terminate the lease.</w:t>
      </w:r>
    </w:p>
    <w:p w14:paraId="57C2B808" w14:textId="77777777" w:rsidR="00B13FE5" w:rsidRPr="007D770B" w:rsidRDefault="00B13FE5" w:rsidP="00B13FE5">
      <w:pPr>
        <w:ind w:left="0"/>
        <w:rPr>
          <w:rFonts w:ascii="Times New Roman" w:hAnsi="Times New Roman"/>
          <w:lang w:val="en-US" w:eastAsia="ru-RU"/>
        </w:rPr>
      </w:pPr>
      <w:r w:rsidRPr="007D770B">
        <w:rPr>
          <w:rFonts w:ascii="Times New Roman" w:hAnsi="Times New Roman"/>
          <w:b/>
          <w:lang w:val="en-US" w:eastAsia="ru-RU"/>
        </w:rPr>
        <w:t xml:space="preserve">An underlying </w:t>
      </w:r>
      <w:r w:rsidRPr="007D770B">
        <w:rPr>
          <w:rFonts w:ascii="Times New Roman" w:hAnsi="Times New Roman"/>
          <w:lang w:val="en-US" w:eastAsia="ru-RU"/>
        </w:rPr>
        <w:t>asset is an asset that is the subject of a lease, the right to use which has been granted to the lessee by the lessor.</w:t>
      </w:r>
    </w:p>
    <w:p w14:paraId="641AF048" w14:textId="77777777" w:rsidR="00B13FE5" w:rsidRPr="007D770B" w:rsidRDefault="00B13FE5" w:rsidP="00B13FE5">
      <w:pPr>
        <w:ind w:left="0"/>
        <w:rPr>
          <w:rFonts w:ascii="Times New Roman" w:hAnsi="Times New Roman"/>
          <w:lang w:val="en-US" w:eastAsia="ru-RU"/>
        </w:rPr>
      </w:pPr>
      <w:r w:rsidRPr="007D770B">
        <w:rPr>
          <w:rFonts w:ascii="Times New Roman" w:hAnsi="Times New Roman"/>
          <w:b/>
          <w:lang w:val="en-US" w:eastAsia="ru-RU"/>
        </w:rPr>
        <w:t xml:space="preserve">The commencement date of a lease </w:t>
      </w:r>
      <w:r w:rsidRPr="007D770B">
        <w:rPr>
          <w:rFonts w:ascii="Times New Roman" w:hAnsi="Times New Roman"/>
          <w:lang w:val="en-US" w:eastAsia="ru-RU"/>
        </w:rPr>
        <w:t>is the date on which the lessor makes the underlying asset available for use by the lessee.</w:t>
      </w:r>
    </w:p>
    <w:p w14:paraId="0DA42C63" w14:textId="77777777" w:rsidR="00ED54EE" w:rsidRPr="007D770B" w:rsidRDefault="00ED54EE" w:rsidP="00B13FE5">
      <w:pPr>
        <w:ind w:left="0"/>
        <w:rPr>
          <w:rFonts w:ascii="Times New Roman" w:hAnsi="Times New Roman"/>
          <w:b/>
          <w:lang w:val="en-US" w:eastAsia="ru-RU"/>
        </w:rPr>
        <w:sectPr w:rsidR="00ED54EE" w:rsidRPr="007D770B" w:rsidSect="0005635A">
          <w:headerReference w:type="even" r:id="rId67"/>
          <w:headerReference w:type="default" r:id="rId68"/>
          <w:headerReference w:type="first" r:id="rId69"/>
          <w:type w:val="continuous"/>
          <w:pgSz w:w="11906" w:h="16838"/>
          <w:pgMar w:top="1268" w:right="680" w:bottom="900" w:left="1134" w:header="510" w:footer="404" w:gutter="0"/>
          <w:cols w:space="708"/>
          <w:titlePg/>
          <w:docGrid w:linePitch="360"/>
        </w:sectPr>
      </w:pPr>
    </w:p>
    <w:p w14:paraId="7880F124" w14:textId="3A273835" w:rsidR="00B13FE5" w:rsidRPr="007D770B" w:rsidRDefault="00B13FE5" w:rsidP="00B13FE5">
      <w:pPr>
        <w:ind w:left="0"/>
        <w:rPr>
          <w:rFonts w:ascii="Times New Roman" w:hAnsi="Times New Roman"/>
          <w:lang w:val="en-US" w:eastAsia="ru-RU"/>
        </w:rPr>
      </w:pPr>
      <w:r w:rsidRPr="007D770B">
        <w:rPr>
          <w:rFonts w:ascii="Times New Roman" w:hAnsi="Times New Roman"/>
          <w:b/>
          <w:lang w:val="en-US" w:eastAsia="ru-RU"/>
        </w:rPr>
        <w:lastRenderedPageBreak/>
        <w:t xml:space="preserve">A short-term lease </w:t>
      </w:r>
      <w:r w:rsidR="00F47DFF" w:rsidRPr="007D770B">
        <w:rPr>
          <w:rFonts w:ascii="Times New Roman" w:hAnsi="Times New Roman"/>
          <w:lang w:val="en-US" w:eastAsia="ru-RU"/>
        </w:rPr>
        <w:t xml:space="preserve">is a </w:t>
      </w:r>
      <w:r w:rsidRPr="007D770B">
        <w:rPr>
          <w:rFonts w:ascii="Times New Roman" w:hAnsi="Times New Roman"/>
          <w:lang w:val="en-US" w:eastAsia="ru-RU"/>
        </w:rPr>
        <w:t>lease with a lease term of 12 months or less at the commencement date. A lease that contains a purchase option is not a short-term lease.</w:t>
      </w:r>
    </w:p>
    <w:p w14:paraId="29DB536E" w14:textId="77777777" w:rsidR="009348AB" w:rsidRPr="007D770B" w:rsidRDefault="009348AB" w:rsidP="009348AB">
      <w:pPr>
        <w:ind w:left="0"/>
        <w:rPr>
          <w:rFonts w:ascii="Times New Roman" w:hAnsi="Times New Roman"/>
          <w:lang w:val="en-US" w:eastAsia="ru-RU"/>
        </w:rPr>
      </w:pPr>
      <w:r w:rsidRPr="007D770B">
        <w:rPr>
          <w:rFonts w:ascii="Times New Roman" w:hAnsi="Times New Roman"/>
          <w:b/>
          <w:lang w:val="en-US" w:eastAsia="ru-RU"/>
        </w:rPr>
        <w:t xml:space="preserve">Lease modification </w:t>
      </w:r>
      <w:r w:rsidRPr="007D770B">
        <w:rPr>
          <w:rFonts w:ascii="Times New Roman" w:hAnsi="Times New Roman"/>
          <w:lang w:val="en-US" w:eastAsia="ru-RU"/>
        </w:rPr>
        <w:t>- A change in the scope of a lease or the consideration for a lease that was not contemplated by the original terms of the lease.</w:t>
      </w:r>
    </w:p>
    <w:p w14:paraId="00CBD6ED" w14:textId="77777777" w:rsidR="0073502B" w:rsidRPr="007D770B" w:rsidRDefault="0073502B" w:rsidP="0073502B">
      <w:pPr>
        <w:ind w:left="0"/>
        <w:rPr>
          <w:rFonts w:ascii="Times New Roman" w:hAnsi="Times New Roman"/>
          <w:b/>
          <w:lang w:val="en-US" w:eastAsia="ru-RU"/>
        </w:rPr>
      </w:pPr>
      <w:r w:rsidRPr="007D770B">
        <w:rPr>
          <w:rFonts w:ascii="Times New Roman" w:hAnsi="Times New Roman"/>
          <w:b/>
          <w:lang w:val="en-US" w:eastAsia="ru-RU"/>
        </w:rPr>
        <w:t xml:space="preserve">Initial direct costs </w:t>
      </w:r>
      <w:r w:rsidRPr="007D770B">
        <w:rPr>
          <w:rFonts w:ascii="Times New Roman" w:hAnsi="Times New Roman"/>
          <w:lang w:val="en-US" w:eastAsia="ru-RU"/>
        </w:rPr>
        <w:t>are incremental costs attributable to entering into a lease that would not have been incurred if the lease had not been entered into, except for such costs incurred by lessors that are manufacturers or dealers in connection with finance leases.</w:t>
      </w:r>
    </w:p>
    <w:p w14:paraId="05AFDD01" w14:textId="77777777" w:rsidR="00B13FE5" w:rsidRPr="007D770B" w:rsidRDefault="00B13FE5" w:rsidP="00B13FE5">
      <w:pPr>
        <w:ind w:left="0"/>
        <w:rPr>
          <w:rFonts w:ascii="Times New Roman" w:hAnsi="Times New Roman"/>
          <w:lang w:val="en-US" w:eastAsia="ru-RU"/>
        </w:rPr>
      </w:pPr>
      <w:r w:rsidRPr="007D770B">
        <w:rPr>
          <w:rFonts w:ascii="Times New Roman" w:hAnsi="Times New Roman"/>
          <w:b/>
          <w:lang w:val="en-US" w:eastAsia="ru-RU"/>
        </w:rPr>
        <w:t xml:space="preserve">Lease term </w:t>
      </w:r>
      <w:r w:rsidRPr="007D770B">
        <w:rPr>
          <w:rFonts w:ascii="Times New Roman" w:hAnsi="Times New Roman"/>
          <w:lang w:val="en-US" w:eastAsia="ru-RU"/>
        </w:rPr>
        <w:t>is the non-cancellable period during which the lessee has the right to use the underlying asset, together with:</w:t>
      </w:r>
    </w:p>
    <w:p w14:paraId="46BE2AA2" w14:textId="77777777" w:rsidR="00B13FE5" w:rsidRPr="007D770B" w:rsidRDefault="00B13FE5" w:rsidP="00D80214">
      <w:pPr>
        <w:spacing w:after="120"/>
        <w:ind w:left="0"/>
        <w:rPr>
          <w:rFonts w:ascii="Times New Roman" w:hAnsi="Times New Roman"/>
          <w:lang w:val="en-US" w:eastAsia="ru-RU"/>
        </w:rPr>
      </w:pPr>
      <w:r w:rsidRPr="007D770B">
        <w:rPr>
          <w:rFonts w:ascii="Times New Roman" w:hAnsi="Times New Roman"/>
          <w:lang w:val="en-US" w:eastAsia="ru-RU"/>
        </w:rPr>
        <w:t>(a) The periods for which the option to extend the lease is exercisable if it is reasonably certain that the lessee will exercise the option; and</w:t>
      </w:r>
    </w:p>
    <w:p w14:paraId="08765655" w14:textId="77777777" w:rsidR="00B13FE5" w:rsidRPr="007D770B" w:rsidRDefault="00B13FE5" w:rsidP="00D80214">
      <w:pPr>
        <w:spacing w:after="120"/>
        <w:ind w:left="0"/>
        <w:rPr>
          <w:rFonts w:ascii="Times New Roman" w:hAnsi="Times New Roman"/>
          <w:lang w:val="en-US" w:eastAsia="ru-RU"/>
        </w:rPr>
      </w:pPr>
      <w:r w:rsidRPr="007D770B">
        <w:rPr>
          <w:rFonts w:ascii="Times New Roman" w:hAnsi="Times New Roman"/>
          <w:lang w:val="en-US" w:eastAsia="ru-RU"/>
        </w:rPr>
        <w:t>(b) Periods subject to an option to terminate the lease if it is reasonably certain that the lessee will not exercise that option.</w:t>
      </w:r>
    </w:p>
    <w:p w14:paraId="3EDAA750" w14:textId="77777777" w:rsidR="00B13FE5" w:rsidRPr="007D770B" w:rsidRDefault="00B13FE5" w:rsidP="00B13FE5">
      <w:pPr>
        <w:ind w:left="0"/>
        <w:rPr>
          <w:rFonts w:ascii="Times New Roman" w:hAnsi="Times New Roman"/>
          <w:lang w:val="en-US" w:eastAsia="ru-RU"/>
        </w:rPr>
      </w:pPr>
      <w:r w:rsidRPr="007D770B">
        <w:rPr>
          <w:rFonts w:ascii="Times New Roman" w:hAnsi="Times New Roman"/>
          <w:b/>
          <w:lang w:val="en-US" w:eastAsia="ru-RU"/>
        </w:rPr>
        <w:t xml:space="preserve">Economic life </w:t>
      </w:r>
      <w:r w:rsidRPr="007D770B">
        <w:rPr>
          <w:rFonts w:ascii="Times New Roman" w:hAnsi="Times New Roman"/>
          <w:lang w:val="en-US" w:eastAsia="ru-RU"/>
        </w:rPr>
        <w:t>- either the period of time during which it is expected that one or more users will be able to use the asset economically, or the number of units of output or similar units expected to be derived from the asset by one or more users.</w:t>
      </w:r>
    </w:p>
    <w:p w14:paraId="2DEBBB6C" w14:textId="68FA7DBF" w:rsidR="00F47DFF" w:rsidRPr="007D770B" w:rsidRDefault="00F47DFF" w:rsidP="00F47DFF">
      <w:pPr>
        <w:ind w:left="0"/>
        <w:rPr>
          <w:rFonts w:ascii="Times New Roman" w:hAnsi="Times New Roman"/>
          <w:lang w:val="en-US" w:eastAsia="ru-RU"/>
        </w:rPr>
      </w:pPr>
      <w:r w:rsidRPr="007D770B">
        <w:rPr>
          <w:rFonts w:ascii="Times New Roman" w:hAnsi="Times New Roman"/>
          <w:lang w:val="en-US" w:eastAsia="ru-RU"/>
        </w:rPr>
        <w:t>The</w:t>
      </w:r>
      <w:r w:rsidRPr="007D770B">
        <w:rPr>
          <w:rFonts w:ascii="Times New Roman" w:hAnsi="Times New Roman"/>
          <w:b/>
          <w:lang w:val="en-US" w:eastAsia="ru-RU"/>
        </w:rPr>
        <w:t xml:space="preserve"> incremental borrowing rate </w:t>
      </w:r>
      <w:r w:rsidRPr="007D770B">
        <w:rPr>
          <w:rFonts w:ascii="Times New Roman" w:hAnsi="Times New Roman"/>
          <w:lang w:val="en-US" w:eastAsia="ru-RU"/>
        </w:rPr>
        <w:t>is the rate at which, at the inception of the lease, the Bank would borrow for a similar term and with similar collateral to acquire an asset of similar value to the right-of-use asset in similar economic circumstances.</w:t>
      </w:r>
    </w:p>
    <w:p w14:paraId="655176E3" w14:textId="3569E374" w:rsidR="00B13FE5" w:rsidRPr="007D770B" w:rsidRDefault="00B13FE5" w:rsidP="00B13FE5">
      <w:pPr>
        <w:ind w:left="0"/>
        <w:rPr>
          <w:rFonts w:ascii="Times New Roman" w:hAnsi="Times New Roman"/>
          <w:lang w:val="en-US" w:eastAsia="ru-RU"/>
        </w:rPr>
      </w:pPr>
      <w:r w:rsidRPr="007D770B">
        <w:rPr>
          <w:rFonts w:ascii="Times New Roman" w:hAnsi="Times New Roman"/>
          <w:b/>
          <w:lang w:val="en-US" w:eastAsia="ru-RU"/>
        </w:rPr>
        <w:t xml:space="preserve">Lease incentive </w:t>
      </w:r>
      <w:r w:rsidR="00F47DFF" w:rsidRPr="007D770B">
        <w:rPr>
          <w:rFonts w:ascii="Times New Roman" w:hAnsi="Times New Roman"/>
          <w:lang w:val="en-US" w:eastAsia="ru-RU"/>
        </w:rPr>
        <w:t xml:space="preserve">payments - payments </w:t>
      </w:r>
      <w:r w:rsidRPr="007D770B">
        <w:rPr>
          <w:rFonts w:ascii="Times New Roman" w:hAnsi="Times New Roman"/>
          <w:lang w:val="en-US" w:eastAsia="ru-RU"/>
        </w:rPr>
        <w:t>made by a lessor to a lessee in connection with a lease or reimbursement by the lessor of the lessee's costs.</w:t>
      </w:r>
    </w:p>
    <w:p w14:paraId="014ABF9B" w14:textId="6E9AA585" w:rsidR="00B13FE5" w:rsidRPr="007D770B" w:rsidRDefault="00B13FE5" w:rsidP="00E61D21">
      <w:pPr>
        <w:pStyle w:val="3"/>
        <w:rPr>
          <w:lang w:val="en-US"/>
        </w:rPr>
      </w:pPr>
      <w:bookmarkStart w:id="290" w:name="_Toc168502089"/>
      <w:r w:rsidRPr="007D770B">
        <w:rPr>
          <w:lang w:val="en-US"/>
        </w:rPr>
        <w:t xml:space="preserve">12.3 Accounting Principles. </w:t>
      </w:r>
      <w:bookmarkEnd w:id="290"/>
    </w:p>
    <w:p w14:paraId="0921505C" w14:textId="77777777" w:rsidR="007F1ADC" w:rsidRPr="007D770B" w:rsidRDefault="007F1ADC" w:rsidP="007F1ADC">
      <w:pPr>
        <w:spacing w:after="0"/>
        <w:ind w:left="0"/>
        <w:rPr>
          <w:rFonts w:ascii="Times New Roman" w:hAnsi="Times New Roman"/>
          <w:b/>
          <w:lang w:val="en-US"/>
        </w:rPr>
      </w:pPr>
      <w:r w:rsidRPr="007D770B">
        <w:rPr>
          <w:rFonts w:ascii="Times New Roman" w:hAnsi="Times New Roman"/>
          <w:b/>
          <w:lang w:val="en-US"/>
        </w:rPr>
        <w:t>Lessee Accounting.</w:t>
      </w:r>
    </w:p>
    <w:p w14:paraId="117AC4B5" w14:textId="77777777" w:rsidR="00C63AE8" w:rsidRPr="007D770B" w:rsidRDefault="00C63AE8" w:rsidP="007F1ADC">
      <w:pPr>
        <w:spacing w:after="0" w:line="240" w:lineRule="auto"/>
        <w:ind w:left="0"/>
        <w:rPr>
          <w:rFonts w:ascii="Times New Roman" w:eastAsia="Times New Roman" w:hAnsi="Times New Roman"/>
          <w:lang w:val="en-US" w:eastAsia="ru-RU"/>
        </w:rPr>
      </w:pPr>
      <w:r w:rsidRPr="007D770B">
        <w:rPr>
          <w:rFonts w:ascii="Times New Roman" w:eastAsia="Times New Roman" w:hAnsi="Times New Roman"/>
          <w:b/>
          <w:i/>
          <w:lang w:val="en-US" w:eastAsia="ru-RU"/>
        </w:rPr>
        <w:t>Initial Assessment</w:t>
      </w:r>
      <w:r w:rsidRPr="007D770B">
        <w:rPr>
          <w:rFonts w:ascii="Times New Roman" w:eastAsia="Times New Roman" w:hAnsi="Times New Roman"/>
          <w:lang w:val="en-US" w:eastAsia="ru-RU"/>
        </w:rPr>
        <w:t>.</w:t>
      </w:r>
    </w:p>
    <w:p w14:paraId="2DD90129" w14:textId="2AACD40D" w:rsidR="00C63AE8" w:rsidRPr="007D770B" w:rsidRDefault="00C63AE8" w:rsidP="000D543F">
      <w:pPr>
        <w:spacing w:after="0" w:line="240" w:lineRule="auto"/>
        <w:ind w:left="0"/>
        <w:rPr>
          <w:rFonts w:ascii="Times New Roman" w:eastAsia="Times New Roman" w:hAnsi="Times New Roman"/>
          <w:lang w:val="en-US" w:eastAsia="ru-RU"/>
        </w:rPr>
      </w:pPr>
      <w:r w:rsidRPr="007D770B">
        <w:rPr>
          <w:rFonts w:ascii="Times New Roman" w:eastAsia="Times New Roman" w:hAnsi="Times New Roman"/>
          <w:lang w:val="en-US" w:eastAsia="ru-RU"/>
        </w:rPr>
        <w:t>At the commencement date, a lessee recognizes a right-of-use asset and a lease liability.</w:t>
      </w:r>
    </w:p>
    <w:p w14:paraId="790E5E94" w14:textId="77777777" w:rsidR="00C63AE8" w:rsidRPr="007D770B" w:rsidRDefault="00C63AE8" w:rsidP="000D543F">
      <w:pPr>
        <w:spacing w:after="0" w:line="240" w:lineRule="auto"/>
        <w:ind w:left="0"/>
        <w:rPr>
          <w:rFonts w:ascii="Times New Roman" w:eastAsia="Times New Roman" w:hAnsi="Times New Roman"/>
          <w:lang w:val="en-US" w:eastAsia="ru-RU"/>
        </w:rPr>
      </w:pPr>
    </w:p>
    <w:p w14:paraId="374F480E" w14:textId="77777777" w:rsidR="00C63AE8" w:rsidRPr="007D770B" w:rsidRDefault="00C63AE8" w:rsidP="000D543F">
      <w:pPr>
        <w:spacing w:after="0" w:line="240" w:lineRule="auto"/>
        <w:ind w:left="0"/>
        <w:rPr>
          <w:rFonts w:ascii="Times New Roman" w:eastAsia="Times New Roman" w:hAnsi="Times New Roman"/>
          <w:lang w:val="en-US" w:eastAsia="ru-RU"/>
        </w:rPr>
      </w:pPr>
      <w:r w:rsidRPr="007D770B">
        <w:rPr>
          <w:rFonts w:ascii="Times New Roman" w:eastAsia="Times New Roman" w:hAnsi="Times New Roman"/>
          <w:lang w:val="en-US" w:eastAsia="ru-RU"/>
        </w:rPr>
        <w:t>A right-of-use asset is measured at cost, which includes:</w:t>
      </w:r>
    </w:p>
    <w:p w14:paraId="778C1753" w14:textId="77777777" w:rsidR="00C63AE8" w:rsidRPr="007D770B" w:rsidRDefault="00C63AE8" w:rsidP="00AE698A">
      <w:pPr>
        <w:numPr>
          <w:ilvl w:val="0"/>
          <w:numId w:val="376"/>
        </w:numPr>
        <w:spacing w:after="160" w:line="259" w:lineRule="auto"/>
        <w:contextualSpacing/>
        <w:rPr>
          <w:rFonts w:ascii="Times New Roman" w:eastAsia="Times New Roman" w:hAnsi="Times New Roman"/>
          <w:lang w:val="en-US" w:eastAsia="ru-RU"/>
        </w:rPr>
      </w:pPr>
      <w:r w:rsidRPr="007D770B">
        <w:rPr>
          <w:rFonts w:ascii="Times New Roman" w:eastAsia="Times New Roman" w:hAnsi="Times New Roman"/>
          <w:lang w:val="en-US" w:eastAsia="ru-RU"/>
        </w:rPr>
        <w:t>The amount of the initial measurement of the lease liability;</w:t>
      </w:r>
    </w:p>
    <w:p w14:paraId="5467CDFA" w14:textId="77777777" w:rsidR="00C63AE8" w:rsidRPr="007D770B" w:rsidRDefault="00C63AE8" w:rsidP="00AE698A">
      <w:pPr>
        <w:numPr>
          <w:ilvl w:val="0"/>
          <w:numId w:val="376"/>
        </w:numPr>
        <w:spacing w:after="160" w:line="259" w:lineRule="auto"/>
        <w:contextualSpacing/>
        <w:rPr>
          <w:rFonts w:ascii="Times New Roman" w:eastAsia="Times New Roman" w:hAnsi="Times New Roman"/>
          <w:lang w:val="en-US" w:eastAsia="ru-RU"/>
        </w:rPr>
      </w:pPr>
      <w:r w:rsidRPr="007D770B">
        <w:rPr>
          <w:rFonts w:ascii="Times New Roman" w:eastAsia="Times New Roman" w:hAnsi="Times New Roman"/>
          <w:lang w:val="en-US" w:eastAsia="ru-RU"/>
        </w:rPr>
        <w:t>lease payments on or before the commencement date less lease incentive payments received;</w:t>
      </w:r>
    </w:p>
    <w:p w14:paraId="2D55CF5B" w14:textId="77777777" w:rsidR="00C63AE8" w:rsidRPr="007D770B" w:rsidRDefault="00C63AE8" w:rsidP="00AE698A">
      <w:pPr>
        <w:numPr>
          <w:ilvl w:val="0"/>
          <w:numId w:val="376"/>
        </w:numPr>
        <w:spacing w:after="160" w:line="259" w:lineRule="auto"/>
        <w:contextualSpacing/>
        <w:rPr>
          <w:rFonts w:ascii="Times New Roman" w:eastAsia="Times New Roman" w:hAnsi="Times New Roman"/>
          <w:lang w:val="en-US" w:eastAsia="ru-RU"/>
        </w:rPr>
      </w:pPr>
      <w:r w:rsidRPr="007D770B">
        <w:rPr>
          <w:rFonts w:ascii="Times New Roman" w:eastAsia="Times New Roman" w:hAnsi="Times New Roman"/>
          <w:lang w:val="en-US" w:eastAsia="ru-RU"/>
        </w:rPr>
        <w:t>Initial direct costs incurred by the lessee; and</w:t>
      </w:r>
    </w:p>
    <w:p w14:paraId="5000A03D" w14:textId="77777777" w:rsidR="00C63AE8" w:rsidRPr="007D770B" w:rsidRDefault="00C63AE8" w:rsidP="00AE698A">
      <w:pPr>
        <w:numPr>
          <w:ilvl w:val="0"/>
          <w:numId w:val="376"/>
        </w:numPr>
        <w:spacing w:after="160" w:line="259" w:lineRule="auto"/>
        <w:contextualSpacing/>
        <w:rPr>
          <w:rFonts w:ascii="Times New Roman" w:eastAsia="Times New Roman" w:hAnsi="Times New Roman"/>
          <w:lang w:val="en-US" w:eastAsia="ru-RU"/>
        </w:rPr>
      </w:pPr>
      <w:r w:rsidRPr="007D770B">
        <w:rPr>
          <w:rFonts w:ascii="Times New Roman" w:eastAsia="Times New Roman" w:hAnsi="Times New Roman"/>
          <w:lang w:val="en-US" w:eastAsia="ru-RU"/>
        </w:rPr>
        <w:t>An estimate of the costs that would be incurred by the lessee to dismantle and remove the underlying asset, restore the site on which it is located or restore the underlying asset to the condition required by the lease, unless those costs are incurred to produce inventories.</w:t>
      </w:r>
    </w:p>
    <w:p w14:paraId="43101741" w14:textId="77777777" w:rsidR="00C63AE8" w:rsidRPr="007D770B" w:rsidRDefault="00C63AE8" w:rsidP="000D543F">
      <w:pPr>
        <w:spacing w:after="0" w:line="240" w:lineRule="auto"/>
        <w:ind w:left="0"/>
        <w:rPr>
          <w:rFonts w:ascii="Times New Roman" w:eastAsia="Times New Roman" w:hAnsi="Times New Roman"/>
          <w:lang w:val="en-US" w:eastAsia="ru-RU"/>
        </w:rPr>
      </w:pPr>
      <w:r w:rsidRPr="007D770B">
        <w:rPr>
          <w:rFonts w:ascii="Times New Roman" w:eastAsia="Times New Roman" w:hAnsi="Times New Roman"/>
          <w:lang w:val="en-US" w:eastAsia="ru-RU"/>
        </w:rPr>
        <w:t xml:space="preserve">The lease liability is measured at the present value of the lease payments that have not yet been made at that date. Lease payments are to be discounted using the interest rate implicit in the lease. If this rate cannot be readily determined, the Bank shall use the lessee's incremental borrowing rate. </w:t>
      </w:r>
    </w:p>
    <w:p w14:paraId="5B59034F" w14:textId="77777777" w:rsidR="00C63AE8" w:rsidRPr="007D770B" w:rsidRDefault="00C63AE8" w:rsidP="000D543F">
      <w:pPr>
        <w:autoSpaceDE w:val="0"/>
        <w:autoSpaceDN w:val="0"/>
        <w:adjustRightInd w:val="0"/>
        <w:spacing w:after="0" w:line="240" w:lineRule="auto"/>
        <w:ind w:left="0"/>
        <w:rPr>
          <w:rFonts w:ascii="Times New Roman" w:eastAsia="Times New Roman" w:hAnsi="Times New Roman"/>
          <w:lang w:val="en-US" w:eastAsia="ru-RU"/>
        </w:rPr>
      </w:pPr>
      <w:r w:rsidRPr="007D770B">
        <w:rPr>
          <w:rFonts w:ascii="Times New Roman" w:eastAsia="Times New Roman" w:hAnsi="Times New Roman"/>
          <w:lang w:val="en-US" w:eastAsia="ru-RU"/>
        </w:rPr>
        <w:t xml:space="preserve">Lease payments that are included in the measurement of the lease liability at the commencement date consist of the following payments for the right to use the underlying asset during the lease term that have not yet been made at the commencement date: </w:t>
      </w:r>
    </w:p>
    <w:p w14:paraId="00E0E0B8" w14:textId="77777777" w:rsidR="00C63AE8" w:rsidRPr="007D770B" w:rsidRDefault="00C63AE8" w:rsidP="00AE698A">
      <w:pPr>
        <w:numPr>
          <w:ilvl w:val="0"/>
          <w:numId w:val="376"/>
        </w:numPr>
        <w:spacing w:after="160" w:line="259" w:lineRule="auto"/>
        <w:contextualSpacing/>
        <w:rPr>
          <w:rFonts w:ascii="Times New Roman" w:eastAsia="Times New Roman" w:hAnsi="Times New Roman"/>
          <w:lang w:val="en-US" w:eastAsia="ru-RU"/>
        </w:rPr>
      </w:pPr>
      <w:r w:rsidRPr="007D770B">
        <w:rPr>
          <w:rFonts w:ascii="Times New Roman" w:eastAsia="Times New Roman" w:hAnsi="Times New Roman"/>
          <w:lang w:val="en-US" w:eastAsia="ru-RU"/>
        </w:rPr>
        <w:t xml:space="preserve">fixed payments less any lease incentive payments receivable; </w:t>
      </w:r>
    </w:p>
    <w:p w14:paraId="4E199F5A" w14:textId="77777777" w:rsidR="00C63AE8" w:rsidRPr="007D770B" w:rsidRDefault="00C63AE8" w:rsidP="00AE698A">
      <w:pPr>
        <w:numPr>
          <w:ilvl w:val="0"/>
          <w:numId w:val="376"/>
        </w:numPr>
        <w:spacing w:after="160" w:line="259" w:lineRule="auto"/>
        <w:contextualSpacing/>
        <w:rPr>
          <w:rFonts w:ascii="Times New Roman" w:eastAsia="Times New Roman" w:hAnsi="Times New Roman"/>
          <w:lang w:val="en-US" w:eastAsia="ru-RU"/>
        </w:rPr>
      </w:pPr>
      <w:r w:rsidRPr="007D770B">
        <w:rPr>
          <w:rFonts w:ascii="Times New Roman" w:eastAsia="Times New Roman" w:hAnsi="Times New Roman"/>
          <w:lang w:val="en-US" w:eastAsia="ru-RU"/>
        </w:rPr>
        <w:t xml:space="preserve">Variable lease payments that depend on an index or rate, initially measured using the index or rate at the commencement date; </w:t>
      </w:r>
    </w:p>
    <w:p w14:paraId="4803157D" w14:textId="77777777" w:rsidR="00C63AE8" w:rsidRPr="007D770B" w:rsidRDefault="00C63AE8" w:rsidP="00AE698A">
      <w:pPr>
        <w:numPr>
          <w:ilvl w:val="0"/>
          <w:numId w:val="376"/>
        </w:numPr>
        <w:spacing w:after="160" w:line="259" w:lineRule="auto"/>
        <w:contextualSpacing/>
        <w:rPr>
          <w:rFonts w:ascii="Times New Roman" w:eastAsia="Times New Roman" w:hAnsi="Times New Roman"/>
          <w:lang w:val="en-US" w:eastAsia="ru-RU"/>
        </w:rPr>
      </w:pPr>
      <w:r w:rsidRPr="007D770B">
        <w:rPr>
          <w:rFonts w:ascii="Times New Roman" w:eastAsia="Times New Roman" w:hAnsi="Times New Roman"/>
          <w:lang w:val="en-US" w:eastAsia="ru-RU"/>
        </w:rPr>
        <w:t xml:space="preserve">the amounts expected to be paid by the lessee under the residual value guarantees; </w:t>
      </w:r>
    </w:p>
    <w:p w14:paraId="395C40E4" w14:textId="77777777" w:rsidR="00C63AE8" w:rsidRPr="007D770B" w:rsidRDefault="00C63AE8" w:rsidP="00AE698A">
      <w:pPr>
        <w:numPr>
          <w:ilvl w:val="0"/>
          <w:numId w:val="376"/>
        </w:numPr>
        <w:spacing w:after="160" w:line="259" w:lineRule="auto"/>
        <w:contextualSpacing/>
        <w:rPr>
          <w:rFonts w:ascii="Times New Roman" w:eastAsia="Times New Roman" w:hAnsi="Times New Roman"/>
          <w:lang w:val="en-US" w:eastAsia="ru-RU"/>
        </w:rPr>
      </w:pPr>
      <w:r w:rsidRPr="007D770B">
        <w:rPr>
          <w:rFonts w:ascii="Times New Roman" w:eastAsia="Times New Roman" w:hAnsi="Times New Roman"/>
          <w:lang w:val="en-US" w:eastAsia="ru-RU"/>
        </w:rPr>
        <w:t xml:space="preserve">The exercise price of a purchase option when it is reasonably certain that the lessee will exercise that option; and </w:t>
      </w:r>
    </w:p>
    <w:p w14:paraId="42F1B40E" w14:textId="77777777" w:rsidR="00AB7849" w:rsidRPr="007D770B" w:rsidRDefault="00AB7849" w:rsidP="00AE698A">
      <w:pPr>
        <w:numPr>
          <w:ilvl w:val="0"/>
          <w:numId w:val="376"/>
        </w:numPr>
        <w:spacing w:after="160" w:line="259" w:lineRule="auto"/>
        <w:contextualSpacing/>
        <w:rPr>
          <w:rFonts w:ascii="Times New Roman" w:eastAsia="Times New Roman" w:hAnsi="Times New Roman"/>
          <w:lang w:val="en-US" w:eastAsia="ru-RU"/>
        </w:rPr>
        <w:sectPr w:rsidR="00AB7849" w:rsidRPr="007D770B" w:rsidSect="00ED54EE">
          <w:pgSz w:w="11906" w:h="16838"/>
          <w:pgMar w:top="1268" w:right="680" w:bottom="900" w:left="1134" w:header="510" w:footer="404" w:gutter="0"/>
          <w:cols w:space="708"/>
          <w:titlePg/>
          <w:docGrid w:linePitch="360"/>
        </w:sectPr>
      </w:pPr>
    </w:p>
    <w:p w14:paraId="2332348F" w14:textId="5172FA1B" w:rsidR="00C63AE8" w:rsidRPr="007D770B" w:rsidRDefault="00C63AE8" w:rsidP="00AE698A">
      <w:pPr>
        <w:numPr>
          <w:ilvl w:val="0"/>
          <w:numId w:val="376"/>
        </w:numPr>
        <w:spacing w:after="160" w:line="259" w:lineRule="auto"/>
        <w:contextualSpacing/>
        <w:rPr>
          <w:rFonts w:ascii="Times New Roman" w:eastAsia="Times New Roman" w:hAnsi="Times New Roman"/>
          <w:lang w:val="en-US" w:eastAsia="ru-RU"/>
        </w:rPr>
      </w:pPr>
      <w:r w:rsidRPr="007D770B">
        <w:rPr>
          <w:rFonts w:ascii="Times New Roman" w:eastAsia="Times New Roman" w:hAnsi="Times New Roman"/>
          <w:lang w:val="en-US" w:eastAsia="ru-RU"/>
        </w:rPr>
        <w:lastRenderedPageBreak/>
        <w:t>payments of lease termination penalties if the lease term reflects the lessee's potential exercise of an option to terminate the lease.</w:t>
      </w:r>
    </w:p>
    <w:p w14:paraId="5751FF45" w14:textId="77777777" w:rsidR="007F1ADC" w:rsidRPr="007D770B" w:rsidRDefault="007F1ADC" w:rsidP="00C63AE8">
      <w:pPr>
        <w:spacing w:after="0" w:line="240" w:lineRule="auto"/>
        <w:ind w:left="0"/>
        <w:jc w:val="left"/>
        <w:rPr>
          <w:rFonts w:ascii="Times New Roman" w:eastAsia="Times New Roman" w:hAnsi="Times New Roman"/>
          <w:b/>
          <w:i/>
          <w:lang w:val="en-US" w:eastAsia="ru-RU"/>
        </w:rPr>
      </w:pPr>
    </w:p>
    <w:p w14:paraId="58172199" w14:textId="6574105B" w:rsidR="00C63AE8" w:rsidRPr="007D770B" w:rsidRDefault="00C63AE8" w:rsidP="00C63AE8">
      <w:pPr>
        <w:spacing w:after="0" w:line="240" w:lineRule="auto"/>
        <w:ind w:left="0"/>
        <w:jc w:val="left"/>
        <w:rPr>
          <w:rFonts w:ascii="Times New Roman" w:eastAsia="Times New Roman" w:hAnsi="Times New Roman"/>
          <w:lang w:val="en-US" w:eastAsia="ru-RU"/>
        </w:rPr>
      </w:pPr>
      <w:r w:rsidRPr="007D770B">
        <w:rPr>
          <w:rFonts w:ascii="Times New Roman" w:eastAsia="Times New Roman" w:hAnsi="Times New Roman"/>
          <w:b/>
          <w:i/>
          <w:lang w:val="en-US" w:eastAsia="ru-RU"/>
        </w:rPr>
        <w:t>Follow-up assessment</w:t>
      </w:r>
      <w:r w:rsidRPr="007D770B">
        <w:rPr>
          <w:rFonts w:ascii="Times New Roman" w:eastAsia="Times New Roman" w:hAnsi="Times New Roman"/>
          <w:lang w:val="en-US" w:eastAsia="ru-RU"/>
        </w:rPr>
        <w:t xml:space="preserve">. </w:t>
      </w:r>
    </w:p>
    <w:p w14:paraId="23A7CF59" w14:textId="0B057F69" w:rsidR="00C63AE8" w:rsidRPr="007D770B" w:rsidRDefault="00C63AE8" w:rsidP="000D543F">
      <w:pPr>
        <w:spacing w:after="0" w:line="240" w:lineRule="auto"/>
        <w:ind w:left="0"/>
        <w:rPr>
          <w:rFonts w:ascii="Times New Roman" w:eastAsia="Times New Roman" w:hAnsi="Times New Roman"/>
          <w:lang w:val="en-US" w:eastAsia="ru-RU"/>
        </w:rPr>
      </w:pPr>
      <w:r w:rsidRPr="007D770B">
        <w:rPr>
          <w:rFonts w:ascii="Times New Roman" w:eastAsia="Times New Roman" w:hAnsi="Times New Roman"/>
          <w:lang w:val="en-US" w:eastAsia="ru-RU"/>
        </w:rPr>
        <w:t>After the commencement date, a lessee shall measure the right-of-use asset using the cost model, except for assets measured at revalued amounts in accordance with IAS 16 for groups of property, plant and equipment accounted for using the revaluation model.</w:t>
      </w:r>
    </w:p>
    <w:p w14:paraId="77CA4AF7" w14:textId="77777777" w:rsidR="00C63AE8" w:rsidRPr="007D770B" w:rsidRDefault="00C63AE8" w:rsidP="000D543F">
      <w:pPr>
        <w:spacing w:after="0" w:line="240" w:lineRule="auto"/>
        <w:ind w:left="0"/>
        <w:rPr>
          <w:rFonts w:ascii="Times New Roman" w:eastAsia="Times New Roman" w:hAnsi="Times New Roman"/>
          <w:lang w:val="en-US" w:eastAsia="ru-RU"/>
        </w:rPr>
      </w:pPr>
      <w:r w:rsidRPr="007D770B">
        <w:rPr>
          <w:rFonts w:ascii="Times New Roman" w:eastAsia="Times New Roman" w:hAnsi="Times New Roman"/>
          <w:lang w:val="en-US" w:eastAsia="ru-RU"/>
        </w:rPr>
        <w:t xml:space="preserve">To apply the cost model, a lessee must measure the right-of-use asset at cost: </w:t>
      </w:r>
    </w:p>
    <w:p w14:paraId="26AAEA6E" w14:textId="77777777" w:rsidR="00C63AE8" w:rsidRPr="007D770B" w:rsidRDefault="00C63AE8" w:rsidP="00AE698A">
      <w:pPr>
        <w:numPr>
          <w:ilvl w:val="0"/>
          <w:numId w:val="376"/>
        </w:numPr>
        <w:spacing w:after="160" w:line="259" w:lineRule="auto"/>
        <w:ind w:left="284" w:hanging="284"/>
        <w:contextualSpacing/>
        <w:rPr>
          <w:rFonts w:ascii="Times New Roman" w:eastAsia="Times New Roman" w:hAnsi="Times New Roman"/>
          <w:lang w:val="en-US" w:eastAsia="ru-RU"/>
        </w:rPr>
      </w:pPr>
      <w:r w:rsidRPr="007D770B">
        <w:rPr>
          <w:rFonts w:ascii="Times New Roman" w:eastAsia="Times New Roman" w:hAnsi="Times New Roman"/>
          <w:lang w:val="en-US" w:eastAsia="ru-RU"/>
        </w:rPr>
        <w:t xml:space="preserve">less accumulated amortization and accumulated impairment losses; and </w:t>
      </w:r>
    </w:p>
    <w:p w14:paraId="05F04BD1" w14:textId="77777777" w:rsidR="00C63AE8" w:rsidRPr="007D770B" w:rsidRDefault="00C63AE8" w:rsidP="00AE698A">
      <w:pPr>
        <w:numPr>
          <w:ilvl w:val="0"/>
          <w:numId w:val="376"/>
        </w:numPr>
        <w:spacing w:after="160" w:line="259" w:lineRule="auto"/>
        <w:ind w:left="284" w:hanging="284"/>
        <w:contextualSpacing/>
        <w:rPr>
          <w:rFonts w:ascii="Times New Roman" w:eastAsia="Times New Roman" w:hAnsi="Times New Roman"/>
          <w:lang w:val="en-US" w:eastAsia="ru-RU"/>
        </w:rPr>
      </w:pPr>
      <w:r w:rsidRPr="007D770B">
        <w:rPr>
          <w:rFonts w:ascii="Times New Roman" w:eastAsia="Times New Roman" w:hAnsi="Times New Roman"/>
          <w:lang w:val="en-US" w:eastAsia="ru-RU"/>
        </w:rPr>
        <w:t>adjusted for the revaluation of the lease liability.</w:t>
      </w:r>
    </w:p>
    <w:p w14:paraId="6E9939D6" w14:textId="2030871F" w:rsidR="00C63AE8" w:rsidRPr="007D770B" w:rsidRDefault="00C63AE8" w:rsidP="000D543F">
      <w:pPr>
        <w:spacing w:after="0" w:line="240" w:lineRule="auto"/>
        <w:ind w:left="0"/>
        <w:rPr>
          <w:rFonts w:ascii="Times New Roman" w:eastAsia="Times New Roman" w:hAnsi="Times New Roman"/>
          <w:lang w:val="en-US" w:eastAsia="ru-RU"/>
        </w:rPr>
      </w:pPr>
      <w:r w:rsidRPr="007D770B">
        <w:rPr>
          <w:rFonts w:ascii="Times New Roman" w:eastAsia="Times New Roman" w:hAnsi="Times New Roman"/>
          <w:lang w:val="en-US" w:eastAsia="ru-RU"/>
        </w:rPr>
        <w:t xml:space="preserve">Right-of-use </w:t>
      </w:r>
      <w:r w:rsidR="00FB090E" w:rsidRPr="007D770B">
        <w:rPr>
          <w:rFonts w:ascii="Times New Roman" w:eastAsia="Times New Roman" w:hAnsi="Times New Roman"/>
          <w:lang w:val="en-US" w:eastAsia="ru-RU"/>
        </w:rPr>
        <w:t xml:space="preserve">assets </w:t>
      </w:r>
      <w:r w:rsidRPr="007D770B">
        <w:rPr>
          <w:rFonts w:ascii="Times New Roman" w:eastAsia="Times New Roman" w:hAnsi="Times New Roman"/>
          <w:lang w:val="en-US" w:eastAsia="ru-RU"/>
        </w:rPr>
        <w:t xml:space="preserve">are depreciated using the straight-line method of depreciation. </w:t>
      </w:r>
    </w:p>
    <w:p w14:paraId="631AE892" w14:textId="77777777" w:rsidR="00D80214" w:rsidRPr="007D770B" w:rsidRDefault="00C63AE8" w:rsidP="000D543F">
      <w:pPr>
        <w:spacing w:after="0" w:line="240" w:lineRule="auto"/>
        <w:ind w:left="0"/>
        <w:rPr>
          <w:rFonts w:ascii="Times New Roman" w:eastAsia="Times New Roman" w:hAnsi="Times New Roman"/>
          <w:lang w:val="en-US" w:eastAsia="ru-RU"/>
        </w:rPr>
      </w:pPr>
      <w:r w:rsidRPr="007D770B">
        <w:rPr>
          <w:rFonts w:ascii="Times New Roman" w:eastAsia="Times New Roman" w:hAnsi="Times New Roman"/>
          <w:lang w:val="en-US" w:eastAsia="ru-RU"/>
        </w:rPr>
        <w:t xml:space="preserve">Amortization of the right-of-use asset begins on the commencement date of the lease. </w:t>
      </w:r>
    </w:p>
    <w:p w14:paraId="074CA754" w14:textId="1A5922CD" w:rsidR="00C63AE8" w:rsidRPr="007D770B" w:rsidRDefault="00C63AE8" w:rsidP="00D80214">
      <w:pPr>
        <w:spacing w:before="240" w:after="0" w:line="240" w:lineRule="auto"/>
        <w:ind w:left="0"/>
        <w:rPr>
          <w:rFonts w:ascii="Times New Roman" w:eastAsia="Times New Roman" w:hAnsi="Times New Roman"/>
          <w:lang w:val="en-US" w:eastAsia="ru-RU"/>
        </w:rPr>
      </w:pPr>
      <w:r w:rsidRPr="007D770B">
        <w:rPr>
          <w:rFonts w:ascii="Times New Roman" w:eastAsia="Times New Roman" w:hAnsi="Times New Roman"/>
          <w:lang w:val="en-US" w:eastAsia="ru-RU"/>
        </w:rPr>
        <w:t xml:space="preserve">If ownership of the underlying asset is transferred to the </w:t>
      </w:r>
      <w:r w:rsidR="008B34E5" w:rsidRPr="007D770B">
        <w:rPr>
          <w:rFonts w:ascii="Times New Roman" w:eastAsia="Times New Roman" w:hAnsi="Times New Roman"/>
          <w:lang w:val="en-US" w:eastAsia="ru-RU"/>
        </w:rPr>
        <w:t xml:space="preserve">lessee </w:t>
      </w:r>
      <w:r w:rsidRPr="007D770B">
        <w:rPr>
          <w:rFonts w:ascii="Times New Roman" w:eastAsia="Times New Roman" w:hAnsi="Times New Roman"/>
          <w:lang w:val="en-US" w:eastAsia="ru-RU"/>
        </w:rPr>
        <w:t xml:space="preserve">or the </w:t>
      </w:r>
      <w:r w:rsidR="008B34E5" w:rsidRPr="007D770B">
        <w:rPr>
          <w:rFonts w:ascii="Times New Roman" w:eastAsia="Times New Roman" w:hAnsi="Times New Roman"/>
          <w:lang w:val="en-US" w:eastAsia="ru-RU"/>
        </w:rPr>
        <w:t xml:space="preserve">lessee </w:t>
      </w:r>
      <w:r w:rsidRPr="007D770B">
        <w:rPr>
          <w:rFonts w:ascii="Times New Roman" w:eastAsia="Times New Roman" w:hAnsi="Times New Roman"/>
          <w:lang w:val="en-US" w:eastAsia="ru-RU"/>
        </w:rPr>
        <w:t>is expected to exercise the right to purchase it, depreciation is charged to the end of the useful life of the underlying asset. Otherwise, to the earlier of the end of the useful life of the right-of-use asset or the end of the lease.</w:t>
      </w:r>
    </w:p>
    <w:p w14:paraId="22BBFA3D" w14:textId="77777777" w:rsidR="00C63AE8" w:rsidRPr="007D770B" w:rsidRDefault="00C63AE8" w:rsidP="000D543F">
      <w:pPr>
        <w:spacing w:after="0" w:line="240" w:lineRule="auto"/>
        <w:ind w:left="0"/>
        <w:rPr>
          <w:rFonts w:ascii="Times New Roman" w:eastAsia="Times New Roman" w:hAnsi="Times New Roman"/>
          <w:lang w:val="en-US" w:eastAsia="ru-RU"/>
        </w:rPr>
      </w:pPr>
    </w:p>
    <w:p w14:paraId="207BBCE5" w14:textId="77777777" w:rsidR="00C63AE8" w:rsidRPr="007D770B" w:rsidRDefault="00C63AE8" w:rsidP="000D543F">
      <w:pPr>
        <w:spacing w:after="0" w:line="240" w:lineRule="auto"/>
        <w:ind w:left="0"/>
        <w:rPr>
          <w:rFonts w:ascii="Times New Roman" w:eastAsia="Times New Roman" w:hAnsi="Times New Roman"/>
          <w:lang w:val="en-US" w:eastAsia="ru-RU"/>
        </w:rPr>
      </w:pPr>
      <w:r w:rsidRPr="007D770B">
        <w:rPr>
          <w:rFonts w:ascii="Times New Roman" w:eastAsia="Times New Roman" w:hAnsi="Times New Roman"/>
          <w:lang w:val="en-US" w:eastAsia="ru-RU"/>
        </w:rPr>
        <w:t>Subsequent to the commencement date, the Bank shall measure the lease liability as follows:</w:t>
      </w:r>
    </w:p>
    <w:p w14:paraId="460A62A6" w14:textId="77777777" w:rsidR="00C63AE8" w:rsidRPr="007D770B" w:rsidRDefault="00C63AE8" w:rsidP="000D543F">
      <w:pPr>
        <w:spacing w:after="0" w:line="240" w:lineRule="auto"/>
        <w:ind w:left="0"/>
        <w:rPr>
          <w:rFonts w:ascii="Times New Roman" w:eastAsia="Times New Roman" w:hAnsi="Times New Roman"/>
          <w:lang w:val="en-US" w:eastAsia="ru-RU"/>
        </w:rPr>
      </w:pPr>
      <w:r w:rsidRPr="007D770B">
        <w:rPr>
          <w:rFonts w:ascii="Times New Roman" w:eastAsia="Times New Roman" w:hAnsi="Times New Roman"/>
          <w:lang w:val="en-US" w:eastAsia="ru-RU"/>
        </w:rPr>
        <w:t>(a) Increasing the carrying amount to reflect the interest on the lease liability;</w:t>
      </w:r>
    </w:p>
    <w:p w14:paraId="177762C2" w14:textId="77777777" w:rsidR="00C63AE8" w:rsidRPr="007D770B" w:rsidRDefault="00C63AE8" w:rsidP="000D543F">
      <w:pPr>
        <w:spacing w:after="0" w:line="240" w:lineRule="auto"/>
        <w:ind w:left="0"/>
        <w:rPr>
          <w:rFonts w:ascii="Times New Roman" w:eastAsia="Times New Roman" w:hAnsi="Times New Roman"/>
          <w:lang w:val="en-US" w:eastAsia="ru-RU"/>
        </w:rPr>
      </w:pPr>
      <w:r w:rsidRPr="007D770B">
        <w:rPr>
          <w:rFonts w:ascii="Times New Roman" w:eastAsia="Times New Roman" w:hAnsi="Times New Roman"/>
          <w:lang w:val="en-US" w:eastAsia="ru-RU"/>
        </w:rPr>
        <w:t>(b) Reducing the carrying amount to reflect the lease payments made; and</w:t>
      </w:r>
    </w:p>
    <w:p w14:paraId="5A1467E5" w14:textId="77777777" w:rsidR="00C63AE8" w:rsidRPr="007D770B" w:rsidRDefault="00C63AE8" w:rsidP="000D543F">
      <w:pPr>
        <w:spacing w:after="0" w:line="240" w:lineRule="auto"/>
        <w:ind w:left="0"/>
        <w:rPr>
          <w:rFonts w:ascii="Times New Roman" w:eastAsia="Times New Roman" w:hAnsi="Times New Roman"/>
          <w:lang w:val="en-US" w:eastAsia="ru-RU"/>
        </w:rPr>
      </w:pPr>
      <w:r w:rsidRPr="007D770B">
        <w:rPr>
          <w:rFonts w:ascii="Times New Roman" w:eastAsia="Times New Roman" w:hAnsi="Times New Roman"/>
          <w:lang w:val="en-US" w:eastAsia="ru-RU"/>
        </w:rPr>
        <w:t>(c) Reassessing the carrying amount to reflect the revaluation or modification of leases or to reflect substantially revised fixed lease payments.</w:t>
      </w:r>
    </w:p>
    <w:p w14:paraId="5BE2979A" w14:textId="77777777" w:rsidR="00C63AE8" w:rsidRPr="007D770B" w:rsidRDefault="00C63AE8" w:rsidP="000D543F">
      <w:pPr>
        <w:spacing w:after="0" w:line="240" w:lineRule="auto"/>
        <w:ind w:left="0"/>
        <w:rPr>
          <w:rFonts w:ascii="Times New Roman" w:eastAsia="Times New Roman" w:hAnsi="Times New Roman"/>
          <w:lang w:val="en-US" w:eastAsia="ru-RU"/>
        </w:rPr>
      </w:pPr>
      <w:r w:rsidRPr="007D770B">
        <w:rPr>
          <w:rFonts w:ascii="Times New Roman" w:eastAsia="Times New Roman" w:hAnsi="Times New Roman"/>
          <w:lang w:val="en-US" w:eastAsia="ru-RU"/>
        </w:rPr>
        <w:t>Interest on the lease liability at each period during the lease term shall be represented by an amount that produces a constant periodic rate of interest on the remaining balance of the lease liability.</w:t>
      </w:r>
    </w:p>
    <w:p w14:paraId="1EDEDFDD" w14:textId="77777777" w:rsidR="00C63AE8" w:rsidRPr="007D770B" w:rsidRDefault="00C63AE8" w:rsidP="000D543F">
      <w:pPr>
        <w:spacing w:before="120" w:after="0" w:line="240" w:lineRule="auto"/>
        <w:ind w:left="0"/>
        <w:rPr>
          <w:rFonts w:ascii="Times New Roman" w:eastAsia="Times New Roman" w:hAnsi="Times New Roman"/>
          <w:b/>
          <w:lang w:val="en-US" w:eastAsia="ru-RU"/>
        </w:rPr>
      </w:pPr>
      <w:r w:rsidRPr="007D770B">
        <w:rPr>
          <w:rFonts w:ascii="Times New Roman" w:eastAsia="Times New Roman" w:hAnsi="Times New Roman"/>
          <w:b/>
          <w:lang w:val="en-US" w:eastAsia="ru-RU"/>
        </w:rPr>
        <w:t>Simplifications of a practical nature.</w:t>
      </w:r>
    </w:p>
    <w:p w14:paraId="673EF0DB" w14:textId="37C565EA" w:rsidR="00C63AE8" w:rsidRPr="007D770B" w:rsidRDefault="00AF7F5C" w:rsidP="000D543F">
      <w:pPr>
        <w:spacing w:after="0" w:line="240" w:lineRule="auto"/>
        <w:ind w:left="0"/>
        <w:rPr>
          <w:rFonts w:ascii="Times New Roman" w:eastAsia="Times New Roman" w:hAnsi="Times New Roman"/>
          <w:lang w:val="en-US" w:eastAsia="ru-RU"/>
        </w:rPr>
      </w:pPr>
      <w:r w:rsidRPr="007D770B">
        <w:rPr>
          <w:rFonts w:ascii="Times New Roman" w:eastAsia="Times New Roman" w:hAnsi="Times New Roman"/>
          <w:lang w:val="en-US" w:eastAsia="ru-RU"/>
        </w:rPr>
        <w:t xml:space="preserve">The lessee </w:t>
      </w:r>
      <w:r w:rsidR="00C63AE8" w:rsidRPr="007D770B">
        <w:rPr>
          <w:rFonts w:ascii="Times New Roman" w:eastAsia="Times New Roman" w:hAnsi="Times New Roman"/>
          <w:lang w:val="en-US" w:eastAsia="ru-RU"/>
        </w:rPr>
        <w:t>has the right not to apply the new accounting model to:</w:t>
      </w:r>
    </w:p>
    <w:p w14:paraId="74AAFE03" w14:textId="77777777" w:rsidR="00C63AE8" w:rsidRPr="007D770B" w:rsidRDefault="00C63AE8" w:rsidP="000D543F">
      <w:pPr>
        <w:spacing w:after="0" w:line="240" w:lineRule="auto"/>
        <w:ind w:left="0"/>
        <w:rPr>
          <w:rFonts w:ascii="Times New Roman" w:eastAsia="Times New Roman" w:hAnsi="Times New Roman"/>
          <w:lang w:val="en-US" w:eastAsia="ru-RU"/>
        </w:rPr>
      </w:pPr>
      <w:r w:rsidRPr="007D770B">
        <w:rPr>
          <w:rFonts w:ascii="Times New Roman" w:eastAsia="Times New Roman" w:hAnsi="Times New Roman"/>
          <w:lang w:val="en-US" w:eastAsia="ru-RU"/>
        </w:rPr>
        <w:t>(a) Leases of 12 months or less. The decision to apply the exemption is made by class of underlying asset; and</w:t>
      </w:r>
    </w:p>
    <w:p w14:paraId="5EDFADFA" w14:textId="5886F7CB" w:rsidR="00C63AE8" w:rsidRPr="007D770B" w:rsidRDefault="00C63AE8" w:rsidP="000D543F">
      <w:pPr>
        <w:spacing w:after="0" w:line="240" w:lineRule="auto"/>
        <w:ind w:left="0"/>
        <w:rPr>
          <w:rFonts w:ascii="Times New Roman" w:eastAsia="Times New Roman" w:hAnsi="Times New Roman"/>
          <w:lang w:val="en-US" w:eastAsia="ru-RU"/>
        </w:rPr>
      </w:pPr>
      <w:r w:rsidRPr="007D770B">
        <w:rPr>
          <w:rFonts w:ascii="Times New Roman" w:eastAsia="Times New Roman" w:hAnsi="Times New Roman"/>
          <w:lang w:val="en-US" w:eastAsia="ru-RU"/>
        </w:rPr>
        <w:t xml:space="preserve">(b) Leases in which the underlying asset, being new, is of low value (even if the cumulative effect is significant). The decision to apply the exemption may be made on a lease-by-lease basis. </w:t>
      </w:r>
    </w:p>
    <w:p w14:paraId="46223772" w14:textId="77777777" w:rsidR="00C63AE8" w:rsidRPr="007D770B" w:rsidRDefault="00C63AE8" w:rsidP="000D543F">
      <w:pPr>
        <w:spacing w:after="0" w:line="240" w:lineRule="auto"/>
        <w:ind w:left="0"/>
        <w:rPr>
          <w:rFonts w:ascii="Times New Roman" w:eastAsia="Times New Roman" w:hAnsi="Times New Roman"/>
          <w:lang w:val="en-US" w:eastAsia="ru-RU"/>
        </w:rPr>
      </w:pPr>
      <w:r w:rsidRPr="007D770B">
        <w:rPr>
          <w:rFonts w:ascii="Times New Roman" w:eastAsia="Times New Roman" w:hAnsi="Times New Roman"/>
          <w:lang w:val="en-US" w:eastAsia="ru-RU"/>
        </w:rPr>
        <w:t>In this case, the Bank would allocate the related lease payments on a systematic basis (generally on a straight-line basis).</w:t>
      </w:r>
    </w:p>
    <w:p w14:paraId="6C4B186E" w14:textId="63884713" w:rsidR="00653CB4" w:rsidRPr="007D770B" w:rsidRDefault="00C63AE8" w:rsidP="00653CB4">
      <w:pPr>
        <w:spacing w:after="0" w:line="240" w:lineRule="auto"/>
        <w:ind w:left="0"/>
        <w:rPr>
          <w:rFonts w:ascii="Times New Roman" w:eastAsia="Times New Roman" w:hAnsi="Times New Roman"/>
          <w:lang w:val="en-US" w:eastAsia="ru-RU"/>
        </w:rPr>
      </w:pPr>
      <w:r w:rsidRPr="007D770B">
        <w:rPr>
          <w:rFonts w:ascii="Times New Roman" w:eastAsia="Times New Roman" w:hAnsi="Times New Roman"/>
          <w:lang w:val="en-US" w:eastAsia="ru-RU"/>
        </w:rPr>
        <w:t xml:space="preserve">If the Bank elects to apply the simplified accounting system to a short-term </w:t>
      </w:r>
      <w:r w:rsidR="00653CB4" w:rsidRPr="007D770B">
        <w:rPr>
          <w:rFonts w:ascii="Times New Roman" w:eastAsia="Times New Roman" w:hAnsi="Times New Roman"/>
          <w:lang w:val="en-US" w:eastAsia="ru-RU"/>
        </w:rPr>
        <w:t>lease contract, it should consider the lease contract as a new lease contract in the following cases:</w:t>
      </w:r>
    </w:p>
    <w:p w14:paraId="17F5275A" w14:textId="1193785A" w:rsidR="00653CB4" w:rsidRPr="007D770B" w:rsidRDefault="00653CB4" w:rsidP="00AE698A">
      <w:pPr>
        <w:pStyle w:val="IASBNormalnparaL1"/>
        <w:numPr>
          <w:ilvl w:val="0"/>
          <w:numId w:val="375"/>
        </w:numPr>
        <w:tabs>
          <w:tab w:val="left" w:pos="284"/>
        </w:tabs>
        <w:spacing w:before="0"/>
        <w:ind w:left="0" w:firstLine="0"/>
        <w:rPr>
          <w:sz w:val="20"/>
          <w:szCs w:val="20"/>
          <w:lang w:val="en-US"/>
        </w:rPr>
      </w:pPr>
      <w:r w:rsidRPr="007D770B">
        <w:rPr>
          <w:sz w:val="20"/>
          <w:szCs w:val="20"/>
          <w:lang w:val="en-US"/>
        </w:rPr>
        <w:t>In the case of a lease modification; or</w:t>
      </w:r>
    </w:p>
    <w:p w14:paraId="32F3770C" w14:textId="7BB9F8F0" w:rsidR="00653CB4" w:rsidRPr="007D770B" w:rsidRDefault="00653CB4" w:rsidP="00AE698A">
      <w:pPr>
        <w:pStyle w:val="IASBNormalnparaL1"/>
        <w:numPr>
          <w:ilvl w:val="0"/>
          <w:numId w:val="375"/>
        </w:numPr>
        <w:tabs>
          <w:tab w:val="left" w:pos="284"/>
        </w:tabs>
        <w:spacing w:before="0"/>
        <w:ind w:left="0" w:firstLine="0"/>
        <w:rPr>
          <w:sz w:val="20"/>
          <w:szCs w:val="20"/>
          <w:lang w:val="en-US"/>
        </w:rPr>
      </w:pPr>
      <w:r w:rsidRPr="007D770B">
        <w:rPr>
          <w:sz w:val="20"/>
          <w:szCs w:val="20"/>
          <w:lang w:val="en-US"/>
        </w:rPr>
        <w:t>in the event of a change in the lease term.</w:t>
      </w:r>
    </w:p>
    <w:p w14:paraId="2AAB1939" w14:textId="77777777" w:rsidR="00E868AF" w:rsidRPr="007D770B" w:rsidRDefault="00E868AF" w:rsidP="000D543F">
      <w:pPr>
        <w:spacing w:before="120" w:after="0" w:line="240" w:lineRule="auto"/>
        <w:ind w:left="0"/>
        <w:rPr>
          <w:rFonts w:ascii="Times New Roman" w:eastAsia="Times New Roman" w:hAnsi="Times New Roman"/>
          <w:b/>
          <w:lang w:val="en-US" w:eastAsia="ru-RU"/>
        </w:rPr>
      </w:pPr>
    </w:p>
    <w:p w14:paraId="7667BF82" w14:textId="77777777" w:rsidR="00E868AF" w:rsidRPr="007D770B" w:rsidRDefault="00E868AF" w:rsidP="00E61D21">
      <w:pPr>
        <w:pStyle w:val="3"/>
        <w:rPr>
          <w:lang w:val="en-US" w:eastAsia="ru-RU"/>
        </w:rPr>
      </w:pPr>
      <w:bookmarkStart w:id="291" w:name="_Toc168502090"/>
      <w:r w:rsidRPr="007D770B">
        <w:rPr>
          <w:lang w:val="en-US" w:eastAsia="ru-RU"/>
        </w:rPr>
        <w:t>12.4 Lease modifications</w:t>
      </w:r>
      <w:bookmarkEnd w:id="291"/>
    </w:p>
    <w:p w14:paraId="052AE7CC" w14:textId="77777777" w:rsidR="00E868AF" w:rsidRPr="007D770B" w:rsidRDefault="00E868AF" w:rsidP="00AF7F5C">
      <w:pPr>
        <w:spacing w:after="0"/>
        <w:ind w:left="0"/>
        <w:rPr>
          <w:rFonts w:ascii="Times New Roman" w:eastAsia="Times New Roman" w:hAnsi="Times New Roman"/>
          <w:lang w:val="en-US" w:eastAsia="ru-RU"/>
        </w:rPr>
      </w:pPr>
      <w:r w:rsidRPr="007D770B">
        <w:rPr>
          <w:rFonts w:ascii="Times New Roman" w:eastAsia="Times New Roman" w:hAnsi="Times New Roman"/>
          <w:lang w:val="en-US" w:eastAsia="ru-RU"/>
        </w:rPr>
        <w:t>A lease modification is accounted for as a separate lease if the following two conditions are met:</w:t>
      </w:r>
    </w:p>
    <w:p w14:paraId="5A0B4377" w14:textId="77777777" w:rsidR="00E868AF" w:rsidRPr="007D770B" w:rsidRDefault="00E868AF" w:rsidP="00AE698A">
      <w:pPr>
        <w:pStyle w:val="IASBNormalnparaL1"/>
        <w:numPr>
          <w:ilvl w:val="0"/>
          <w:numId w:val="375"/>
        </w:numPr>
        <w:tabs>
          <w:tab w:val="left" w:pos="284"/>
        </w:tabs>
        <w:spacing w:before="0"/>
        <w:ind w:left="0" w:firstLine="0"/>
        <w:rPr>
          <w:sz w:val="20"/>
          <w:szCs w:val="20"/>
          <w:lang w:val="en-US"/>
        </w:rPr>
      </w:pPr>
      <w:r w:rsidRPr="007D770B">
        <w:rPr>
          <w:sz w:val="20"/>
          <w:szCs w:val="20"/>
          <w:lang w:val="en-US"/>
        </w:rPr>
        <w:t>The modification increases the scope of the lease by adding the right to use one or more underlying assets; and</w:t>
      </w:r>
    </w:p>
    <w:p w14:paraId="7D281B92" w14:textId="77777777" w:rsidR="00E868AF" w:rsidRPr="007D770B" w:rsidRDefault="00E868AF" w:rsidP="00AE698A">
      <w:pPr>
        <w:pStyle w:val="IASBNormalnparaL1"/>
        <w:numPr>
          <w:ilvl w:val="0"/>
          <w:numId w:val="375"/>
        </w:numPr>
        <w:tabs>
          <w:tab w:val="left" w:pos="284"/>
        </w:tabs>
        <w:spacing w:before="0"/>
        <w:ind w:left="0" w:firstLine="0"/>
        <w:rPr>
          <w:sz w:val="20"/>
          <w:szCs w:val="20"/>
          <w:lang w:val="en-US"/>
        </w:rPr>
      </w:pPr>
      <w:r w:rsidRPr="007D770B">
        <w:rPr>
          <w:sz w:val="20"/>
          <w:szCs w:val="20"/>
          <w:lang w:val="en-US"/>
        </w:rPr>
        <w:t>rent reimbursement is increased by an amount commensurate with the individual contract price for the increased volume and appropriate adjustments to such price to reflect the circumstances of the particular contract.</w:t>
      </w:r>
    </w:p>
    <w:p w14:paraId="150F7E1D" w14:textId="77777777" w:rsidR="00E868AF" w:rsidRPr="007D770B" w:rsidRDefault="00E868AF" w:rsidP="00E868AF">
      <w:pPr>
        <w:spacing w:before="120" w:after="0" w:line="240" w:lineRule="auto"/>
        <w:ind w:left="0"/>
        <w:rPr>
          <w:rFonts w:ascii="Times New Roman" w:eastAsia="Times New Roman" w:hAnsi="Times New Roman"/>
          <w:lang w:val="en-US" w:eastAsia="ru-RU"/>
        </w:rPr>
      </w:pPr>
    </w:p>
    <w:p w14:paraId="441C2373" w14:textId="541F078B" w:rsidR="00C63AE8" w:rsidRPr="007D770B" w:rsidRDefault="00C63AE8" w:rsidP="00E61D21">
      <w:pPr>
        <w:pStyle w:val="3"/>
        <w:rPr>
          <w:lang w:val="en-US" w:eastAsia="ru-RU"/>
        </w:rPr>
      </w:pPr>
      <w:bookmarkStart w:id="292" w:name="_Toc168502091"/>
      <w:r w:rsidRPr="007D770B">
        <w:rPr>
          <w:lang w:val="en-US" w:eastAsia="ru-RU"/>
        </w:rPr>
        <w:t>12.</w:t>
      </w:r>
      <w:r w:rsidR="00E868AF" w:rsidRPr="007D770B">
        <w:rPr>
          <w:lang w:val="en-US" w:eastAsia="ru-RU"/>
        </w:rPr>
        <w:t xml:space="preserve">5 </w:t>
      </w:r>
      <w:r w:rsidRPr="007D770B">
        <w:rPr>
          <w:lang w:val="en-US" w:eastAsia="ru-RU"/>
        </w:rPr>
        <w:t>Disclosure of information.</w:t>
      </w:r>
      <w:bookmarkEnd w:id="292"/>
    </w:p>
    <w:p w14:paraId="0688B937" w14:textId="77777777" w:rsidR="00C63AE8" w:rsidRPr="007D770B" w:rsidRDefault="00C63AE8" w:rsidP="000D543F">
      <w:pPr>
        <w:spacing w:after="0" w:line="240" w:lineRule="auto"/>
        <w:ind w:left="0"/>
        <w:rPr>
          <w:rFonts w:ascii="Times New Roman" w:eastAsia="Times New Roman" w:hAnsi="Times New Roman"/>
          <w:lang w:val="en-US" w:eastAsia="ru-RU"/>
        </w:rPr>
      </w:pPr>
      <w:r w:rsidRPr="007D770B">
        <w:rPr>
          <w:rFonts w:ascii="Times New Roman" w:eastAsia="Times New Roman" w:hAnsi="Times New Roman"/>
          <w:lang w:val="en-US" w:eastAsia="ru-RU"/>
        </w:rPr>
        <w:t>The Bank discloses information about its leases in which it is a lessee in a single note or in a separate section of its financial statements that, together with the information presented in the statement of financial position, statement of profit or loss and statement of cash flows, provides a basis for users of the financial statements to evaluate the effect of leases on the Bank's financial position, financial performance and cash flows.</w:t>
      </w:r>
    </w:p>
    <w:p w14:paraId="46361C91" w14:textId="31C3F066" w:rsidR="00C63AE8" w:rsidRPr="007D770B" w:rsidRDefault="00C63AE8" w:rsidP="000D543F">
      <w:pPr>
        <w:spacing w:after="0" w:line="240" w:lineRule="auto"/>
        <w:ind w:left="0"/>
        <w:rPr>
          <w:rFonts w:ascii="Times New Roman" w:eastAsia="Times New Roman" w:hAnsi="Times New Roman"/>
          <w:lang w:val="en-US" w:eastAsia="ru-RU"/>
        </w:rPr>
      </w:pPr>
      <w:bookmarkStart w:id="293" w:name="F45929345"/>
      <w:r w:rsidRPr="007D770B">
        <w:rPr>
          <w:rFonts w:ascii="Times New Roman" w:eastAsia="Times New Roman" w:hAnsi="Times New Roman"/>
          <w:lang w:val="en-US" w:eastAsia="ru-RU"/>
        </w:rPr>
        <w:t>The Bank discloses the following amounts for the reporting period:</w:t>
      </w:r>
      <w:bookmarkEnd w:id="293"/>
    </w:p>
    <w:p w14:paraId="24F2B940" w14:textId="30BF28EA" w:rsidR="00C63AE8" w:rsidRPr="007D770B" w:rsidRDefault="00C63AE8" w:rsidP="00AE698A">
      <w:pPr>
        <w:numPr>
          <w:ilvl w:val="0"/>
          <w:numId w:val="375"/>
        </w:numPr>
        <w:spacing w:after="0" w:line="240" w:lineRule="auto"/>
        <w:ind w:left="709"/>
        <w:rPr>
          <w:rFonts w:ascii="Times New Roman" w:eastAsia="Times New Roman" w:hAnsi="Times New Roman"/>
          <w:lang w:val="en-US" w:eastAsia="ru-RU"/>
        </w:rPr>
      </w:pPr>
      <w:bookmarkStart w:id="294" w:name="F45929348"/>
      <w:r w:rsidRPr="007D770B">
        <w:rPr>
          <w:rFonts w:ascii="Times New Roman" w:eastAsia="Times New Roman" w:hAnsi="Times New Roman"/>
          <w:lang w:val="en-US" w:eastAsia="ru-RU"/>
        </w:rPr>
        <w:t>depreciation of right-of-use assets according to the type of underlying asset;</w:t>
      </w:r>
      <w:bookmarkEnd w:id="294"/>
    </w:p>
    <w:p w14:paraId="734BE9C1" w14:textId="77777777" w:rsidR="00AB7849" w:rsidRPr="007D770B" w:rsidRDefault="00AB7849" w:rsidP="00AE698A">
      <w:pPr>
        <w:numPr>
          <w:ilvl w:val="0"/>
          <w:numId w:val="375"/>
        </w:numPr>
        <w:spacing w:after="0" w:line="240" w:lineRule="auto"/>
        <w:ind w:left="709"/>
        <w:rPr>
          <w:rFonts w:ascii="Times New Roman" w:eastAsia="Times New Roman" w:hAnsi="Times New Roman"/>
          <w:lang w:val="en-US" w:eastAsia="ru-RU"/>
        </w:rPr>
        <w:sectPr w:rsidR="00AB7849" w:rsidRPr="007D770B" w:rsidSect="00ED54EE">
          <w:pgSz w:w="11906" w:h="16838"/>
          <w:pgMar w:top="1268" w:right="680" w:bottom="900" w:left="1134" w:header="510" w:footer="404" w:gutter="0"/>
          <w:cols w:space="708"/>
          <w:titlePg/>
          <w:docGrid w:linePitch="360"/>
        </w:sectPr>
      </w:pPr>
      <w:bookmarkStart w:id="295" w:name="F45929350"/>
    </w:p>
    <w:p w14:paraId="0EB9862C" w14:textId="4D954A30" w:rsidR="00C63AE8" w:rsidRPr="007D770B" w:rsidRDefault="00C63AE8" w:rsidP="00AE698A">
      <w:pPr>
        <w:numPr>
          <w:ilvl w:val="0"/>
          <w:numId w:val="375"/>
        </w:numPr>
        <w:spacing w:after="0" w:line="240" w:lineRule="auto"/>
        <w:ind w:left="709"/>
        <w:rPr>
          <w:rFonts w:ascii="Times New Roman" w:eastAsia="Times New Roman" w:hAnsi="Times New Roman"/>
          <w:lang w:val="en-US" w:eastAsia="ru-RU"/>
        </w:rPr>
      </w:pPr>
      <w:r w:rsidRPr="007D770B">
        <w:rPr>
          <w:rFonts w:ascii="Times New Roman" w:eastAsia="Times New Roman" w:hAnsi="Times New Roman"/>
          <w:lang w:val="en-US" w:eastAsia="ru-RU"/>
        </w:rPr>
        <w:lastRenderedPageBreak/>
        <w:t>interest expense on lease liabilities;</w:t>
      </w:r>
      <w:bookmarkEnd w:id="295"/>
    </w:p>
    <w:p w14:paraId="7E5D091E" w14:textId="7A34E482" w:rsidR="00C63AE8" w:rsidRPr="007D770B" w:rsidRDefault="00C63AE8" w:rsidP="00AE698A">
      <w:pPr>
        <w:numPr>
          <w:ilvl w:val="0"/>
          <w:numId w:val="375"/>
        </w:numPr>
        <w:spacing w:after="0" w:line="240" w:lineRule="auto"/>
        <w:ind w:left="709"/>
        <w:rPr>
          <w:rFonts w:ascii="Times New Roman" w:eastAsia="Times New Roman" w:hAnsi="Times New Roman"/>
          <w:lang w:val="en-US" w:eastAsia="ru-RU"/>
        </w:rPr>
      </w:pPr>
      <w:bookmarkStart w:id="296" w:name="F45929382"/>
      <w:bookmarkStart w:id="297" w:name="F45929388"/>
      <w:r w:rsidRPr="007D770B">
        <w:rPr>
          <w:rFonts w:ascii="Times New Roman" w:eastAsia="Times New Roman" w:hAnsi="Times New Roman"/>
          <w:lang w:val="en-US" w:eastAsia="ru-RU"/>
        </w:rPr>
        <w:t>An expense relating to short-term leases accounted for using the simplified method. Such expense shall not include expense relating to leases with a lease term of one month or less;</w:t>
      </w:r>
      <w:bookmarkEnd w:id="296"/>
    </w:p>
    <w:p w14:paraId="5233BA82" w14:textId="77777777" w:rsidR="00C63AE8" w:rsidRPr="007D770B" w:rsidRDefault="00C63AE8" w:rsidP="00AE698A">
      <w:pPr>
        <w:numPr>
          <w:ilvl w:val="0"/>
          <w:numId w:val="375"/>
        </w:numPr>
        <w:spacing w:after="0" w:line="240" w:lineRule="auto"/>
        <w:ind w:left="709"/>
        <w:rPr>
          <w:rFonts w:ascii="Times New Roman" w:eastAsia="Times New Roman" w:hAnsi="Times New Roman"/>
          <w:lang w:val="en-US" w:eastAsia="ru-RU"/>
        </w:rPr>
      </w:pPr>
      <w:bookmarkStart w:id="298" w:name="F45929384"/>
      <w:r w:rsidRPr="007D770B">
        <w:rPr>
          <w:rFonts w:ascii="Times New Roman" w:eastAsia="Times New Roman" w:hAnsi="Times New Roman"/>
          <w:lang w:val="en-US" w:eastAsia="ru-RU"/>
        </w:rPr>
        <w:t>The expense relating to leases of low-value assets that are accounted for using the simplified method, not including the expense described in the preceding paragraph;</w:t>
      </w:r>
      <w:bookmarkEnd w:id="298"/>
    </w:p>
    <w:p w14:paraId="2586FBBF" w14:textId="77777777" w:rsidR="00C63AE8" w:rsidRPr="007D770B" w:rsidRDefault="00C63AE8" w:rsidP="00AE698A">
      <w:pPr>
        <w:numPr>
          <w:ilvl w:val="0"/>
          <w:numId w:val="375"/>
        </w:numPr>
        <w:spacing w:after="0" w:line="240" w:lineRule="auto"/>
        <w:ind w:left="709"/>
        <w:rPr>
          <w:rFonts w:ascii="Times New Roman" w:eastAsia="Times New Roman" w:hAnsi="Times New Roman"/>
          <w:lang w:val="en-US" w:eastAsia="ru-RU"/>
        </w:rPr>
      </w:pPr>
      <w:r w:rsidRPr="007D770B">
        <w:rPr>
          <w:rFonts w:ascii="Times New Roman" w:eastAsia="Times New Roman" w:hAnsi="Times New Roman"/>
          <w:lang w:val="en-US" w:eastAsia="ru-RU"/>
        </w:rPr>
        <w:t>The expense relating to variable lease payments not included in the measurement of the lease liability;</w:t>
      </w:r>
    </w:p>
    <w:p w14:paraId="4674A527" w14:textId="71D9420A" w:rsidR="00C63AE8" w:rsidRPr="007D770B" w:rsidRDefault="00C63AE8" w:rsidP="00AE698A">
      <w:pPr>
        <w:numPr>
          <w:ilvl w:val="0"/>
          <w:numId w:val="375"/>
        </w:numPr>
        <w:spacing w:after="0" w:line="240" w:lineRule="auto"/>
        <w:ind w:left="709"/>
        <w:rPr>
          <w:rFonts w:ascii="Times New Roman" w:eastAsia="Times New Roman" w:hAnsi="Times New Roman"/>
          <w:lang w:val="en-US" w:eastAsia="ru-RU"/>
        </w:rPr>
      </w:pPr>
      <w:r w:rsidRPr="007D770B">
        <w:rPr>
          <w:rFonts w:ascii="Times New Roman" w:eastAsia="Times New Roman" w:hAnsi="Times New Roman"/>
          <w:lang w:val="en-US" w:eastAsia="ru-RU"/>
        </w:rPr>
        <w:t>income from sublease of assets in the form of right-of-use;</w:t>
      </w:r>
      <w:bookmarkEnd w:id="297"/>
    </w:p>
    <w:p w14:paraId="03F0B00C" w14:textId="012B19BE" w:rsidR="00C63AE8" w:rsidRPr="007D770B" w:rsidRDefault="00C63AE8" w:rsidP="00AE698A">
      <w:pPr>
        <w:numPr>
          <w:ilvl w:val="0"/>
          <w:numId w:val="375"/>
        </w:numPr>
        <w:spacing w:after="0" w:line="240" w:lineRule="auto"/>
        <w:ind w:left="709"/>
        <w:jc w:val="left"/>
        <w:rPr>
          <w:rFonts w:ascii="Times New Roman" w:eastAsia="Times New Roman" w:hAnsi="Times New Roman"/>
          <w:lang w:val="en-US" w:eastAsia="ru-RU"/>
        </w:rPr>
      </w:pPr>
      <w:bookmarkStart w:id="299" w:name="F45929390"/>
      <w:r w:rsidRPr="007D770B">
        <w:rPr>
          <w:rFonts w:ascii="Times New Roman" w:eastAsia="Times New Roman" w:hAnsi="Times New Roman"/>
          <w:lang w:val="en-US" w:eastAsia="ru-RU"/>
        </w:rPr>
        <w:t>total cash outflows for leases;</w:t>
      </w:r>
      <w:bookmarkEnd w:id="299"/>
    </w:p>
    <w:p w14:paraId="439E7EE5" w14:textId="33B8A025" w:rsidR="00C63AE8" w:rsidRPr="007D770B" w:rsidRDefault="00C63AE8" w:rsidP="00AE698A">
      <w:pPr>
        <w:numPr>
          <w:ilvl w:val="0"/>
          <w:numId w:val="375"/>
        </w:numPr>
        <w:spacing w:after="0" w:line="240" w:lineRule="auto"/>
        <w:ind w:left="709"/>
        <w:jc w:val="left"/>
        <w:rPr>
          <w:rFonts w:ascii="Times New Roman" w:eastAsia="Times New Roman" w:hAnsi="Times New Roman"/>
          <w:lang w:val="en-US" w:eastAsia="ru-RU"/>
        </w:rPr>
      </w:pPr>
      <w:bookmarkStart w:id="300" w:name="F45929392"/>
      <w:r w:rsidRPr="007D770B">
        <w:rPr>
          <w:rFonts w:ascii="Times New Roman" w:eastAsia="Times New Roman" w:hAnsi="Times New Roman"/>
          <w:lang w:val="en-US" w:eastAsia="ru-RU"/>
        </w:rPr>
        <w:t>asset additions in the form of right-of-use assets;</w:t>
      </w:r>
      <w:bookmarkEnd w:id="300"/>
    </w:p>
    <w:p w14:paraId="3276FC6C" w14:textId="2718C78A" w:rsidR="00C63AE8" w:rsidRPr="007D770B" w:rsidRDefault="00C63AE8" w:rsidP="00AE698A">
      <w:pPr>
        <w:numPr>
          <w:ilvl w:val="0"/>
          <w:numId w:val="375"/>
        </w:numPr>
        <w:spacing w:after="0" w:line="240" w:lineRule="auto"/>
        <w:ind w:left="709"/>
        <w:rPr>
          <w:rFonts w:ascii="Times New Roman" w:eastAsia="Times New Roman" w:hAnsi="Times New Roman"/>
          <w:lang w:val="en-US" w:eastAsia="ru-RU"/>
        </w:rPr>
      </w:pPr>
      <w:bookmarkStart w:id="301" w:name="F45929394"/>
      <w:r w:rsidRPr="007D770B">
        <w:rPr>
          <w:rFonts w:ascii="Times New Roman" w:eastAsia="Times New Roman" w:hAnsi="Times New Roman"/>
          <w:lang w:val="en-US" w:eastAsia="ru-RU"/>
        </w:rPr>
        <w:t>Gains or losses arising from sale and leaseback transactions; and</w:t>
      </w:r>
      <w:bookmarkEnd w:id="301"/>
    </w:p>
    <w:p w14:paraId="19BE7DEC" w14:textId="20D5E389" w:rsidR="00C63AE8" w:rsidRPr="007D770B" w:rsidRDefault="00C63AE8" w:rsidP="00AE698A">
      <w:pPr>
        <w:numPr>
          <w:ilvl w:val="0"/>
          <w:numId w:val="375"/>
        </w:numPr>
        <w:spacing w:after="0" w:line="240" w:lineRule="auto"/>
        <w:ind w:left="709"/>
        <w:rPr>
          <w:rFonts w:ascii="Times New Roman" w:eastAsia="Times New Roman" w:hAnsi="Times New Roman"/>
          <w:lang w:val="en-US" w:eastAsia="ru-RU"/>
        </w:rPr>
      </w:pPr>
      <w:bookmarkStart w:id="302" w:name="F45929396"/>
      <w:r w:rsidRPr="007D770B">
        <w:rPr>
          <w:rFonts w:ascii="Times New Roman" w:eastAsia="Times New Roman" w:hAnsi="Times New Roman"/>
          <w:lang w:val="en-US" w:eastAsia="ru-RU"/>
        </w:rPr>
        <w:t>the carrying amount of right-of-use assets at the end of the reporting period according to the type of underlying asset.</w:t>
      </w:r>
      <w:bookmarkEnd w:id="302"/>
    </w:p>
    <w:p w14:paraId="3BF19389" w14:textId="5891466D" w:rsidR="00C63AE8" w:rsidRPr="007D770B" w:rsidRDefault="00C63AE8" w:rsidP="000D543F">
      <w:pPr>
        <w:spacing w:after="0" w:line="240" w:lineRule="auto"/>
        <w:ind w:left="0"/>
        <w:rPr>
          <w:rFonts w:ascii="Times New Roman" w:eastAsia="Times New Roman" w:hAnsi="Times New Roman"/>
          <w:lang w:val="en-US" w:eastAsia="ru-RU"/>
        </w:rPr>
      </w:pPr>
      <w:bookmarkStart w:id="303" w:name="F45929403"/>
      <w:r w:rsidRPr="007D770B">
        <w:rPr>
          <w:rFonts w:ascii="Times New Roman" w:eastAsia="Times New Roman" w:hAnsi="Times New Roman"/>
          <w:lang w:val="en-US" w:eastAsia="ru-RU"/>
        </w:rPr>
        <w:t xml:space="preserve">In addition to these disclosures, the Bank is required to disclose additional qualitative and quantitative information about its leasing activities. </w:t>
      </w:r>
      <w:bookmarkEnd w:id="303"/>
    </w:p>
    <w:p w14:paraId="02E92E52" w14:textId="4414D22D" w:rsidR="00C63AE8" w:rsidRPr="007D770B" w:rsidRDefault="00C63AE8" w:rsidP="000D543F">
      <w:pPr>
        <w:spacing w:after="0" w:line="240" w:lineRule="auto"/>
        <w:ind w:left="0"/>
        <w:contextualSpacing/>
        <w:rPr>
          <w:rFonts w:ascii="Times New Roman" w:hAnsi="Times New Roman"/>
          <w:lang w:val="en-US" w:eastAsia="ru-RU"/>
        </w:rPr>
      </w:pPr>
      <w:bookmarkStart w:id="304" w:name="F45929422"/>
      <w:r w:rsidRPr="007D770B">
        <w:rPr>
          <w:rFonts w:ascii="Times New Roman" w:hAnsi="Times New Roman"/>
          <w:lang w:val="en-US" w:eastAsia="ru-RU"/>
        </w:rPr>
        <w:t>When applying the simplified accounting system to short-term leases or leases of low-value assets</w:t>
      </w:r>
      <w:bookmarkEnd w:id="304"/>
      <w:r w:rsidRPr="007D770B">
        <w:rPr>
          <w:rFonts w:ascii="Times New Roman" w:hAnsi="Times New Roman"/>
          <w:lang w:val="en-US" w:eastAsia="ru-RU"/>
        </w:rPr>
        <w:t xml:space="preserve"> the </w:t>
      </w:r>
      <w:r w:rsidR="000D543F" w:rsidRPr="007D770B">
        <w:rPr>
          <w:rFonts w:ascii="Times New Roman" w:hAnsi="Times New Roman"/>
          <w:lang w:val="en-US" w:eastAsia="ru-RU"/>
        </w:rPr>
        <w:t xml:space="preserve">Bank </w:t>
      </w:r>
      <w:r w:rsidRPr="007D770B">
        <w:rPr>
          <w:rFonts w:ascii="Times New Roman" w:hAnsi="Times New Roman"/>
          <w:lang w:val="en-US" w:eastAsia="ru-RU"/>
        </w:rPr>
        <w:t>should disclose this fact.</w:t>
      </w:r>
    </w:p>
    <w:p w14:paraId="10F30A19" w14:textId="77777777" w:rsidR="008B34E5" w:rsidRPr="007D770B" w:rsidRDefault="008B34E5" w:rsidP="008B34E5">
      <w:pPr>
        <w:ind w:left="0"/>
        <w:rPr>
          <w:rFonts w:ascii="Times New Roman" w:hAnsi="Times New Roman"/>
          <w:lang w:val="en-US" w:eastAsia="ru-RU"/>
        </w:rPr>
      </w:pPr>
    </w:p>
    <w:p w14:paraId="0B65C9F6" w14:textId="77777777" w:rsidR="008B34E5" w:rsidRPr="007D770B" w:rsidRDefault="008B34E5" w:rsidP="00E61D21">
      <w:pPr>
        <w:pStyle w:val="3"/>
        <w:rPr>
          <w:lang w:val="en-US"/>
        </w:rPr>
      </w:pPr>
      <w:bookmarkStart w:id="305" w:name="_Toc168502092"/>
      <w:r w:rsidRPr="007D770B">
        <w:rPr>
          <w:lang w:val="en-US"/>
        </w:rPr>
        <w:t>12.6 Transition to IFRS 16</w:t>
      </w:r>
      <w:bookmarkEnd w:id="305"/>
    </w:p>
    <w:p w14:paraId="23AFFD58" w14:textId="25381902" w:rsidR="00DA18B0" w:rsidRPr="007D770B" w:rsidRDefault="008B34E5" w:rsidP="00AF7F5C">
      <w:pPr>
        <w:ind w:left="0"/>
        <w:rPr>
          <w:rFonts w:ascii="Times New Roman" w:hAnsi="Times New Roman"/>
          <w:b/>
          <w:iCs/>
          <w:color w:val="3366FF"/>
          <w:sz w:val="18"/>
          <w:lang w:val="en-US"/>
        </w:rPr>
      </w:pPr>
      <w:r w:rsidRPr="007D770B">
        <w:rPr>
          <w:rFonts w:ascii="Times New Roman" w:eastAsiaTheme="minorHAnsi" w:hAnsi="Times New Roman"/>
          <w:szCs w:val="22"/>
          <w:lang w:val="en-US"/>
        </w:rPr>
        <w:t xml:space="preserve">The Bank applies this Standard for annual periods beginning on the effective date of IFRS 16. </w:t>
      </w:r>
      <w:bookmarkStart w:id="306" w:name="_Toc251171031"/>
      <w:bookmarkStart w:id="307" w:name="_Toc255041575"/>
      <w:r w:rsidR="00DA18B0" w:rsidRPr="007D770B">
        <w:rPr>
          <w:rFonts w:ascii="Times New Roman" w:hAnsi="Times New Roman"/>
          <w:i/>
          <w:snapToGrid w:val="0"/>
          <w:color w:val="3366FF"/>
          <w:szCs w:val="22"/>
          <w:lang w:val="en-US"/>
        </w:rPr>
        <w:t>(Section 12 was amended by the decision of the Board of Directors dated 26.11.2018 (Minutes No. 14))</w:t>
      </w:r>
    </w:p>
    <w:p w14:paraId="42E89294" w14:textId="497E1BBB" w:rsidR="004D4017" w:rsidRPr="007D770B" w:rsidRDefault="004D4017" w:rsidP="004D4017">
      <w:pPr>
        <w:rPr>
          <w:rFonts w:ascii="Times New Roman" w:hAnsi="Times New Roman"/>
          <w:i/>
          <w:snapToGrid w:val="0"/>
          <w:color w:val="00B0F0"/>
          <w:szCs w:val="22"/>
          <w:lang w:val="en-US"/>
        </w:rPr>
      </w:pPr>
    </w:p>
    <w:p w14:paraId="56C77C66" w14:textId="77777777" w:rsidR="004D4017" w:rsidRPr="007D770B" w:rsidRDefault="004D4017" w:rsidP="004D4017">
      <w:pPr>
        <w:rPr>
          <w:rFonts w:ascii="Times New Roman" w:hAnsi="Times New Roman"/>
          <w:i/>
          <w:snapToGrid w:val="0"/>
          <w:color w:val="00B0F0"/>
          <w:szCs w:val="22"/>
          <w:lang w:val="en-US"/>
        </w:rPr>
      </w:pPr>
    </w:p>
    <w:p w14:paraId="3DFC387C" w14:textId="77777777" w:rsidR="004D4017" w:rsidRPr="007D770B" w:rsidRDefault="004D4017" w:rsidP="004D4017">
      <w:pPr>
        <w:rPr>
          <w:rFonts w:ascii="Times New Roman" w:hAnsi="Times New Roman"/>
          <w:i/>
          <w:snapToGrid w:val="0"/>
          <w:color w:val="00B0F0"/>
          <w:szCs w:val="22"/>
          <w:lang w:val="en-US"/>
        </w:rPr>
      </w:pPr>
    </w:p>
    <w:p w14:paraId="100FC850" w14:textId="77777777" w:rsidR="004D4017" w:rsidRPr="007D770B" w:rsidRDefault="004D4017" w:rsidP="004D4017">
      <w:pPr>
        <w:rPr>
          <w:rFonts w:ascii="Times New Roman" w:hAnsi="Times New Roman"/>
          <w:i/>
          <w:snapToGrid w:val="0"/>
          <w:color w:val="00B0F0"/>
          <w:szCs w:val="22"/>
          <w:lang w:val="en-US"/>
        </w:rPr>
      </w:pPr>
    </w:p>
    <w:p w14:paraId="488461AE" w14:textId="77777777" w:rsidR="004D4017" w:rsidRPr="007D770B" w:rsidRDefault="004D4017" w:rsidP="004D4017">
      <w:pPr>
        <w:rPr>
          <w:rFonts w:ascii="Times New Roman" w:hAnsi="Times New Roman"/>
          <w:i/>
          <w:snapToGrid w:val="0"/>
          <w:color w:val="00B0F0"/>
          <w:szCs w:val="22"/>
          <w:lang w:val="en-US"/>
        </w:rPr>
      </w:pPr>
    </w:p>
    <w:p w14:paraId="19A42808" w14:textId="77777777" w:rsidR="004D4017" w:rsidRPr="007D770B" w:rsidRDefault="004D4017" w:rsidP="004D4017">
      <w:pPr>
        <w:rPr>
          <w:rFonts w:ascii="Times New Roman" w:hAnsi="Times New Roman"/>
          <w:i/>
          <w:snapToGrid w:val="0"/>
          <w:color w:val="00B0F0"/>
          <w:szCs w:val="22"/>
          <w:lang w:val="en-US"/>
        </w:rPr>
      </w:pPr>
    </w:p>
    <w:p w14:paraId="49A069E3" w14:textId="77777777" w:rsidR="004D4017" w:rsidRPr="007D770B" w:rsidRDefault="004D4017" w:rsidP="004D4017">
      <w:pPr>
        <w:rPr>
          <w:rFonts w:ascii="Times New Roman" w:hAnsi="Times New Roman"/>
          <w:i/>
          <w:snapToGrid w:val="0"/>
          <w:color w:val="00B0F0"/>
          <w:szCs w:val="22"/>
          <w:lang w:val="en-US"/>
        </w:rPr>
      </w:pPr>
    </w:p>
    <w:p w14:paraId="2A0AFF09" w14:textId="77777777" w:rsidR="004D4017" w:rsidRPr="007D770B" w:rsidRDefault="004D4017" w:rsidP="004D4017">
      <w:pPr>
        <w:rPr>
          <w:rFonts w:ascii="Times New Roman" w:hAnsi="Times New Roman"/>
          <w:i/>
          <w:snapToGrid w:val="0"/>
          <w:color w:val="00B0F0"/>
          <w:szCs w:val="22"/>
          <w:lang w:val="en-US"/>
        </w:rPr>
      </w:pPr>
    </w:p>
    <w:p w14:paraId="02E6C062" w14:textId="77777777" w:rsidR="004D4017" w:rsidRPr="007D770B" w:rsidRDefault="004D4017" w:rsidP="004D4017">
      <w:pPr>
        <w:rPr>
          <w:rFonts w:ascii="Times New Roman" w:hAnsi="Times New Roman"/>
          <w:i/>
          <w:snapToGrid w:val="0"/>
          <w:color w:val="00B0F0"/>
          <w:szCs w:val="22"/>
          <w:lang w:val="en-US"/>
        </w:rPr>
      </w:pPr>
    </w:p>
    <w:p w14:paraId="696F2759" w14:textId="77777777" w:rsidR="004D4017" w:rsidRPr="007D770B" w:rsidRDefault="004D4017" w:rsidP="004D4017">
      <w:pPr>
        <w:rPr>
          <w:rFonts w:ascii="Times New Roman" w:hAnsi="Times New Roman"/>
          <w:i/>
          <w:snapToGrid w:val="0"/>
          <w:color w:val="00B0F0"/>
          <w:szCs w:val="22"/>
          <w:lang w:val="en-US"/>
        </w:rPr>
      </w:pPr>
    </w:p>
    <w:p w14:paraId="68456091" w14:textId="77777777" w:rsidR="004D4017" w:rsidRPr="007D770B" w:rsidRDefault="004D4017" w:rsidP="004D4017">
      <w:pPr>
        <w:rPr>
          <w:rFonts w:ascii="Times New Roman" w:hAnsi="Times New Roman"/>
          <w:i/>
          <w:snapToGrid w:val="0"/>
          <w:color w:val="00B0F0"/>
          <w:szCs w:val="22"/>
          <w:lang w:val="en-US"/>
        </w:rPr>
      </w:pPr>
    </w:p>
    <w:p w14:paraId="48968659" w14:textId="77777777" w:rsidR="004D4017" w:rsidRPr="007D770B" w:rsidRDefault="004D4017" w:rsidP="004D4017">
      <w:pPr>
        <w:rPr>
          <w:rFonts w:ascii="Times New Roman" w:hAnsi="Times New Roman"/>
          <w:i/>
          <w:snapToGrid w:val="0"/>
          <w:color w:val="00B0F0"/>
          <w:szCs w:val="22"/>
          <w:lang w:val="en-US"/>
        </w:rPr>
      </w:pPr>
    </w:p>
    <w:p w14:paraId="51ACDED8" w14:textId="77777777" w:rsidR="004D4017" w:rsidRPr="007D770B" w:rsidRDefault="004D4017" w:rsidP="004D4017">
      <w:pPr>
        <w:rPr>
          <w:rFonts w:ascii="Times New Roman" w:hAnsi="Times New Roman"/>
          <w:i/>
          <w:snapToGrid w:val="0"/>
          <w:color w:val="00B0F0"/>
          <w:szCs w:val="22"/>
          <w:lang w:val="en-US"/>
        </w:rPr>
      </w:pPr>
    </w:p>
    <w:p w14:paraId="6FEDEE7D" w14:textId="77777777" w:rsidR="004D4017" w:rsidRPr="007D770B" w:rsidRDefault="004D4017" w:rsidP="004D4017">
      <w:pPr>
        <w:rPr>
          <w:rFonts w:ascii="Times New Roman" w:hAnsi="Times New Roman"/>
          <w:i/>
          <w:snapToGrid w:val="0"/>
          <w:color w:val="00B0F0"/>
          <w:szCs w:val="22"/>
          <w:lang w:val="en-US"/>
        </w:rPr>
      </w:pPr>
    </w:p>
    <w:p w14:paraId="15E33271" w14:textId="77777777" w:rsidR="004D4017" w:rsidRPr="007D770B" w:rsidRDefault="004D4017" w:rsidP="004D4017">
      <w:pPr>
        <w:rPr>
          <w:rFonts w:ascii="Times New Roman" w:hAnsi="Times New Roman"/>
          <w:i/>
          <w:snapToGrid w:val="0"/>
          <w:color w:val="00B0F0"/>
          <w:szCs w:val="22"/>
          <w:lang w:val="en-US"/>
        </w:rPr>
      </w:pPr>
    </w:p>
    <w:p w14:paraId="4812C46F" w14:textId="77777777" w:rsidR="004D4017" w:rsidRPr="007D770B" w:rsidRDefault="004D4017" w:rsidP="004D4017">
      <w:pPr>
        <w:rPr>
          <w:rFonts w:ascii="Times New Roman" w:hAnsi="Times New Roman"/>
          <w:i/>
          <w:snapToGrid w:val="0"/>
          <w:color w:val="00B0F0"/>
          <w:szCs w:val="22"/>
          <w:lang w:val="en-US"/>
        </w:rPr>
      </w:pPr>
    </w:p>
    <w:p w14:paraId="1306B6AF" w14:textId="77777777" w:rsidR="004D4017" w:rsidRPr="007D770B" w:rsidRDefault="004D4017" w:rsidP="004D4017">
      <w:pPr>
        <w:rPr>
          <w:rFonts w:ascii="Times New Roman" w:hAnsi="Times New Roman"/>
          <w:i/>
          <w:snapToGrid w:val="0"/>
          <w:color w:val="00B0F0"/>
          <w:szCs w:val="22"/>
          <w:lang w:val="en-US"/>
        </w:rPr>
      </w:pPr>
    </w:p>
    <w:p w14:paraId="039B21AF" w14:textId="77777777" w:rsidR="004D4017" w:rsidRPr="007D770B" w:rsidRDefault="004D4017" w:rsidP="004D4017">
      <w:pPr>
        <w:rPr>
          <w:rFonts w:ascii="Times New Roman" w:hAnsi="Times New Roman"/>
          <w:i/>
          <w:snapToGrid w:val="0"/>
          <w:color w:val="00B0F0"/>
          <w:szCs w:val="22"/>
          <w:lang w:val="en-US"/>
        </w:rPr>
      </w:pPr>
    </w:p>
    <w:p w14:paraId="7167DC56" w14:textId="77777777" w:rsidR="004D4017" w:rsidRPr="007D770B" w:rsidRDefault="004D4017" w:rsidP="004D4017">
      <w:pPr>
        <w:rPr>
          <w:rFonts w:ascii="Times New Roman" w:hAnsi="Times New Roman"/>
          <w:i/>
          <w:snapToGrid w:val="0"/>
          <w:color w:val="00B0F0"/>
          <w:szCs w:val="22"/>
          <w:lang w:val="en-US"/>
        </w:rPr>
      </w:pPr>
    </w:p>
    <w:p w14:paraId="5A2846E4" w14:textId="6F4C2229" w:rsidR="009E2B77" w:rsidRPr="007D770B" w:rsidRDefault="009E2B77" w:rsidP="00970B60">
      <w:pPr>
        <w:pStyle w:val="2"/>
        <w:rPr>
          <w:rFonts w:ascii="Times New Roman" w:hAnsi="Times New Roman"/>
          <w:lang w:val="en-US"/>
        </w:rPr>
      </w:pPr>
      <w:bookmarkStart w:id="308" w:name="_Toc168502093"/>
      <w:r w:rsidRPr="007D770B">
        <w:rPr>
          <w:rFonts w:ascii="Times New Roman" w:hAnsi="Times New Roman"/>
          <w:lang w:val="en-US"/>
        </w:rPr>
        <w:lastRenderedPageBreak/>
        <w:t xml:space="preserve">Section </w:t>
      </w:r>
      <w:r w:rsidR="00F6046E" w:rsidRPr="007D770B">
        <w:rPr>
          <w:rFonts w:ascii="Times New Roman" w:hAnsi="Times New Roman"/>
          <w:lang w:val="en-US"/>
        </w:rPr>
        <w:t>13</w:t>
      </w:r>
      <w:r w:rsidRPr="007D770B">
        <w:rPr>
          <w:rFonts w:ascii="Times New Roman" w:hAnsi="Times New Roman"/>
          <w:lang w:val="en-US"/>
        </w:rPr>
        <w:t>. Taxes</w:t>
      </w:r>
      <w:bookmarkEnd w:id="306"/>
      <w:bookmarkEnd w:id="307"/>
      <w:r w:rsidRPr="007D770B">
        <w:rPr>
          <w:rFonts w:ascii="Times New Roman" w:hAnsi="Times New Roman"/>
          <w:lang w:val="en-US"/>
        </w:rPr>
        <w:t xml:space="preserve"> (IAS 12)</w:t>
      </w:r>
      <w:bookmarkEnd w:id="308"/>
    </w:p>
    <w:p w14:paraId="56348BD8" w14:textId="113FB6E7" w:rsidR="009E2B77" w:rsidRPr="007D770B" w:rsidRDefault="00F6046E" w:rsidP="00E61D21">
      <w:pPr>
        <w:pStyle w:val="3"/>
        <w:rPr>
          <w:lang w:val="en-US"/>
        </w:rPr>
      </w:pPr>
      <w:bookmarkStart w:id="309" w:name="_Toc251171032"/>
      <w:bookmarkStart w:id="310" w:name="_Toc255041576"/>
      <w:bookmarkStart w:id="311" w:name="_Toc168502094"/>
      <w:r w:rsidRPr="007D770B">
        <w:rPr>
          <w:lang w:val="en-US"/>
        </w:rPr>
        <w:t>13</w:t>
      </w:r>
      <w:r w:rsidR="009E2B77" w:rsidRPr="007D770B">
        <w:rPr>
          <w:lang w:val="en-US"/>
        </w:rPr>
        <w:t>.1 General provisions</w:t>
      </w:r>
      <w:bookmarkEnd w:id="309"/>
      <w:bookmarkEnd w:id="310"/>
      <w:bookmarkEnd w:id="311"/>
    </w:p>
    <w:p w14:paraId="5EAACF66" w14:textId="50137D10" w:rsidR="00FF52B5" w:rsidRPr="007D770B" w:rsidRDefault="00FF52B5" w:rsidP="00C34F99">
      <w:pPr>
        <w:pStyle w:val="affff3"/>
        <w:ind w:right="-6"/>
        <w:jc w:val="both"/>
        <w:rPr>
          <w:rFonts w:eastAsia="Calibri"/>
          <w:sz w:val="20"/>
          <w:szCs w:val="20"/>
          <w:lang w:val="en-US"/>
        </w:rPr>
      </w:pPr>
      <w:r w:rsidRPr="007D770B">
        <w:rPr>
          <w:rFonts w:eastAsia="Calibri"/>
          <w:sz w:val="20"/>
          <w:szCs w:val="20"/>
          <w:lang w:val="en-US"/>
        </w:rPr>
        <w:t xml:space="preserve">The </w:t>
      </w:r>
      <w:r w:rsidR="00F95963" w:rsidRPr="007D770B">
        <w:rPr>
          <w:rFonts w:eastAsia="Calibri"/>
          <w:sz w:val="20"/>
          <w:szCs w:val="20"/>
          <w:lang w:val="en-US"/>
        </w:rPr>
        <w:t xml:space="preserve">Bank </w:t>
      </w:r>
      <w:r w:rsidRPr="007D770B">
        <w:rPr>
          <w:rFonts w:eastAsia="Calibri"/>
          <w:sz w:val="20"/>
          <w:szCs w:val="20"/>
          <w:lang w:val="en-US"/>
        </w:rPr>
        <w:t xml:space="preserve">maintains its tax accounting records in accordance with the Bank's tax accounting policies developed in accordance with the tax legislation of the Republic of Kazakhstan </w:t>
      </w:r>
      <w:r w:rsidR="008829B3" w:rsidRPr="007D770B">
        <w:rPr>
          <w:rFonts w:eastAsia="Calibri"/>
          <w:sz w:val="20"/>
          <w:szCs w:val="20"/>
          <w:lang w:val="en-US"/>
        </w:rPr>
        <w:t>and approved by the Management Board of the Bank</w:t>
      </w:r>
      <w:r w:rsidRPr="007D770B">
        <w:rPr>
          <w:rFonts w:eastAsia="Calibri"/>
          <w:sz w:val="20"/>
          <w:szCs w:val="20"/>
          <w:lang w:val="en-US"/>
        </w:rPr>
        <w:t xml:space="preserve">. </w:t>
      </w:r>
    </w:p>
    <w:p w14:paraId="59E35511" w14:textId="77777777" w:rsidR="00C34F99" w:rsidRPr="007D770B" w:rsidRDefault="00C34F99" w:rsidP="00C34F99">
      <w:pPr>
        <w:pStyle w:val="affff3"/>
        <w:ind w:right="-6"/>
        <w:jc w:val="both"/>
        <w:rPr>
          <w:rFonts w:eastAsia="Calibri"/>
          <w:sz w:val="20"/>
          <w:szCs w:val="20"/>
          <w:lang w:val="en-US"/>
        </w:rPr>
      </w:pPr>
    </w:p>
    <w:p w14:paraId="0143654A" w14:textId="77777777" w:rsidR="00FF52B5" w:rsidRPr="007D770B" w:rsidRDefault="00FF52B5" w:rsidP="00C34F99">
      <w:pPr>
        <w:pStyle w:val="affff3"/>
        <w:ind w:right="-6"/>
        <w:jc w:val="both"/>
        <w:rPr>
          <w:rFonts w:eastAsia="Calibri"/>
          <w:sz w:val="20"/>
          <w:szCs w:val="20"/>
          <w:lang w:val="en-US"/>
        </w:rPr>
      </w:pPr>
      <w:r w:rsidRPr="007D770B">
        <w:rPr>
          <w:rFonts w:eastAsia="Calibri"/>
          <w:sz w:val="20"/>
          <w:szCs w:val="20"/>
          <w:lang w:val="en-US"/>
        </w:rPr>
        <w:t xml:space="preserve">Tax returns are submitted by the Bank in the manner and according to the forms established by the authorized state body in accordance with the tax legislation of the Republic of Kazakhstan.  </w:t>
      </w:r>
    </w:p>
    <w:p w14:paraId="119181E1" w14:textId="77777777" w:rsidR="00C34F99" w:rsidRPr="007D770B" w:rsidRDefault="00C34F99" w:rsidP="00C34F99">
      <w:pPr>
        <w:pStyle w:val="affff3"/>
        <w:ind w:right="-6"/>
        <w:jc w:val="both"/>
        <w:rPr>
          <w:rFonts w:eastAsia="Calibri"/>
          <w:sz w:val="20"/>
          <w:szCs w:val="20"/>
          <w:lang w:val="en-US"/>
        </w:rPr>
      </w:pPr>
    </w:p>
    <w:p w14:paraId="16305ED9" w14:textId="1C3C6FC6" w:rsidR="00C34F99" w:rsidRPr="007D770B" w:rsidRDefault="00F95963" w:rsidP="00C34F99">
      <w:pPr>
        <w:pStyle w:val="affff3"/>
        <w:ind w:right="-6"/>
        <w:jc w:val="both"/>
        <w:rPr>
          <w:rFonts w:eastAsia="Calibri"/>
          <w:sz w:val="20"/>
          <w:szCs w:val="20"/>
          <w:lang w:val="en-US"/>
        </w:rPr>
      </w:pPr>
      <w:r w:rsidRPr="007D770B">
        <w:rPr>
          <w:rFonts w:eastAsia="Calibri"/>
          <w:sz w:val="20"/>
          <w:szCs w:val="20"/>
          <w:lang w:val="en-US"/>
        </w:rPr>
        <w:t xml:space="preserve">Amendments and additions to tax </w:t>
      </w:r>
      <w:r w:rsidR="00FF52B5" w:rsidRPr="007D770B">
        <w:rPr>
          <w:rFonts w:eastAsia="Calibri"/>
          <w:sz w:val="20"/>
          <w:szCs w:val="20"/>
          <w:lang w:val="en-US"/>
        </w:rPr>
        <w:t xml:space="preserve">reporting </w:t>
      </w:r>
      <w:r w:rsidRPr="007D770B">
        <w:rPr>
          <w:rFonts w:eastAsia="Calibri"/>
          <w:sz w:val="20"/>
          <w:szCs w:val="20"/>
          <w:lang w:val="en-US"/>
        </w:rPr>
        <w:t xml:space="preserve">shall be made by the Bank by </w:t>
      </w:r>
      <w:r w:rsidR="00FF52B5" w:rsidRPr="007D770B">
        <w:rPr>
          <w:rFonts w:eastAsia="Calibri"/>
          <w:sz w:val="20"/>
          <w:szCs w:val="20"/>
          <w:lang w:val="en-US"/>
        </w:rPr>
        <w:t>preparing an additional tax return/calculation for the tax period to which such amendments and additions relate.</w:t>
      </w:r>
    </w:p>
    <w:p w14:paraId="58B35C19" w14:textId="77777777" w:rsidR="00FF52B5" w:rsidRPr="007D770B" w:rsidRDefault="00FF52B5" w:rsidP="00C34F99">
      <w:pPr>
        <w:pStyle w:val="affff3"/>
        <w:ind w:right="-6"/>
        <w:jc w:val="both"/>
        <w:rPr>
          <w:rFonts w:eastAsia="Calibri"/>
          <w:sz w:val="20"/>
          <w:szCs w:val="20"/>
          <w:lang w:val="en-US"/>
        </w:rPr>
      </w:pPr>
    </w:p>
    <w:p w14:paraId="73E1022F" w14:textId="77777777" w:rsidR="00FF52B5" w:rsidRPr="007D770B" w:rsidRDefault="00FF52B5" w:rsidP="00C34F99">
      <w:pPr>
        <w:pStyle w:val="affff3"/>
        <w:ind w:right="-6"/>
        <w:jc w:val="both"/>
        <w:rPr>
          <w:rFonts w:eastAsia="Calibri"/>
          <w:sz w:val="20"/>
          <w:szCs w:val="20"/>
          <w:lang w:val="en-US"/>
        </w:rPr>
      </w:pPr>
      <w:r w:rsidRPr="007D770B">
        <w:rPr>
          <w:rFonts w:eastAsia="Calibri"/>
          <w:sz w:val="20"/>
          <w:szCs w:val="20"/>
          <w:lang w:val="en-US"/>
        </w:rPr>
        <w:t>Tax returns are kept by the Bank for the statute of limitations period prescribed by tax legislation.</w:t>
      </w:r>
    </w:p>
    <w:p w14:paraId="1A1DB82B" w14:textId="7F6FA9A8" w:rsidR="009E2B77" w:rsidRPr="007D770B" w:rsidRDefault="009E2B77" w:rsidP="00F96B17">
      <w:pPr>
        <w:spacing w:before="240" w:line="240" w:lineRule="auto"/>
        <w:ind w:left="0"/>
        <w:rPr>
          <w:rFonts w:ascii="Times New Roman" w:hAnsi="Times New Roman"/>
          <w:lang w:val="en-US" w:eastAsia="ru-RU"/>
        </w:rPr>
      </w:pPr>
      <w:r w:rsidRPr="007D770B">
        <w:rPr>
          <w:rFonts w:ascii="Times New Roman" w:hAnsi="Times New Roman"/>
          <w:lang w:val="en-US" w:eastAsia="ru-RU"/>
        </w:rPr>
        <w:t xml:space="preserve">Income tax comprises current corporate income tax based on taxable </w:t>
      </w:r>
      <w:r w:rsidR="00F95963" w:rsidRPr="007D770B">
        <w:rPr>
          <w:rFonts w:ascii="Times New Roman" w:hAnsi="Times New Roman"/>
          <w:lang w:val="en-US" w:eastAsia="ru-RU"/>
        </w:rPr>
        <w:t xml:space="preserve">profit and </w:t>
      </w:r>
      <w:r w:rsidRPr="007D770B">
        <w:rPr>
          <w:rFonts w:ascii="Times New Roman" w:hAnsi="Times New Roman"/>
          <w:lang w:val="en-US" w:eastAsia="ru-RU"/>
        </w:rPr>
        <w:t xml:space="preserve">deferred income tax. Income tax is recognized in the statement of comprehensive income except to the extent that it relates to items included in other comprehensive income </w:t>
      </w:r>
      <w:r w:rsidR="00F95963" w:rsidRPr="007D770B">
        <w:rPr>
          <w:rFonts w:ascii="Times New Roman" w:hAnsi="Times New Roman"/>
          <w:lang w:val="en-US" w:eastAsia="ru-RU"/>
        </w:rPr>
        <w:t xml:space="preserve">or equity, in which </w:t>
      </w:r>
      <w:r w:rsidRPr="007D770B">
        <w:rPr>
          <w:rFonts w:ascii="Times New Roman" w:hAnsi="Times New Roman"/>
          <w:lang w:val="en-US" w:eastAsia="ru-RU"/>
        </w:rPr>
        <w:t xml:space="preserve">case it is recognized in other comprehensive income or equity, respectively. </w:t>
      </w:r>
    </w:p>
    <w:p w14:paraId="012EFD1A" w14:textId="77777777" w:rsidR="009E2B77" w:rsidRPr="007D770B" w:rsidRDefault="009E2B77" w:rsidP="00F96B17">
      <w:pPr>
        <w:spacing w:before="240" w:line="240" w:lineRule="auto"/>
        <w:ind w:left="0"/>
        <w:rPr>
          <w:rFonts w:ascii="Times New Roman" w:hAnsi="Times New Roman"/>
          <w:lang w:val="en-US" w:eastAsia="ru-RU"/>
        </w:rPr>
      </w:pPr>
      <w:r w:rsidRPr="007D770B">
        <w:rPr>
          <w:rFonts w:ascii="Times New Roman" w:hAnsi="Times New Roman"/>
          <w:lang w:val="en-US" w:eastAsia="ru-RU"/>
        </w:rPr>
        <w:t>Current corporate income tax is the amount expected to be paid to or recovered from the state budget in respect of taxable profits or losses for the current and prior periods. Taxable profits or losses are based on estimates if the financial statements are authorized prior to the filing of the related tax returns. Taxes other than income taxes are recorded within operating expenses.</w:t>
      </w:r>
    </w:p>
    <w:p w14:paraId="02B079C2" w14:textId="383837CA" w:rsidR="009E2B77" w:rsidRPr="007D770B" w:rsidRDefault="009E2B77" w:rsidP="00F96B17">
      <w:pPr>
        <w:spacing w:before="240" w:line="240" w:lineRule="auto"/>
        <w:ind w:left="0"/>
        <w:rPr>
          <w:rFonts w:ascii="Times New Roman" w:hAnsi="Times New Roman"/>
          <w:lang w:val="en-US" w:eastAsia="ru-RU"/>
        </w:rPr>
      </w:pPr>
      <w:r w:rsidRPr="007D770B">
        <w:rPr>
          <w:rFonts w:ascii="Times New Roman" w:hAnsi="Times New Roman"/>
          <w:lang w:val="en-US" w:eastAsia="ru-RU"/>
        </w:rPr>
        <w:t xml:space="preserve">Deferred income tax is recognized using the balance sheet liability method on temporary differences between the carrying amounts of assets and liabilities for financial reporting purposes and the tax bases of those assets and liabilities determined for tax purposes. Deferred </w:t>
      </w:r>
      <w:r w:rsidR="00F40BFA" w:rsidRPr="007D770B">
        <w:rPr>
          <w:rFonts w:ascii="Times New Roman" w:hAnsi="Times New Roman"/>
          <w:lang w:val="en-US" w:eastAsia="ru-RU"/>
        </w:rPr>
        <w:t xml:space="preserve">income </w:t>
      </w:r>
      <w:r w:rsidRPr="007D770B">
        <w:rPr>
          <w:rFonts w:ascii="Times New Roman" w:hAnsi="Times New Roman"/>
          <w:lang w:val="en-US" w:eastAsia="ru-RU"/>
        </w:rPr>
        <w:t xml:space="preserve">taxes are not recognized </w:t>
      </w:r>
      <w:r w:rsidR="00F95963" w:rsidRPr="007D770B">
        <w:rPr>
          <w:rFonts w:ascii="Times New Roman" w:hAnsi="Times New Roman"/>
          <w:lang w:val="en-US" w:eastAsia="ru-RU"/>
        </w:rPr>
        <w:t xml:space="preserve">for temporary </w:t>
      </w:r>
      <w:r w:rsidRPr="007D770B">
        <w:rPr>
          <w:rFonts w:ascii="Times New Roman" w:hAnsi="Times New Roman"/>
          <w:lang w:val="en-US" w:eastAsia="ru-RU"/>
        </w:rPr>
        <w:t xml:space="preserve">differences that arise: </w:t>
      </w:r>
    </w:p>
    <w:p w14:paraId="473BBA81" w14:textId="77777777" w:rsidR="009E2B77" w:rsidRPr="007D770B" w:rsidRDefault="009E2B77" w:rsidP="00AE698A">
      <w:pPr>
        <w:pStyle w:val="af4"/>
        <w:numPr>
          <w:ilvl w:val="0"/>
          <w:numId w:val="55"/>
        </w:numPr>
        <w:tabs>
          <w:tab w:val="left" w:pos="360"/>
        </w:tabs>
        <w:spacing w:before="240" w:after="240"/>
        <w:rPr>
          <w:sz w:val="20"/>
          <w:szCs w:val="20"/>
          <w:lang w:val="en-US" w:eastAsia="ru-RU"/>
        </w:rPr>
      </w:pPr>
      <w:r w:rsidRPr="007D770B">
        <w:rPr>
          <w:sz w:val="20"/>
          <w:szCs w:val="20"/>
          <w:lang w:val="en-US" w:eastAsia="ru-RU"/>
        </w:rPr>
        <w:t>on initial recognition of an asset or liability in a transaction that is not a business combination and, at the time of the transaction, affects neither accounting profit nor taxable profit; and</w:t>
      </w:r>
    </w:p>
    <w:p w14:paraId="596EC096" w14:textId="291F2F5F" w:rsidR="009E2B77" w:rsidRPr="007D770B" w:rsidRDefault="009E2B77" w:rsidP="00F96B17">
      <w:pPr>
        <w:spacing w:before="240" w:line="240" w:lineRule="auto"/>
        <w:ind w:left="0"/>
        <w:rPr>
          <w:rFonts w:ascii="Times New Roman" w:hAnsi="Times New Roman"/>
          <w:lang w:val="en-US" w:eastAsia="ru-RU"/>
        </w:rPr>
      </w:pPr>
      <w:r w:rsidRPr="007D770B">
        <w:rPr>
          <w:rFonts w:ascii="Times New Roman" w:hAnsi="Times New Roman"/>
          <w:lang w:val="en-US" w:eastAsia="ru-RU"/>
        </w:rPr>
        <w:t xml:space="preserve">Deferred income tax assets and liabilities are measured at the tax rates that are expected to apply to the period when the </w:t>
      </w:r>
      <w:r w:rsidR="00F95963" w:rsidRPr="007D770B">
        <w:rPr>
          <w:rFonts w:ascii="Times New Roman" w:hAnsi="Times New Roman"/>
          <w:lang w:val="en-US" w:eastAsia="ru-RU"/>
        </w:rPr>
        <w:t xml:space="preserve">asset </w:t>
      </w:r>
      <w:r w:rsidRPr="007D770B">
        <w:rPr>
          <w:rFonts w:ascii="Times New Roman" w:hAnsi="Times New Roman"/>
          <w:lang w:val="en-US" w:eastAsia="ru-RU"/>
        </w:rPr>
        <w:t xml:space="preserve">is realized or utilized, or the liability is settled, based on tax rates (and tax laws) that have been enacted or substantively enacted at the </w:t>
      </w:r>
      <w:r w:rsidRPr="007D770B">
        <w:rPr>
          <w:rFonts w:ascii="Times New Roman" w:hAnsi="Times New Roman"/>
          <w:lang w:val="en-US"/>
        </w:rPr>
        <w:t xml:space="preserve">statement of financial position </w:t>
      </w:r>
      <w:r w:rsidRPr="007D770B">
        <w:rPr>
          <w:rFonts w:ascii="Times New Roman" w:hAnsi="Times New Roman"/>
          <w:lang w:val="en-US" w:eastAsia="ru-RU"/>
        </w:rPr>
        <w:t>date.</w:t>
      </w:r>
    </w:p>
    <w:p w14:paraId="08DF244B" w14:textId="5778A97B" w:rsidR="009E2B77" w:rsidRPr="007D770B" w:rsidRDefault="009E2B77" w:rsidP="00F96B17">
      <w:pPr>
        <w:spacing w:before="240" w:line="240" w:lineRule="auto"/>
        <w:ind w:left="0"/>
        <w:rPr>
          <w:rFonts w:ascii="Times New Roman" w:hAnsi="Times New Roman"/>
          <w:lang w:val="en-US" w:eastAsia="ru-RU"/>
        </w:rPr>
      </w:pPr>
      <w:r w:rsidRPr="007D770B">
        <w:rPr>
          <w:rFonts w:ascii="Times New Roman" w:hAnsi="Times New Roman"/>
          <w:lang w:val="en-US" w:eastAsia="ru-RU"/>
        </w:rPr>
        <w:t xml:space="preserve">Deferred income tax assets for deductible temporary differences and tax loss carry forwards are recognized only to the extent </w:t>
      </w:r>
      <w:r w:rsidR="00F95963" w:rsidRPr="007D770B">
        <w:rPr>
          <w:rFonts w:ascii="Times New Roman" w:hAnsi="Times New Roman"/>
          <w:lang w:val="en-US" w:eastAsia="ru-RU"/>
        </w:rPr>
        <w:t>that</w:t>
      </w:r>
      <w:r w:rsidRPr="007D770B">
        <w:rPr>
          <w:rFonts w:ascii="Times New Roman" w:hAnsi="Times New Roman"/>
          <w:lang w:val="en-US" w:eastAsia="ru-RU"/>
        </w:rPr>
        <w:t xml:space="preserve"> it is probable that future taxable profit will be available against which the deductions can be utilized. Deferred income tax assets are reduced to the extent that it is no longer probable that the related tax benefit will be realized.</w:t>
      </w:r>
    </w:p>
    <w:p w14:paraId="73801700" w14:textId="77777777" w:rsidR="009E2B77" w:rsidRPr="007D770B" w:rsidRDefault="009E2B77" w:rsidP="007A742D">
      <w:pPr>
        <w:keepNext/>
        <w:spacing w:before="240" w:line="240" w:lineRule="auto"/>
        <w:ind w:left="0"/>
        <w:rPr>
          <w:rFonts w:ascii="Times New Roman" w:hAnsi="Times New Roman"/>
          <w:b/>
          <w:i/>
          <w:lang w:val="en-US" w:eastAsia="ru-RU"/>
        </w:rPr>
      </w:pPr>
      <w:r w:rsidRPr="007D770B">
        <w:rPr>
          <w:rFonts w:ascii="Times New Roman" w:hAnsi="Times New Roman"/>
          <w:b/>
          <w:i/>
          <w:lang w:val="en-US" w:eastAsia="ru-RU"/>
        </w:rPr>
        <w:t>Value added tax (VAT)</w:t>
      </w:r>
    </w:p>
    <w:p w14:paraId="13FF5F54" w14:textId="77777777" w:rsidR="0054655A" w:rsidRPr="007D770B" w:rsidRDefault="009E2B77" w:rsidP="00F96B17">
      <w:pPr>
        <w:spacing w:before="240" w:line="240" w:lineRule="auto"/>
        <w:ind w:left="0"/>
        <w:rPr>
          <w:rFonts w:ascii="Times New Roman" w:hAnsi="Times New Roman"/>
          <w:lang w:val="en-US" w:eastAsia="ru-RU"/>
        </w:rPr>
      </w:pPr>
      <w:r w:rsidRPr="007D770B">
        <w:rPr>
          <w:rFonts w:ascii="Times New Roman" w:hAnsi="Times New Roman"/>
          <w:lang w:val="en-US" w:eastAsia="ru-RU"/>
        </w:rPr>
        <w:t>VAT related to sales is payable to the Kazakhstan budget when goods are shipped or services are rendered. VAT paid on purchases of goods and services (except for non-resident VAT) may be offset against VAT payable upon receipt of a tax invoice from a supplier.</w:t>
      </w:r>
    </w:p>
    <w:p w14:paraId="46F8C499" w14:textId="77777777" w:rsidR="009E2B77" w:rsidRPr="007D770B" w:rsidRDefault="009E2B77" w:rsidP="00F96B17">
      <w:pPr>
        <w:spacing w:before="240" w:line="240" w:lineRule="auto"/>
        <w:ind w:left="0"/>
        <w:rPr>
          <w:rFonts w:ascii="Times New Roman" w:hAnsi="Times New Roman"/>
          <w:lang w:val="en-US" w:eastAsia="ru-RU"/>
        </w:rPr>
      </w:pPr>
      <w:r w:rsidRPr="007D770B">
        <w:rPr>
          <w:rFonts w:ascii="Times New Roman" w:hAnsi="Times New Roman"/>
          <w:lang w:val="en-US" w:eastAsia="ru-RU"/>
        </w:rPr>
        <w:t xml:space="preserve"> Tax legislation permits settlement of VAT on a net basis. Accordingly, VAT related to sales and purchases that have not been settled at the balance sheet date are recognized in the </w:t>
      </w:r>
      <w:r w:rsidRPr="007D770B">
        <w:rPr>
          <w:rFonts w:ascii="Times New Roman" w:hAnsi="Times New Roman"/>
          <w:lang w:val="en-US"/>
        </w:rPr>
        <w:t xml:space="preserve">statement of financial position </w:t>
      </w:r>
      <w:r w:rsidRPr="007D770B">
        <w:rPr>
          <w:rFonts w:ascii="Times New Roman" w:hAnsi="Times New Roman"/>
          <w:lang w:val="en-US" w:eastAsia="ru-RU"/>
        </w:rPr>
        <w:t>on a net basis. VAT recoverable is classified as non-current if it is not expected to be settled within one year from the reporting date.</w:t>
      </w:r>
    </w:p>
    <w:p w14:paraId="344FA2BD" w14:textId="00515038" w:rsidR="009E2B77" w:rsidRPr="007D770B" w:rsidRDefault="00F6046E" w:rsidP="00E61D21">
      <w:pPr>
        <w:pStyle w:val="3"/>
        <w:rPr>
          <w:lang w:val="en-US"/>
        </w:rPr>
      </w:pPr>
      <w:bookmarkStart w:id="312" w:name="_Toc248646998"/>
      <w:bookmarkStart w:id="313" w:name="_Toc255041577"/>
      <w:bookmarkStart w:id="314" w:name="_Toc168502095"/>
      <w:r w:rsidRPr="007D770B">
        <w:rPr>
          <w:lang w:val="en-US"/>
        </w:rPr>
        <w:t>13</w:t>
      </w:r>
      <w:r w:rsidR="009E2B77" w:rsidRPr="007D770B">
        <w:rPr>
          <w:lang w:val="en-US"/>
        </w:rPr>
        <w:t>.2 Definitions</w:t>
      </w:r>
      <w:bookmarkEnd w:id="312"/>
      <w:bookmarkEnd w:id="313"/>
      <w:bookmarkEnd w:id="314"/>
    </w:p>
    <w:p w14:paraId="6E22FEA1" w14:textId="77777777" w:rsidR="009E2B77" w:rsidRPr="007D770B" w:rsidRDefault="009E2B77" w:rsidP="00F96B17">
      <w:pPr>
        <w:spacing w:before="240" w:line="240" w:lineRule="auto"/>
        <w:ind w:left="0"/>
        <w:rPr>
          <w:rFonts w:ascii="Times New Roman" w:hAnsi="Times New Roman"/>
          <w:lang w:val="en-US"/>
        </w:rPr>
      </w:pPr>
      <w:r w:rsidRPr="007D770B">
        <w:rPr>
          <w:rFonts w:ascii="Times New Roman" w:hAnsi="Times New Roman"/>
          <w:b/>
          <w:lang w:val="en-US"/>
        </w:rPr>
        <w:t xml:space="preserve">Deferred income tax asset </w:t>
      </w:r>
      <w:r w:rsidRPr="007D770B">
        <w:rPr>
          <w:rFonts w:ascii="Times New Roman" w:hAnsi="Times New Roman"/>
          <w:lang w:val="en-US"/>
        </w:rPr>
        <w:t>represents income tax amounts recoverable in future periods due to deductible temporary differences and tax loss carryforwards not taken.</w:t>
      </w:r>
    </w:p>
    <w:p w14:paraId="4F8F5BC0" w14:textId="77777777" w:rsidR="009E2B77" w:rsidRPr="002D4EA3" w:rsidRDefault="009E2B77" w:rsidP="00F96B17">
      <w:pPr>
        <w:spacing w:before="240" w:line="240" w:lineRule="auto"/>
        <w:ind w:left="0"/>
        <w:rPr>
          <w:rFonts w:ascii="Times New Roman" w:hAnsi="Times New Roman"/>
        </w:rPr>
      </w:pPr>
      <w:r w:rsidRPr="007D770B">
        <w:rPr>
          <w:rFonts w:ascii="Times New Roman" w:hAnsi="Times New Roman"/>
          <w:b/>
          <w:lang w:val="en-US"/>
        </w:rPr>
        <w:t xml:space="preserve">Temporary </w:t>
      </w:r>
      <w:r w:rsidRPr="007D770B">
        <w:rPr>
          <w:rFonts w:ascii="Times New Roman" w:hAnsi="Times New Roman"/>
          <w:lang w:val="en-US"/>
        </w:rPr>
        <w:t xml:space="preserve">differences are differences between the carrying amount of an asset or liability in the statement of financial position and its tax base. </w:t>
      </w:r>
      <w:r w:rsidRPr="002D4EA3">
        <w:rPr>
          <w:rFonts w:ascii="Times New Roman" w:hAnsi="Times New Roman"/>
        </w:rPr>
        <w:t>Temporary differences can be either:</w:t>
      </w:r>
    </w:p>
    <w:p w14:paraId="49BFB8EE" w14:textId="0CA26B14" w:rsidR="009E2B77" w:rsidRPr="007D770B" w:rsidRDefault="009E2B77" w:rsidP="00AE698A">
      <w:pPr>
        <w:numPr>
          <w:ilvl w:val="0"/>
          <w:numId w:val="56"/>
        </w:numPr>
        <w:spacing w:before="240" w:line="240" w:lineRule="auto"/>
        <w:rPr>
          <w:rFonts w:ascii="Times New Roman" w:hAnsi="Times New Roman"/>
          <w:lang w:val="en-US"/>
        </w:rPr>
      </w:pPr>
      <w:r w:rsidRPr="007D770B">
        <w:rPr>
          <w:rFonts w:ascii="Times New Roman" w:hAnsi="Times New Roman"/>
          <w:b/>
          <w:lang w:val="en-US"/>
        </w:rPr>
        <w:t>taxable</w:t>
      </w:r>
      <w:r w:rsidRPr="007D770B">
        <w:rPr>
          <w:rFonts w:ascii="Times New Roman" w:hAnsi="Times New Roman"/>
          <w:lang w:val="en-US"/>
        </w:rPr>
        <w:t xml:space="preserve">, which are temporary differences that give rise to taxable amounts in determining future taxable profits (tax losses) when the carrying amount of an asset or liability </w:t>
      </w:r>
      <w:r w:rsidR="00F95963" w:rsidRPr="007D770B">
        <w:rPr>
          <w:rFonts w:ascii="Times New Roman" w:hAnsi="Times New Roman"/>
          <w:lang w:val="en-US"/>
        </w:rPr>
        <w:t xml:space="preserve">is recovered </w:t>
      </w:r>
      <w:r w:rsidRPr="007D770B">
        <w:rPr>
          <w:rFonts w:ascii="Times New Roman" w:hAnsi="Times New Roman"/>
          <w:lang w:val="en-US"/>
        </w:rPr>
        <w:t xml:space="preserve">or settled; or </w:t>
      </w:r>
    </w:p>
    <w:p w14:paraId="5B2656AE" w14:textId="65DAD5F0" w:rsidR="009E2B77" w:rsidRPr="007D770B" w:rsidRDefault="009E2B77" w:rsidP="00AE698A">
      <w:pPr>
        <w:numPr>
          <w:ilvl w:val="0"/>
          <w:numId w:val="56"/>
        </w:numPr>
        <w:spacing w:before="240" w:line="240" w:lineRule="auto"/>
        <w:rPr>
          <w:rFonts w:ascii="Times New Roman" w:hAnsi="Times New Roman"/>
          <w:lang w:val="en-US"/>
        </w:rPr>
      </w:pPr>
      <w:r w:rsidRPr="007D770B">
        <w:rPr>
          <w:rFonts w:ascii="Times New Roman" w:hAnsi="Times New Roman"/>
          <w:lang w:val="en-US"/>
        </w:rPr>
        <w:t xml:space="preserve">deductible, i.e. temporary differences that result in deductions in determining future taxable profit (tax loss) when the carrying amount of the related asset or liability is </w:t>
      </w:r>
      <w:r w:rsidR="00F95963" w:rsidRPr="007D770B">
        <w:rPr>
          <w:rFonts w:ascii="Times New Roman" w:hAnsi="Times New Roman"/>
          <w:lang w:val="en-US"/>
        </w:rPr>
        <w:t xml:space="preserve">recovered </w:t>
      </w:r>
      <w:r w:rsidRPr="007D770B">
        <w:rPr>
          <w:rFonts w:ascii="Times New Roman" w:hAnsi="Times New Roman"/>
          <w:lang w:val="en-US"/>
        </w:rPr>
        <w:t>or settled.</w:t>
      </w:r>
    </w:p>
    <w:p w14:paraId="68D83157" w14:textId="77777777" w:rsidR="009E2B77" w:rsidRPr="007D770B" w:rsidRDefault="009E2B77" w:rsidP="00F96B17">
      <w:pPr>
        <w:spacing w:before="240" w:line="240" w:lineRule="auto"/>
        <w:ind w:left="0"/>
        <w:rPr>
          <w:rFonts w:ascii="Times New Roman" w:hAnsi="Times New Roman"/>
          <w:lang w:val="en-US"/>
        </w:rPr>
      </w:pPr>
      <w:r w:rsidRPr="007D770B">
        <w:rPr>
          <w:rFonts w:ascii="Times New Roman" w:hAnsi="Times New Roman"/>
          <w:b/>
          <w:lang w:val="en-US"/>
        </w:rPr>
        <w:t xml:space="preserve">Deferred income tax liabilities </w:t>
      </w:r>
      <w:r w:rsidRPr="007D770B">
        <w:rPr>
          <w:rFonts w:ascii="Times New Roman" w:hAnsi="Times New Roman"/>
          <w:lang w:val="en-US"/>
        </w:rPr>
        <w:t xml:space="preserve">are amounts of income taxes payable in future periods due to taxable temporary differences. </w:t>
      </w:r>
    </w:p>
    <w:p w14:paraId="48E9D888" w14:textId="443BA287" w:rsidR="009E2B77" w:rsidRPr="007D770B" w:rsidRDefault="00F6046E" w:rsidP="00E61D21">
      <w:pPr>
        <w:pStyle w:val="3"/>
        <w:rPr>
          <w:lang w:val="en-US"/>
        </w:rPr>
      </w:pPr>
      <w:bookmarkStart w:id="315" w:name="_Toc248646997"/>
      <w:bookmarkStart w:id="316" w:name="_Toc255041578"/>
      <w:bookmarkStart w:id="317" w:name="_Toc168502096"/>
      <w:r w:rsidRPr="007D770B">
        <w:rPr>
          <w:lang w:val="en-US"/>
        </w:rPr>
        <w:lastRenderedPageBreak/>
        <w:t>13</w:t>
      </w:r>
      <w:r w:rsidR="009E2B77" w:rsidRPr="007D770B">
        <w:rPr>
          <w:lang w:val="en-US"/>
        </w:rPr>
        <w:t>.3.</w:t>
      </w:r>
      <w:bookmarkEnd w:id="315"/>
      <w:r w:rsidR="009E2B77" w:rsidRPr="007D770B">
        <w:rPr>
          <w:lang w:val="en-US"/>
        </w:rPr>
        <w:t xml:space="preserve"> Accounting Principles </w:t>
      </w:r>
      <w:bookmarkEnd w:id="316"/>
      <w:bookmarkEnd w:id="317"/>
    </w:p>
    <w:p w14:paraId="4E24B1E5" w14:textId="77777777" w:rsidR="009E2B77" w:rsidRPr="007D770B" w:rsidRDefault="009E2B77" w:rsidP="00F96B17">
      <w:pPr>
        <w:spacing w:before="240" w:line="240" w:lineRule="auto"/>
        <w:ind w:left="0"/>
        <w:rPr>
          <w:rFonts w:ascii="Times New Roman" w:hAnsi="Times New Roman"/>
          <w:lang w:val="en-US"/>
        </w:rPr>
      </w:pPr>
      <w:r w:rsidRPr="007D770B">
        <w:rPr>
          <w:rFonts w:ascii="Times New Roman" w:hAnsi="Times New Roman"/>
          <w:lang w:val="en-US"/>
        </w:rPr>
        <w:t xml:space="preserve">Income taxes include all national and foreign taxes that are based on taxable income. Income tax also includes taxes, such as withholding tax, payable by the </w:t>
      </w:r>
      <w:r w:rsidR="0054655A" w:rsidRPr="007D770B">
        <w:rPr>
          <w:rFonts w:ascii="Times New Roman" w:hAnsi="Times New Roman"/>
          <w:lang w:val="en-US"/>
        </w:rPr>
        <w:t>Bank.</w:t>
      </w:r>
    </w:p>
    <w:p w14:paraId="70C98BE2" w14:textId="77777777" w:rsidR="009E2B77" w:rsidRPr="007D770B" w:rsidRDefault="009E2B77" w:rsidP="00F96B17">
      <w:pPr>
        <w:spacing w:before="240" w:line="240" w:lineRule="auto"/>
        <w:ind w:left="0"/>
        <w:rPr>
          <w:rFonts w:ascii="Times New Roman" w:hAnsi="Times New Roman"/>
          <w:b/>
          <w:lang w:val="en-US"/>
        </w:rPr>
      </w:pPr>
      <w:r w:rsidRPr="007D770B">
        <w:rPr>
          <w:rFonts w:ascii="Times New Roman" w:hAnsi="Times New Roman"/>
          <w:b/>
          <w:lang w:val="en-US"/>
        </w:rPr>
        <w:t>Recognition of current tax liabilities and assets</w:t>
      </w:r>
    </w:p>
    <w:p w14:paraId="7F085A4E" w14:textId="77777777" w:rsidR="009E2B77" w:rsidRPr="007D770B" w:rsidRDefault="009E2B77" w:rsidP="00F96B17">
      <w:pPr>
        <w:spacing w:before="240" w:line="240" w:lineRule="auto"/>
        <w:ind w:left="0"/>
        <w:rPr>
          <w:rFonts w:ascii="Times New Roman" w:hAnsi="Times New Roman"/>
          <w:lang w:val="en-US"/>
        </w:rPr>
      </w:pPr>
      <w:r w:rsidRPr="007D770B">
        <w:rPr>
          <w:rFonts w:ascii="Times New Roman" w:hAnsi="Times New Roman"/>
          <w:lang w:val="en-US"/>
        </w:rPr>
        <w:t>Current corporate income tax for the current and prior periods is recognized as a liability equal to the unpaid amount. If the amount already paid in respect of the current and prior periods exceeds the amount payable for those periods, the excess should be recognized as an asset.</w:t>
      </w:r>
    </w:p>
    <w:p w14:paraId="7E7D5041" w14:textId="77777777" w:rsidR="009E2B77" w:rsidRPr="007D770B" w:rsidRDefault="009E2B77" w:rsidP="00F96B17">
      <w:pPr>
        <w:spacing w:before="240" w:line="240" w:lineRule="auto"/>
        <w:ind w:left="0"/>
        <w:rPr>
          <w:rFonts w:ascii="Times New Roman" w:hAnsi="Times New Roman"/>
          <w:b/>
          <w:lang w:val="en-US"/>
        </w:rPr>
      </w:pPr>
      <w:r w:rsidRPr="007D770B">
        <w:rPr>
          <w:rFonts w:ascii="Times New Roman" w:hAnsi="Times New Roman"/>
          <w:b/>
          <w:lang w:val="en-US"/>
        </w:rPr>
        <w:t>Recognition of deferred income tax liabilities and assets</w:t>
      </w:r>
    </w:p>
    <w:p w14:paraId="287CB970" w14:textId="77777777" w:rsidR="009E2B77" w:rsidRPr="007D770B" w:rsidRDefault="009E2B77" w:rsidP="00F96B17">
      <w:pPr>
        <w:spacing w:before="240" w:line="240" w:lineRule="auto"/>
        <w:ind w:left="0"/>
        <w:rPr>
          <w:rFonts w:ascii="Times New Roman" w:hAnsi="Times New Roman"/>
          <w:lang w:val="en-US"/>
        </w:rPr>
      </w:pPr>
      <w:r w:rsidRPr="007D770B">
        <w:rPr>
          <w:rFonts w:ascii="Times New Roman" w:hAnsi="Times New Roman"/>
          <w:lang w:val="en-US"/>
        </w:rPr>
        <w:t xml:space="preserve">The valuation of assets and liabilities under these accounting policies generally differs from the tax accounts maintained and prepared in accordance with Kazakhstani statutory tax regulations, which give rise to deferred tax liabilities and assets. </w:t>
      </w:r>
    </w:p>
    <w:p w14:paraId="53E2BFD9" w14:textId="2E944033" w:rsidR="009E2B77" w:rsidRPr="007D770B" w:rsidRDefault="009E2B77" w:rsidP="00F96B17">
      <w:pPr>
        <w:spacing w:before="240" w:line="240" w:lineRule="auto"/>
        <w:ind w:left="0"/>
        <w:rPr>
          <w:rFonts w:ascii="Times New Roman" w:hAnsi="Times New Roman"/>
          <w:lang w:val="en-US"/>
        </w:rPr>
      </w:pPr>
      <w:r w:rsidRPr="007D770B">
        <w:rPr>
          <w:rFonts w:ascii="Times New Roman" w:hAnsi="Times New Roman"/>
          <w:lang w:val="en-US"/>
        </w:rPr>
        <w:t xml:space="preserve">The deferred income tax asset represents income taxes recoverable in future periods. A deferred income tax asset for deductible temporary differences and tax loss carryforwards is recognized only to the </w:t>
      </w:r>
      <w:r w:rsidR="00F95963" w:rsidRPr="007D770B">
        <w:rPr>
          <w:rFonts w:ascii="Times New Roman" w:hAnsi="Times New Roman"/>
          <w:lang w:val="en-US"/>
        </w:rPr>
        <w:t>extent</w:t>
      </w:r>
      <w:r w:rsidRPr="007D770B">
        <w:rPr>
          <w:rFonts w:ascii="Times New Roman" w:hAnsi="Times New Roman"/>
          <w:lang w:val="en-US"/>
        </w:rPr>
        <w:t xml:space="preserve"> that it is probable that future taxable profit will be available against which the deductions can be utilized. Otherwise, such deferred income tax asset should not be recognized for IFRS financial reporting purposes.</w:t>
      </w:r>
    </w:p>
    <w:p w14:paraId="3CE6D095" w14:textId="77777777" w:rsidR="009E2B77" w:rsidRPr="007D770B" w:rsidRDefault="009E2B77" w:rsidP="00F96B17">
      <w:pPr>
        <w:spacing w:before="240" w:line="240" w:lineRule="auto"/>
        <w:ind w:left="0"/>
        <w:rPr>
          <w:rFonts w:ascii="Times New Roman" w:hAnsi="Times New Roman"/>
          <w:b/>
          <w:lang w:val="en-US"/>
        </w:rPr>
      </w:pPr>
      <w:r w:rsidRPr="007D770B">
        <w:rPr>
          <w:rFonts w:ascii="Times New Roman" w:hAnsi="Times New Roman"/>
          <w:lang w:val="en-US"/>
        </w:rPr>
        <w:t xml:space="preserve">Deferred income tax liability represents income tax payable that is due and payable at a future date. </w:t>
      </w:r>
    </w:p>
    <w:p w14:paraId="7DDCBB6B" w14:textId="77777777" w:rsidR="009E2B77" w:rsidRPr="007D770B" w:rsidRDefault="00572DED"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 xml:space="preserve">The </w:t>
      </w:r>
      <w:r w:rsidR="00F9744B" w:rsidRPr="007D770B">
        <w:rPr>
          <w:rFonts w:ascii="Times New Roman" w:hAnsi="Times New Roman"/>
          <w:lang w:val="en-US"/>
        </w:rPr>
        <w:t xml:space="preserve">Bank </w:t>
      </w:r>
      <w:r w:rsidRPr="007D770B">
        <w:rPr>
          <w:rFonts w:ascii="Times New Roman" w:hAnsi="Times New Roman"/>
          <w:lang w:val="en-US"/>
        </w:rPr>
        <w:t xml:space="preserve">should </w:t>
      </w:r>
      <w:r w:rsidR="009E2B77" w:rsidRPr="007D770B">
        <w:rPr>
          <w:rFonts w:ascii="Times New Roman" w:hAnsi="Times New Roman"/>
          <w:lang w:val="en-US"/>
        </w:rPr>
        <w:t xml:space="preserve">assess the utilization of unrecorded deferred tax assets at each reporting date. If it becomes probable that profits will be available in future periods against which the deferred tax asset can be utilized, the asset should be recognized. Also, the carrying amount of the recognized deferred income tax asset should be reviewed at each reporting date and if it is not probable that the </w:t>
      </w:r>
      <w:r w:rsidR="00F9744B" w:rsidRPr="007D770B">
        <w:rPr>
          <w:rFonts w:ascii="Times New Roman" w:hAnsi="Times New Roman"/>
          <w:lang w:val="en-US"/>
        </w:rPr>
        <w:t xml:space="preserve">Bank </w:t>
      </w:r>
      <w:r w:rsidR="009E2B77" w:rsidRPr="007D770B">
        <w:rPr>
          <w:rFonts w:ascii="Times New Roman" w:hAnsi="Times New Roman"/>
          <w:lang w:val="en-US"/>
        </w:rPr>
        <w:t>will have taxable profit in future periods, the deferred income tax asset is reduced to the amount expected to be recovered accordingly.</w:t>
      </w:r>
    </w:p>
    <w:p w14:paraId="180EE92A"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 xml:space="preserve">The existence of unused tax losses is strong evidence that the </w:t>
      </w:r>
      <w:r w:rsidR="00F9744B" w:rsidRPr="007D770B">
        <w:rPr>
          <w:rFonts w:ascii="Times New Roman" w:hAnsi="Times New Roman"/>
          <w:lang w:val="en-US"/>
        </w:rPr>
        <w:t xml:space="preserve">Bank </w:t>
      </w:r>
      <w:r w:rsidRPr="007D770B">
        <w:rPr>
          <w:rFonts w:ascii="Times New Roman" w:hAnsi="Times New Roman"/>
          <w:lang w:val="en-US"/>
        </w:rPr>
        <w:t xml:space="preserve">may not have future taxable profits. Consequently, with respect to tax losses carried forward, the </w:t>
      </w:r>
      <w:r w:rsidR="00F9744B" w:rsidRPr="007D770B">
        <w:rPr>
          <w:rFonts w:ascii="Times New Roman" w:hAnsi="Times New Roman"/>
          <w:lang w:val="en-US"/>
        </w:rPr>
        <w:t xml:space="preserve">Bank </w:t>
      </w:r>
      <w:r w:rsidRPr="007D770B">
        <w:rPr>
          <w:rFonts w:ascii="Times New Roman" w:hAnsi="Times New Roman"/>
          <w:lang w:val="en-US"/>
        </w:rPr>
        <w:t>recognizes the resulting deferred tax asset only to the extent that sufficient taxable temporary differences exist or there is other persuasive evidence that sufficient future taxable profits will be available.</w:t>
      </w:r>
    </w:p>
    <w:p w14:paraId="0F13BC50" w14:textId="77777777" w:rsidR="009E2B77" w:rsidRPr="007D770B" w:rsidRDefault="009E2B77" w:rsidP="00C94917">
      <w:pPr>
        <w:keepNext/>
        <w:spacing w:before="240" w:line="240" w:lineRule="auto"/>
        <w:ind w:left="0"/>
        <w:rPr>
          <w:rFonts w:ascii="Times New Roman" w:hAnsi="Times New Roman"/>
          <w:lang w:val="en-US"/>
        </w:rPr>
      </w:pPr>
      <w:r w:rsidRPr="007D770B">
        <w:rPr>
          <w:rFonts w:ascii="Times New Roman" w:hAnsi="Times New Roman"/>
          <w:lang w:val="en-US"/>
        </w:rPr>
        <w:t>Where the difference between the tax base and the carrying amount is temporary, deferred income tax assets and liabilities are formed as follows:</w:t>
      </w:r>
    </w:p>
    <w:tbl>
      <w:tblPr>
        <w:tblW w:w="9421" w:type="dxa"/>
        <w:tblInd w:w="-34" w:type="dxa"/>
        <w:tblLook w:val="01E0" w:firstRow="1" w:lastRow="1" w:firstColumn="1" w:lastColumn="1" w:noHBand="0" w:noVBand="0"/>
      </w:tblPr>
      <w:tblGrid>
        <w:gridCol w:w="1870"/>
        <w:gridCol w:w="3834"/>
        <w:gridCol w:w="3717"/>
      </w:tblGrid>
      <w:tr w:rsidR="009E2B77" w:rsidRPr="002D4EA3" w14:paraId="49D1A737" w14:textId="77777777">
        <w:tc>
          <w:tcPr>
            <w:tcW w:w="1870" w:type="dxa"/>
            <w:tcBorders>
              <w:bottom w:val="single" w:sz="6" w:space="0" w:color="auto"/>
            </w:tcBorders>
          </w:tcPr>
          <w:p w14:paraId="032C0A8E" w14:textId="77777777" w:rsidR="009E2B77" w:rsidRPr="007D770B" w:rsidRDefault="009E2B77" w:rsidP="00C94917">
            <w:pPr>
              <w:keepNext/>
              <w:autoSpaceDE w:val="0"/>
              <w:autoSpaceDN w:val="0"/>
              <w:adjustRightInd w:val="0"/>
              <w:spacing w:before="240" w:line="240" w:lineRule="auto"/>
              <w:ind w:left="0"/>
              <w:rPr>
                <w:rFonts w:ascii="Times New Roman" w:hAnsi="Times New Roman"/>
                <w:b/>
                <w:bCs/>
                <w:lang w:val="en-US"/>
              </w:rPr>
            </w:pPr>
          </w:p>
        </w:tc>
        <w:tc>
          <w:tcPr>
            <w:tcW w:w="3834" w:type="dxa"/>
            <w:tcBorders>
              <w:bottom w:val="single" w:sz="6" w:space="0" w:color="auto"/>
            </w:tcBorders>
          </w:tcPr>
          <w:p w14:paraId="4B9D939F" w14:textId="77777777" w:rsidR="009E2B77" w:rsidRPr="002D4EA3" w:rsidRDefault="009E2B77" w:rsidP="00C94917">
            <w:pPr>
              <w:keepNext/>
              <w:autoSpaceDE w:val="0"/>
              <w:autoSpaceDN w:val="0"/>
              <w:adjustRightInd w:val="0"/>
              <w:spacing w:before="240" w:line="240" w:lineRule="auto"/>
              <w:ind w:left="0"/>
              <w:rPr>
                <w:rFonts w:ascii="Times New Roman" w:hAnsi="Times New Roman"/>
                <w:b/>
                <w:bCs/>
              </w:rPr>
            </w:pPr>
            <w:r w:rsidRPr="002D4EA3">
              <w:rPr>
                <w:rFonts w:ascii="Times New Roman" w:hAnsi="Times New Roman"/>
                <w:b/>
                <w:bCs/>
              </w:rPr>
              <w:t>Deferred tax liabilities</w:t>
            </w:r>
          </w:p>
        </w:tc>
        <w:tc>
          <w:tcPr>
            <w:tcW w:w="3717" w:type="dxa"/>
            <w:tcBorders>
              <w:bottom w:val="single" w:sz="6" w:space="0" w:color="auto"/>
            </w:tcBorders>
          </w:tcPr>
          <w:p w14:paraId="773510C7" w14:textId="77777777" w:rsidR="009E2B77" w:rsidRPr="002D4EA3" w:rsidRDefault="009E2B77" w:rsidP="00C94917">
            <w:pPr>
              <w:keepNext/>
              <w:autoSpaceDE w:val="0"/>
              <w:autoSpaceDN w:val="0"/>
              <w:adjustRightInd w:val="0"/>
              <w:spacing w:before="240" w:line="240" w:lineRule="auto"/>
              <w:ind w:left="0"/>
              <w:rPr>
                <w:rFonts w:ascii="Times New Roman" w:hAnsi="Times New Roman"/>
                <w:b/>
                <w:bCs/>
              </w:rPr>
            </w:pPr>
            <w:r w:rsidRPr="002D4EA3">
              <w:rPr>
                <w:rFonts w:ascii="Times New Roman" w:hAnsi="Times New Roman"/>
                <w:b/>
                <w:bCs/>
              </w:rPr>
              <w:t>Deferred tax assets</w:t>
            </w:r>
          </w:p>
        </w:tc>
      </w:tr>
      <w:tr w:rsidR="009E2B77" w:rsidRPr="002D4EA3" w14:paraId="5C68B21B" w14:textId="77777777">
        <w:tc>
          <w:tcPr>
            <w:tcW w:w="1870" w:type="dxa"/>
            <w:tcBorders>
              <w:top w:val="single" w:sz="6" w:space="0" w:color="auto"/>
              <w:bottom w:val="single" w:sz="6" w:space="0" w:color="auto"/>
            </w:tcBorders>
          </w:tcPr>
          <w:p w14:paraId="0B08CBD0" w14:textId="77777777" w:rsidR="009E2B77" w:rsidRPr="002D4EA3" w:rsidRDefault="009E2B77" w:rsidP="00C94917">
            <w:pPr>
              <w:keepNext/>
              <w:autoSpaceDE w:val="0"/>
              <w:autoSpaceDN w:val="0"/>
              <w:adjustRightInd w:val="0"/>
              <w:spacing w:before="240" w:line="240" w:lineRule="auto"/>
              <w:ind w:left="0"/>
              <w:rPr>
                <w:rFonts w:ascii="Times New Roman" w:hAnsi="Times New Roman"/>
                <w:b/>
                <w:bCs/>
              </w:rPr>
            </w:pPr>
            <w:r w:rsidRPr="002D4EA3">
              <w:rPr>
                <w:rFonts w:ascii="Times New Roman" w:hAnsi="Times New Roman"/>
                <w:b/>
                <w:bCs/>
              </w:rPr>
              <w:t>Assets</w:t>
            </w:r>
          </w:p>
        </w:tc>
        <w:tc>
          <w:tcPr>
            <w:tcW w:w="3834" w:type="dxa"/>
            <w:tcBorders>
              <w:top w:val="single" w:sz="6" w:space="0" w:color="auto"/>
              <w:bottom w:val="single" w:sz="6" w:space="0" w:color="auto"/>
            </w:tcBorders>
          </w:tcPr>
          <w:p w14:paraId="6B7FB471" w14:textId="77777777" w:rsidR="009E2B77" w:rsidRPr="002D4EA3" w:rsidRDefault="009E2B77" w:rsidP="00C94917">
            <w:pPr>
              <w:keepNext/>
              <w:autoSpaceDE w:val="0"/>
              <w:autoSpaceDN w:val="0"/>
              <w:adjustRightInd w:val="0"/>
              <w:spacing w:before="240" w:line="240" w:lineRule="auto"/>
              <w:ind w:left="0"/>
              <w:rPr>
                <w:rFonts w:ascii="Times New Roman" w:hAnsi="Times New Roman"/>
              </w:rPr>
            </w:pPr>
            <w:r w:rsidRPr="002D4EA3">
              <w:rPr>
                <w:rFonts w:ascii="Times New Roman" w:hAnsi="Times New Roman"/>
              </w:rPr>
              <w:t>Carrying amount &gt; Tax base</w:t>
            </w:r>
          </w:p>
        </w:tc>
        <w:tc>
          <w:tcPr>
            <w:tcW w:w="3717" w:type="dxa"/>
            <w:tcBorders>
              <w:top w:val="single" w:sz="6" w:space="0" w:color="auto"/>
              <w:bottom w:val="single" w:sz="6" w:space="0" w:color="auto"/>
            </w:tcBorders>
          </w:tcPr>
          <w:p w14:paraId="1D3A30A4" w14:textId="77777777" w:rsidR="009E2B77" w:rsidRPr="002D4EA3" w:rsidRDefault="009E2B77" w:rsidP="00C94917">
            <w:pPr>
              <w:keepNext/>
              <w:autoSpaceDE w:val="0"/>
              <w:autoSpaceDN w:val="0"/>
              <w:adjustRightInd w:val="0"/>
              <w:spacing w:before="240" w:line="240" w:lineRule="auto"/>
              <w:ind w:left="0"/>
              <w:rPr>
                <w:rFonts w:ascii="Times New Roman" w:hAnsi="Times New Roman"/>
              </w:rPr>
            </w:pPr>
            <w:r w:rsidRPr="002D4EA3">
              <w:rPr>
                <w:rFonts w:ascii="Times New Roman" w:hAnsi="Times New Roman"/>
              </w:rPr>
              <w:t>Carrying amount &lt; Tax base</w:t>
            </w:r>
          </w:p>
        </w:tc>
      </w:tr>
      <w:tr w:rsidR="009E2B77" w:rsidRPr="002D4EA3" w14:paraId="36C0DCC6" w14:textId="77777777">
        <w:tc>
          <w:tcPr>
            <w:tcW w:w="1870" w:type="dxa"/>
            <w:tcBorders>
              <w:top w:val="single" w:sz="6" w:space="0" w:color="auto"/>
              <w:bottom w:val="single" w:sz="12" w:space="0" w:color="auto"/>
            </w:tcBorders>
          </w:tcPr>
          <w:p w14:paraId="3785AE4B" w14:textId="77777777" w:rsidR="009E2B77" w:rsidRPr="002D4EA3" w:rsidRDefault="009E2B77" w:rsidP="00C94917">
            <w:pPr>
              <w:keepNext/>
              <w:autoSpaceDE w:val="0"/>
              <w:autoSpaceDN w:val="0"/>
              <w:adjustRightInd w:val="0"/>
              <w:spacing w:before="240" w:line="240" w:lineRule="auto"/>
              <w:ind w:left="0"/>
              <w:rPr>
                <w:rFonts w:ascii="Times New Roman" w:hAnsi="Times New Roman"/>
                <w:b/>
                <w:bCs/>
              </w:rPr>
            </w:pPr>
            <w:r w:rsidRPr="002D4EA3">
              <w:rPr>
                <w:rFonts w:ascii="Times New Roman" w:hAnsi="Times New Roman"/>
                <w:b/>
                <w:bCs/>
              </w:rPr>
              <w:t>Obligations</w:t>
            </w:r>
          </w:p>
        </w:tc>
        <w:tc>
          <w:tcPr>
            <w:tcW w:w="3834" w:type="dxa"/>
            <w:tcBorders>
              <w:top w:val="single" w:sz="6" w:space="0" w:color="auto"/>
              <w:bottom w:val="single" w:sz="12" w:space="0" w:color="auto"/>
            </w:tcBorders>
          </w:tcPr>
          <w:p w14:paraId="1E7C5016" w14:textId="77777777" w:rsidR="009E2B77" w:rsidRPr="002D4EA3" w:rsidRDefault="009E2B77" w:rsidP="00C94917">
            <w:pPr>
              <w:keepNext/>
              <w:autoSpaceDE w:val="0"/>
              <w:autoSpaceDN w:val="0"/>
              <w:adjustRightInd w:val="0"/>
              <w:spacing w:before="240" w:line="240" w:lineRule="auto"/>
              <w:ind w:left="0"/>
              <w:rPr>
                <w:rFonts w:ascii="Times New Roman" w:hAnsi="Times New Roman"/>
              </w:rPr>
            </w:pPr>
            <w:r w:rsidRPr="002D4EA3">
              <w:rPr>
                <w:rFonts w:ascii="Times New Roman" w:hAnsi="Times New Roman"/>
              </w:rPr>
              <w:t>Carrying amount &lt; Tax base</w:t>
            </w:r>
          </w:p>
        </w:tc>
        <w:tc>
          <w:tcPr>
            <w:tcW w:w="3717" w:type="dxa"/>
            <w:tcBorders>
              <w:top w:val="single" w:sz="6" w:space="0" w:color="auto"/>
              <w:bottom w:val="single" w:sz="12" w:space="0" w:color="auto"/>
            </w:tcBorders>
          </w:tcPr>
          <w:p w14:paraId="2219117E" w14:textId="77777777" w:rsidR="009E2B77" w:rsidRPr="002D4EA3" w:rsidRDefault="009E2B77" w:rsidP="00C94917">
            <w:pPr>
              <w:keepNext/>
              <w:autoSpaceDE w:val="0"/>
              <w:autoSpaceDN w:val="0"/>
              <w:adjustRightInd w:val="0"/>
              <w:spacing w:before="240" w:line="240" w:lineRule="auto"/>
              <w:ind w:left="0"/>
              <w:rPr>
                <w:rFonts w:ascii="Times New Roman" w:hAnsi="Times New Roman"/>
              </w:rPr>
            </w:pPr>
            <w:r w:rsidRPr="002D4EA3">
              <w:rPr>
                <w:rFonts w:ascii="Times New Roman" w:hAnsi="Times New Roman"/>
              </w:rPr>
              <w:t>Carrying amount &gt; Tax base</w:t>
            </w:r>
          </w:p>
        </w:tc>
      </w:tr>
    </w:tbl>
    <w:p w14:paraId="1FE27525"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The sequence in determining the income tax expense for the period is as follows:</w:t>
      </w:r>
    </w:p>
    <w:p w14:paraId="4DB4BE6B" w14:textId="77777777" w:rsidR="009E2B77" w:rsidRPr="007D770B" w:rsidRDefault="009E2B77" w:rsidP="00AE698A">
      <w:pPr>
        <w:numPr>
          <w:ilvl w:val="0"/>
          <w:numId w:val="256"/>
        </w:numPr>
        <w:tabs>
          <w:tab w:val="left" w:pos="720"/>
        </w:tabs>
        <w:autoSpaceDE w:val="0"/>
        <w:autoSpaceDN w:val="0"/>
        <w:adjustRightInd w:val="0"/>
        <w:spacing w:before="240" w:line="240" w:lineRule="auto"/>
        <w:jc w:val="left"/>
        <w:rPr>
          <w:rFonts w:ascii="Times New Roman" w:hAnsi="Times New Roman"/>
          <w:lang w:val="en-US"/>
        </w:rPr>
      </w:pPr>
      <w:r w:rsidRPr="007D770B">
        <w:rPr>
          <w:rFonts w:ascii="Times New Roman" w:hAnsi="Times New Roman"/>
          <w:lang w:val="en-US"/>
        </w:rPr>
        <w:t>taxable profit is determined in accordance with tax legislation;</w:t>
      </w:r>
    </w:p>
    <w:p w14:paraId="29F9EEA2" w14:textId="77777777" w:rsidR="009E2B77" w:rsidRPr="007D770B" w:rsidRDefault="009E2B77" w:rsidP="00AE698A">
      <w:pPr>
        <w:numPr>
          <w:ilvl w:val="0"/>
          <w:numId w:val="256"/>
        </w:numPr>
        <w:tabs>
          <w:tab w:val="left" w:pos="720"/>
        </w:tabs>
        <w:autoSpaceDE w:val="0"/>
        <w:autoSpaceDN w:val="0"/>
        <w:adjustRightInd w:val="0"/>
        <w:spacing w:before="240" w:line="240" w:lineRule="auto"/>
        <w:jc w:val="left"/>
        <w:rPr>
          <w:rFonts w:ascii="Times New Roman" w:hAnsi="Times New Roman"/>
          <w:lang w:val="en-US"/>
        </w:rPr>
      </w:pPr>
      <w:r w:rsidRPr="007D770B">
        <w:rPr>
          <w:rFonts w:ascii="Times New Roman" w:hAnsi="Times New Roman"/>
          <w:lang w:val="en-US"/>
        </w:rPr>
        <w:t>the amount of the current income tax liability is determined at the rate approved by the tax legislation:</w:t>
      </w:r>
    </w:p>
    <w:p w14:paraId="74447592" w14:textId="77777777" w:rsidR="009E2B77" w:rsidRPr="007D770B" w:rsidRDefault="009E2B77" w:rsidP="00AE698A">
      <w:pPr>
        <w:numPr>
          <w:ilvl w:val="0"/>
          <w:numId w:val="256"/>
        </w:numPr>
        <w:tabs>
          <w:tab w:val="left" w:pos="720"/>
        </w:tabs>
        <w:autoSpaceDE w:val="0"/>
        <w:autoSpaceDN w:val="0"/>
        <w:adjustRightInd w:val="0"/>
        <w:spacing w:before="240" w:line="240" w:lineRule="auto"/>
        <w:jc w:val="left"/>
        <w:rPr>
          <w:rFonts w:ascii="Times New Roman" w:hAnsi="Times New Roman"/>
          <w:lang w:val="en-US"/>
        </w:rPr>
      </w:pPr>
      <w:r w:rsidRPr="007D770B">
        <w:rPr>
          <w:rFonts w:ascii="Times New Roman" w:hAnsi="Times New Roman"/>
          <w:lang w:val="en-US"/>
        </w:rPr>
        <w:t>Taxable income X tax rate = tax liability.</w:t>
      </w:r>
    </w:p>
    <w:p w14:paraId="015F4F24" w14:textId="3E0A1A4F" w:rsidR="009E2B77" w:rsidRPr="007D770B" w:rsidRDefault="00F95963" w:rsidP="00AE698A">
      <w:pPr>
        <w:numPr>
          <w:ilvl w:val="0"/>
          <w:numId w:val="256"/>
        </w:numPr>
        <w:tabs>
          <w:tab w:val="left" w:pos="720"/>
        </w:tabs>
        <w:autoSpaceDE w:val="0"/>
        <w:autoSpaceDN w:val="0"/>
        <w:adjustRightInd w:val="0"/>
        <w:spacing w:before="240" w:line="240" w:lineRule="auto"/>
        <w:jc w:val="left"/>
        <w:rPr>
          <w:rFonts w:ascii="Times New Roman" w:hAnsi="Times New Roman"/>
          <w:lang w:val="en-US"/>
        </w:rPr>
      </w:pPr>
      <w:r w:rsidRPr="007D770B">
        <w:rPr>
          <w:rFonts w:ascii="Times New Roman" w:hAnsi="Times New Roman"/>
          <w:lang w:val="en-US"/>
        </w:rPr>
        <w:t xml:space="preserve">the tax </w:t>
      </w:r>
      <w:r w:rsidR="009E2B77" w:rsidRPr="007D770B">
        <w:rPr>
          <w:rFonts w:ascii="Times New Roman" w:hAnsi="Times New Roman"/>
          <w:lang w:val="en-US"/>
        </w:rPr>
        <w:t xml:space="preserve">base of assets and liabilities at the end of the reporting period is </w:t>
      </w:r>
      <w:r w:rsidRPr="007D770B">
        <w:rPr>
          <w:rFonts w:ascii="Times New Roman" w:hAnsi="Times New Roman"/>
          <w:lang w:val="en-US"/>
        </w:rPr>
        <w:t>determined;</w:t>
      </w:r>
    </w:p>
    <w:p w14:paraId="406BB72C" w14:textId="77777777" w:rsidR="009E2B77" w:rsidRPr="007D770B" w:rsidRDefault="009E2B77" w:rsidP="00AE698A">
      <w:pPr>
        <w:numPr>
          <w:ilvl w:val="0"/>
          <w:numId w:val="256"/>
        </w:numPr>
        <w:tabs>
          <w:tab w:val="left" w:pos="720"/>
        </w:tabs>
        <w:autoSpaceDE w:val="0"/>
        <w:autoSpaceDN w:val="0"/>
        <w:adjustRightInd w:val="0"/>
        <w:spacing w:before="240" w:line="240" w:lineRule="auto"/>
        <w:jc w:val="left"/>
        <w:rPr>
          <w:rFonts w:ascii="Times New Roman" w:hAnsi="Times New Roman"/>
          <w:lang w:val="en-US"/>
        </w:rPr>
      </w:pPr>
      <w:r w:rsidRPr="007D770B">
        <w:rPr>
          <w:rFonts w:ascii="Times New Roman" w:hAnsi="Times New Roman"/>
          <w:lang w:val="en-US"/>
        </w:rPr>
        <w:t>temporary differences are determined by comparing the carrying amounts of all assets and liabilities at the reporting date of the statement of financial position with their tax bases: the amount of temporary differences equals the carrying amount of assets and liabilities less their tax bases;</w:t>
      </w:r>
    </w:p>
    <w:p w14:paraId="7F5EFB6F" w14:textId="77777777" w:rsidR="009E2B77" w:rsidRPr="007D770B" w:rsidRDefault="009E2B77" w:rsidP="00AE698A">
      <w:pPr>
        <w:numPr>
          <w:ilvl w:val="0"/>
          <w:numId w:val="256"/>
        </w:numPr>
        <w:tabs>
          <w:tab w:val="left" w:pos="720"/>
        </w:tabs>
        <w:autoSpaceDE w:val="0"/>
        <w:autoSpaceDN w:val="0"/>
        <w:adjustRightInd w:val="0"/>
        <w:spacing w:before="240" w:line="240" w:lineRule="auto"/>
        <w:jc w:val="left"/>
        <w:rPr>
          <w:rFonts w:ascii="Times New Roman" w:hAnsi="Times New Roman"/>
          <w:lang w:val="en-US"/>
        </w:rPr>
      </w:pPr>
      <w:r w:rsidRPr="007D770B">
        <w:rPr>
          <w:rFonts w:ascii="Times New Roman" w:hAnsi="Times New Roman"/>
          <w:lang w:val="en-US"/>
        </w:rPr>
        <w:t>exceptions are determined, i.e. temporary differences at the time of initial recognition of an asset or liability that do not give rise to deferred tax assets and deferred tax liabilities;</w:t>
      </w:r>
    </w:p>
    <w:p w14:paraId="79E0BE91" w14:textId="77777777" w:rsidR="009E2B77" w:rsidRPr="007D770B" w:rsidRDefault="009E2B77" w:rsidP="00AE698A">
      <w:pPr>
        <w:numPr>
          <w:ilvl w:val="0"/>
          <w:numId w:val="256"/>
        </w:numPr>
        <w:tabs>
          <w:tab w:val="left" w:pos="720"/>
        </w:tabs>
        <w:autoSpaceDE w:val="0"/>
        <w:autoSpaceDN w:val="0"/>
        <w:adjustRightInd w:val="0"/>
        <w:spacing w:before="240" w:line="240" w:lineRule="auto"/>
        <w:jc w:val="left"/>
        <w:rPr>
          <w:rFonts w:ascii="Times New Roman" w:hAnsi="Times New Roman"/>
          <w:lang w:val="en-US"/>
        </w:rPr>
      </w:pPr>
      <w:r w:rsidRPr="007D770B">
        <w:rPr>
          <w:rFonts w:ascii="Times New Roman" w:hAnsi="Times New Roman"/>
          <w:lang w:val="en-US"/>
        </w:rPr>
        <w:lastRenderedPageBreak/>
        <w:t>the recoverability of deductible temporary differences at the end of the reporting period is reviewed;</w:t>
      </w:r>
    </w:p>
    <w:p w14:paraId="3DFBBA96" w14:textId="77777777" w:rsidR="009E2B77" w:rsidRPr="007D770B" w:rsidRDefault="009E2B77" w:rsidP="00AE698A">
      <w:pPr>
        <w:numPr>
          <w:ilvl w:val="0"/>
          <w:numId w:val="256"/>
        </w:numPr>
        <w:tabs>
          <w:tab w:val="left" w:pos="720"/>
        </w:tabs>
        <w:autoSpaceDE w:val="0"/>
        <w:autoSpaceDN w:val="0"/>
        <w:adjustRightInd w:val="0"/>
        <w:spacing w:before="240" w:line="240" w:lineRule="auto"/>
        <w:jc w:val="left"/>
        <w:rPr>
          <w:rFonts w:ascii="Times New Roman" w:hAnsi="Times New Roman"/>
          <w:lang w:val="en-US"/>
        </w:rPr>
      </w:pPr>
      <w:r w:rsidRPr="007D770B">
        <w:rPr>
          <w:rFonts w:ascii="Times New Roman" w:hAnsi="Times New Roman"/>
          <w:lang w:val="en-US"/>
        </w:rPr>
        <w:t>the tax rate used to measure the deferred tax asset or deferred tax liability at the end of the reporting period;</w:t>
      </w:r>
    </w:p>
    <w:p w14:paraId="7D31D458" w14:textId="77777777" w:rsidR="009E2B77" w:rsidRPr="007D770B" w:rsidRDefault="009E2B77" w:rsidP="00AE698A">
      <w:pPr>
        <w:numPr>
          <w:ilvl w:val="0"/>
          <w:numId w:val="256"/>
        </w:numPr>
        <w:tabs>
          <w:tab w:val="left" w:pos="720"/>
        </w:tabs>
        <w:autoSpaceDE w:val="0"/>
        <w:autoSpaceDN w:val="0"/>
        <w:adjustRightInd w:val="0"/>
        <w:spacing w:before="240" w:line="240" w:lineRule="auto"/>
        <w:jc w:val="left"/>
        <w:rPr>
          <w:rFonts w:ascii="Times New Roman" w:hAnsi="Times New Roman"/>
          <w:lang w:val="en-US"/>
        </w:rPr>
      </w:pPr>
      <w:r w:rsidRPr="007D770B">
        <w:rPr>
          <w:rFonts w:ascii="Times New Roman" w:hAnsi="Times New Roman"/>
          <w:lang w:val="en-US"/>
        </w:rPr>
        <w:t>deferred tax asset and deferred tax liability at the end of the reporting period are calculated by multiplying the temporary differences giving rise to deferred income tax by the tax rate determined in the previous step;</w:t>
      </w:r>
    </w:p>
    <w:p w14:paraId="7BAC3B96" w14:textId="77777777" w:rsidR="009E2B77" w:rsidRPr="007D770B" w:rsidRDefault="009E2B77" w:rsidP="00AE698A">
      <w:pPr>
        <w:numPr>
          <w:ilvl w:val="0"/>
          <w:numId w:val="256"/>
        </w:numPr>
        <w:tabs>
          <w:tab w:val="left" w:pos="720"/>
        </w:tabs>
        <w:autoSpaceDE w:val="0"/>
        <w:autoSpaceDN w:val="0"/>
        <w:adjustRightInd w:val="0"/>
        <w:spacing w:before="240" w:line="240" w:lineRule="auto"/>
        <w:jc w:val="left"/>
        <w:rPr>
          <w:rFonts w:ascii="Times New Roman" w:hAnsi="Times New Roman"/>
          <w:lang w:val="en-US"/>
        </w:rPr>
      </w:pPr>
      <w:r w:rsidRPr="007D770B">
        <w:rPr>
          <w:rFonts w:ascii="Times New Roman" w:hAnsi="Times New Roman"/>
          <w:lang w:val="en-US"/>
        </w:rPr>
        <w:t>the amount of tax effect of temporary differences for the reporting period is determined: the balance of tax effect at the beginning of the reporting period is deducted from the received amount of tax effect at the end of the reporting year.</w:t>
      </w:r>
    </w:p>
    <w:p w14:paraId="1976E101" w14:textId="77777777" w:rsidR="009E2B77" w:rsidRPr="007D770B" w:rsidRDefault="009E2B77" w:rsidP="00F96B17">
      <w:pPr>
        <w:autoSpaceDE w:val="0"/>
        <w:autoSpaceDN w:val="0"/>
        <w:adjustRightInd w:val="0"/>
        <w:spacing w:before="240" w:line="240" w:lineRule="auto"/>
        <w:ind w:left="0"/>
        <w:rPr>
          <w:rFonts w:ascii="Times New Roman" w:hAnsi="Times New Roman"/>
          <w:b/>
          <w:bCs/>
          <w:lang w:val="en-US"/>
        </w:rPr>
      </w:pPr>
      <w:r w:rsidRPr="007D770B">
        <w:rPr>
          <w:rFonts w:ascii="Times New Roman" w:hAnsi="Times New Roman"/>
          <w:b/>
          <w:bCs/>
          <w:lang w:val="en-US"/>
        </w:rPr>
        <w:t>Taxable temporary differences and deferred tax liability</w:t>
      </w:r>
    </w:p>
    <w:p w14:paraId="00A2B26B" w14:textId="5BC52481"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 xml:space="preserve">The </w:t>
      </w:r>
      <w:r w:rsidR="00F95963" w:rsidRPr="007D770B">
        <w:rPr>
          <w:rFonts w:ascii="Times New Roman" w:hAnsi="Times New Roman"/>
          <w:lang w:val="en-US"/>
        </w:rPr>
        <w:t xml:space="preserve">Bank </w:t>
      </w:r>
      <w:r w:rsidRPr="007D770B">
        <w:rPr>
          <w:rFonts w:ascii="Times New Roman" w:hAnsi="Times New Roman"/>
          <w:lang w:val="en-US"/>
        </w:rPr>
        <w:t>has adopted the balance sheet difference method of accounting for deferred taxes.</w:t>
      </w:r>
    </w:p>
    <w:p w14:paraId="7CA3582F"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Taxable temporary differences are recognized when the carrying amount of an asset exceeds its deductible amount and when the carrying amount of a liability is less than its tax base.</w:t>
      </w:r>
    </w:p>
    <w:p w14:paraId="217AEE73"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Examples of when temporary taxable differences arise:</w:t>
      </w:r>
    </w:p>
    <w:p w14:paraId="041A7C09" w14:textId="77777777" w:rsidR="008F18CB" w:rsidRPr="007D770B" w:rsidRDefault="00D1190A" w:rsidP="00AE698A">
      <w:pPr>
        <w:numPr>
          <w:ilvl w:val="0"/>
          <w:numId w:val="57"/>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for transactions with financial instruments accounted for at fair value (if fair value exceeds the tax base): accounting for the acquisition and sale of financial instruments at cost for tax accounting purposes and at fair value for financial reporting purposes</w:t>
      </w:r>
      <w:r w:rsidR="008F18CB" w:rsidRPr="007D770B">
        <w:rPr>
          <w:rFonts w:ascii="Times New Roman" w:hAnsi="Times New Roman"/>
          <w:lang w:val="en-US"/>
        </w:rPr>
        <w:t>;</w:t>
      </w:r>
    </w:p>
    <w:p w14:paraId="071518F9" w14:textId="77777777" w:rsidR="00D1190A" w:rsidRPr="007D770B" w:rsidRDefault="008F18CB" w:rsidP="00AE698A">
      <w:pPr>
        <w:numPr>
          <w:ilvl w:val="0"/>
          <w:numId w:val="57"/>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 xml:space="preserve">on transactions with financial instruments carried at amortized cost: discount on loans issued and premium on attracted deposits of housing savings;  </w:t>
      </w:r>
    </w:p>
    <w:p w14:paraId="4F6BC8AC" w14:textId="77777777" w:rsidR="009E2B77" w:rsidRPr="007D770B" w:rsidRDefault="009E2B77" w:rsidP="00AE698A">
      <w:pPr>
        <w:numPr>
          <w:ilvl w:val="0"/>
          <w:numId w:val="57"/>
        </w:numPr>
        <w:tabs>
          <w:tab w:val="left" w:pos="0"/>
        </w:tabs>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excess of depreciation of property, plant and equipment and intangible assets used for deduction in determining taxable profit (tax loss) over depreciation for recognition of expenses in the financial statements;</w:t>
      </w:r>
    </w:p>
    <w:p w14:paraId="74FE3B82" w14:textId="77777777" w:rsidR="009E2B77" w:rsidRPr="007D770B" w:rsidRDefault="009E2B77" w:rsidP="00AE698A">
      <w:pPr>
        <w:numPr>
          <w:ilvl w:val="0"/>
          <w:numId w:val="57"/>
        </w:numPr>
        <w:tabs>
          <w:tab w:val="left" w:pos="0"/>
        </w:tabs>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for asset revaluation transactions: increase in the value of assets without equivalent adjustment for tax purposes;</w:t>
      </w:r>
    </w:p>
    <w:p w14:paraId="583DDFF0"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A deferred tax liability should be recognized for all taxable temporary differences unless they arise from:</w:t>
      </w:r>
    </w:p>
    <w:p w14:paraId="58C4E1D0" w14:textId="77777777" w:rsidR="009E2B77" w:rsidRPr="007D770B" w:rsidRDefault="009E2B77" w:rsidP="00AE698A">
      <w:pPr>
        <w:numPr>
          <w:ilvl w:val="0"/>
          <w:numId w:val="58"/>
        </w:numPr>
        <w:tabs>
          <w:tab w:val="left" w:pos="360"/>
        </w:tabs>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The initial recognition of an asset or liability in connection with a transaction that:</w:t>
      </w:r>
    </w:p>
    <w:p w14:paraId="1417CA6C" w14:textId="77777777" w:rsidR="009E2B77" w:rsidRPr="007D770B" w:rsidRDefault="009E2B77" w:rsidP="00AE698A">
      <w:pPr>
        <w:numPr>
          <w:ilvl w:val="0"/>
          <w:numId w:val="21"/>
        </w:numPr>
        <w:spacing w:before="240" w:line="240" w:lineRule="auto"/>
        <w:ind w:left="1080"/>
        <w:rPr>
          <w:rFonts w:ascii="Times New Roman" w:hAnsi="Times New Roman"/>
          <w:lang w:val="en-US"/>
        </w:rPr>
      </w:pPr>
      <w:r w:rsidRPr="007D770B">
        <w:rPr>
          <w:rFonts w:ascii="Times New Roman" w:hAnsi="Times New Roman"/>
          <w:lang w:val="en-US"/>
        </w:rPr>
        <w:t>is not a business combination; and</w:t>
      </w:r>
    </w:p>
    <w:p w14:paraId="6FBD4D40" w14:textId="77777777" w:rsidR="009E2B77" w:rsidRPr="007D770B" w:rsidRDefault="009E2B77" w:rsidP="00AE698A">
      <w:pPr>
        <w:numPr>
          <w:ilvl w:val="0"/>
          <w:numId w:val="21"/>
        </w:numPr>
        <w:spacing w:before="240" w:line="240" w:lineRule="auto"/>
        <w:ind w:left="1080"/>
        <w:rPr>
          <w:rFonts w:ascii="Times New Roman" w:hAnsi="Times New Roman"/>
          <w:lang w:val="en-US"/>
        </w:rPr>
      </w:pPr>
      <w:r w:rsidRPr="007D770B">
        <w:rPr>
          <w:rFonts w:ascii="Times New Roman" w:hAnsi="Times New Roman"/>
          <w:lang w:val="en-US"/>
        </w:rPr>
        <w:t>at the time of the transaction affects neither accounting nor taxable profit (tax loss).</w:t>
      </w:r>
    </w:p>
    <w:p w14:paraId="4C497D0C" w14:textId="77777777" w:rsidR="009E2B77" w:rsidRPr="007D770B" w:rsidRDefault="009E2B77" w:rsidP="00F96B17">
      <w:pPr>
        <w:autoSpaceDE w:val="0"/>
        <w:autoSpaceDN w:val="0"/>
        <w:adjustRightInd w:val="0"/>
        <w:spacing w:before="240" w:line="240" w:lineRule="auto"/>
        <w:ind w:left="0"/>
        <w:rPr>
          <w:rFonts w:ascii="Times New Roman" w:hAnsi="Times New Roman"/>
          <w:b/>
          <w:bCs/>
          <w:lang w:val="en-US"/>
        </w:rPr>
      </w:pPr>
      <w:r w:rsidRPr="007D770B">
        <w:rPr>
          <w:rFonts w:ascii="Times New Roman" w:hAnsi="Times New Roman"/>
          <w:b/>
          <w:bCs/>
          <w:lang w:val="en-US"/>
        </w:rPr>
        <w:t>Deductible temporary differences and deferred tax assets</w:t>
      </w:r>
    </w:p>
    <w:p w14:paraId="3A4F054F"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Examples of when temporary deductible differences occur:</w:t>
      </w:r>
    </w:p>
    <w:p w14:paraId="048B7A46" w14:textId="77777777" w:rsidR="00D1190A" w:rsidRPr="007D770B" w:rsidRDefault="00D1190A" w:rsidP="00AE698A">
      <w:pPr>
        <w:numPr>
          <w:ilvl w:val="0"/>
          <w:numId w:val="59"/>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for transactions with financial instruments accounted for at fair value: accounting for the acquisition and sale of financial instruments at cost for tax accounting purposes and at fair value for financial reporting purposes;</w:t>
      </w:r>
    </w:p>
    <w:p w14:paraId="75DE8959" w14:textId="77777777" w:rsidR="009E2B77" w:rsidRPr="007D770B" w:rsidRDefault="009E2B77" w:rsidP="00AE698A">
      <w:pPr>
        <w:numPr>
          <w:ilvl w:val="0"/>
          <w:numId w:val="59"/>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the excess of depreciation of property, plant and equipment and intangible assets recorded in the financial statements over the amounts of depreciation used as a deduction in determining taxable profit (tax loss);</w:t>
      </w:r>
    </w:p>
    <w:p w14:paraId="754804D4" w14:textId="77777777" w:rsidR="009E2B77" w:rsidRPr="007D770B" w:rsidRDefault="009E2B77" w:rsidP="00AE698A">
      <w:pPr>
        <w:numPr>
          <w:ilvl w:val="0"/>
          <w:numId w:val="59"/>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recognition in the financial statements of provisions for which expenses will be included in tax deductions only when they are actually incurred;</w:t>
      </w:r>
    </w:p>
    <w:p w14:paraId="66EE2FA0" w14:textId="77777777" w:rsidR="009E2B77" w:rsidRPr="007D770B" w:rsidRDefault="009E2B77" w:rsidP="00AE698A">
      <w:pPr>
        <w:numPr>
          <w:ilvl w:val="0"/>
          <w:numId w:val="59"/>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recognition of tax loss carryforwards;</w:t>
      </w:r>
    </w:p>
    <w:p w14:paraId="5AA5FBA5" w14:textId="77777777" w:rsidR="009E2B77" w:rsidRPr="007D770B" w:rsidRDefault="009E2B77" w:rsidP="00AE698A">
      <w:pPr>
        <w:numPr>
          <w:ilvl w:val="0"/>
          <w:numId w:val="59"/>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Provision for impairment of receivables, which for tax accounting and financial reporting purposes may differ in timing and amount;</w:t>
      </w:r>
    </w:p>
    <w:p w14:paraId="2CB3BFB6" w14:textId="77777777" w:rsidR="009E2B77" w:rsidRPr="007D770B" w:rsidRDefault="009E2B77" w:rsidP="00AE698A">
      <w:pPr>
        <w:numPr>
          <w:ilvl w:val="0"/>
          <w:numId w:val="59"/>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 xml:space="preserve">for inventory transactions: provision for impairment in the financial statements and write-off for </w:t>
      </w:r>
      <w:r w:rsidR="00D1190A" w:rsidRPr="007D770B">
        <w:rPr>
          <w:rFonts w:ascii="Times New Roman" w:hAnsi="Times New Roman"/>
          <w:lang w:val="en-US"/>
        </w:rPr>
        <w:t xml:space="preserve">tax accounting </w:t>
      </w:r>
      <w:r w:rsidRPr="007D770B">
        <w:rPr>
          <w:rFonts w:ascii="Times New Roman" w:hAnsi="Times New Roman"/>
          <w:lang w:val="en-US"/>
        </w:rPr>
        <w:t xml:space="preserve">purposes </w:t>
      </w:r>
      <w:r w:rsidR="00D1190A" w:rsidRPr="007D770B">
        <w:rPr>
          <w:rFonts w:ascii="Times New Roman" w:hAnsi="Times New Roman"/>
          <w:lang w:val="en-US"/>
        </w:rPr>
        <w:t>in future periods</w:t>
      </w:r>
      <w:r w:rsidR="00E04E9F" w:rsidRPr="007D770B">
        <w:rPr>
          <w:rFonts w:ascii="Times New Roman" w:hAnsi="Times New Roman"/>
          <w:lang w:val="en-US"/>
        </w:rPr>
        <w:t>;</w:t>
      </w:r>
    </w:p>
    <w:p w14:paraId="06CE69A2" w14:textId="77777777" w:rsidR="00E04E9F" w:rsidRPr="007D770B" w:rsidRDefault="00E04E9F" w:rsidP="00AE698A">
      <w:pPr>
        <w:numPr>
          <w:ilvl w:val="0"/>
          <w:numId w:val="59"/>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 xml:space="preserve">for transactions recorded on an accrual basis for administrative and business activities. </w:t>
      </w:r>
    </w:p>
    <w:p w14:paraId="37B72E64" w14:textId="77777777" w:rsidR="009E2B77" w:rsidRPr="007D770B" w:rsidRDefault="009E2B77" w:rsidP="00F96B17">
      <w:pPr>
        <w:autoSpaceDE w:val="0"/>
        <w:autoSpaceDN w:val="0"/>
        <w:adjustRightInd w:val="0"/>
        <w:spacing w:before="240" w:line="240" w:lineRule="auto"/>
        <w:ind w:left="0"/>
        <w:rPr>
          <w:rFonts w:ascii="Times New Roman" w:hAnsi="Times New Roman"/>
          <w:bCs/>
          <w:lang w:val="en-US"/>
        </w:rPr>
      </w:pPr>
      <w:r w:rsidRPr="007D770B">
        <w:rPr>
          <w:rFonts w:ascii="Times New Roman" w:hAnsi="Times New Roman"/>
          <w:bCs/>
          <w:lang w:val="en-US"/>
        </w:rPr>
        <w:lastRenderedPageBreak/>
        <w:t>A deferred tax asset should be recognized for all deductible temporary differences for which it is probable that taxable profit will be available in future periods, unless the deferred tax asset arises from:</w:t>
      </w:r>
    </w:p>
    <w:p w14:paraId="097B7132" w14:textId="77777777" w:rsidR="009E2B77" w:rsidRPr="007D770B" w:rsidRDefault="009E2B77" w:rsidP="00AE698A">
      <w:pPr>
        <w:numPr>
          <w:ilvl w:val="0"/>
          <w:numId w:val="60"/>
        </w:numPr>
        <w:autoSpaceDE w:val="0"/>
        <w:autoSpaceDN w:val="0"/>
        <w:adjustRightInd w:val="0"/>
        <w:spacing w:before="240" w:line="240" w:lineRule="auto"/>
        <w:rPr>
          <w:rFonts w:ascii="Times New Roman" w:hAnsi="Times New Roman"/>
          <w:bCs/>
          <w:lang w:val="en-US"/>
        </w:rPr>
      </w:pPr>
      <w:r w:rsidRPr="007D770B">
        <w:rPr>
          <w:rFonts w:ascii="Times New Roman" w:hAnsi="Times New Roman"/>
          <w:bCs/>
          <w:lang w:val="en-US"/>
        </w:rPr>
        <w:t>The initial recognition of an asset or liability in connection with a transaction that:</w:t>
      </w:r>
    </w:p>
    <w:p w14:paraId="5FB24DD9" w14:textId="77777777" w:rsidR="009E2B77" w:rsidRPr="007D770B" w:rsidRDefault="009E2B77" w:rsidP="00AE698A">
      <w:pPr>
        <w:numPr>
          <w:ilvl w:val="0"/>
          <w:numId w:val="61"/>
        </w:numPr>
        <w:autoSpaceDE w:val="0"/>
        <w:autoSpaceDN w:val="0"/>
        <w:adjustRightInd w:val="0"/>
        <w:spacing w:before="240" w:line="240" w:lineRule="auto"/>
        <w:ind w:left="1080"/>
        <w:rPr>
          <w:rFonts w:ascii="Times New Roman" w:hAnsi="Times New Roman"/>
          <w:bCs/>
          <w:lang w:val="en-US"/>
        </w:rPr>
      </w:pPr>
      <w:r w:rsidRPr="007D770B">
        <w:rPr>
          <w:rFonts w:ascii="Times New Roman" w:hAnsi="Times New Roman"/>
          <w:bCs/>
          <w:lang w:val="en-US"/>
        </w:rPr>
        <w:t xml:space="preserve">is not a business combination; and </w:t>
      </w:r>
    </w:p>
    <w:p w14:paraId="566170FF" w14:textId="77777777" w:rsidR="009E2B77" w:rsidRPr="007D770B" w:rsidRDefault="009E2B77" w:rsidP="00AE698A">
      <w:pPr>
        <w:numPr>
          <w:ilvl w:val="0"/>
          <w:numId w:val="61"/>
        </w:numPr>
        <w:autoSpaceDE w:val="0"/>
        <w:autoSpaceDN w:val="0"/>
        <w:adjustRightInd w:val="0"/>
        <w:spacing w:before="240" w:line="240" w:lineRule="auto"/>
        <w:ind w:left="1080"/>
        <w:rPr>
          <w:rFonts w:ascii="Times New Roman" w:hAnsi="Times New Roman"/>
          <w:bCs/>
          <w:lang w:val="en-US"/>
        </w:rPr>
      </w:pPr>
      <w:r w:rsidRPr="007D770B">
        <w:rPr>
          <w:rFonts w:ascii="Times New Roman" w:hAnsi="Times New Roman"/>
          <w:bCs/>
          <w:lang w:val="en-US"/>
        </w:rPr>
        <w:t>at the time of the transaction affects neither accounting nor taxable profit (tax loss).</w:t>
      </w:r>
    </w:p>
    <w:p w14:paraId="7338C771" w14:textId="77777777" w:rsidR="009E2B77" w:rsidRPr="007D770B" w:rsidRDefault="009E2B77" w:rsidP="00F96B17">
      <w:pPr>
        <w:autoSpaceDE w:val="0"/>
        <w:autoSpaceDN w:val="0"/>
        <w:adjustRightInd w:val="0"/>
        <w:spacing w:before="240" w:line="240" w:lineRule="auto"/>
        <w:ind w:left="0"/>
        <w:rPr>
          <w:rFonts w:ascii="Times New Roman" w:hAnsi="Times New Roman"/>
          <w:b/>
          <w:bCs/>
          <w:lang w:val="en-US"/>
        </w:rPr>
      </w:pPr>
      <w:r w:rsidRPr="007D770B">
        <w:rPr>
          <w:rFonts w:ascii="Times New Roman" w:hAnsi="Times New Roman"/>
          <w:b/>
          <w:bCs/>
          <w:lang w:val="en-US"/>
        </w:rPr>
        <w:t>Determination of tax rates</w:t>
      </w:r>
    </w:p>
    <w:p w14:paraId="64482DF7"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 xml:space="preserve">If the tax regulations change, deferred income tax should be recalculated </w:t>
      </w:r>
      <w:r w:rsidR="00D1190A" w:rsidRPr="007D770B">
        <w:rPr>
          <w:rFonts w:ascii="Times New Roman" w:hAnsi="Times New Roman"/>
          <w:lang w:val="en-US"/>
        </w:rPr>
        <w:t>at the end of the reporting period.</w:t>
      </w:r>
      <w:r w:rsidRPr="007D770B">
        <w:rPr>
          <w:rFonts w:ascii="Times New Roman" w:hAnsi="Times New Roman"/>
          <w:lang w:val="en-US"/>
        </w:rPr>
        <w:t xml:space="preserve"> If the taxation rules change, the deferred income tax balance at the end of the period is calculated using the new rules. These changes are a revision of accounting estimates and are recognized prospectively.</w:t>
      </w:r>
    </w:p>
    <w:p w14:paraId="40183692"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Deferred income tax assets and liabilities are measured at the tax rates that are expected to apply to the period when the asset is realized or the liability is settled, based on tax rates (and tax laws) that have been enacted or substantively enacted at the reporting date.</w:t>
      </w:r>
    </w:p>
    <w:p w14:paraId="7BF250B5"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Where different tax rates apply to different types and amounts of taxable income, a weighted average rate is used.</w:t>
      </w:r>
    </w:p>
    <w:p w14:paraId="1A0F2F82" w14:textId="1911004C" w:rsidR="009E2B77" w:rsidRPr="007D770B" w:rsidRDefault="00F6046E" w:rsidP="00E61D21">
      <w:pPr>
        <w:pStyle w:val="3"/>
        <w:rPr>
          <w:lang w:val="en-US"/>
        </w:rPr>
      </w:pPr>
      <w:bookmarkStart w:id="318" w:name="_Toc248647000"/>
      <w:bookmarkStart w:id="319" w:name="_Toc255041579"/>
      <w:bookmarkStart w:id="320" w:name="_Toc168502097"/>
      <w:r w:rsidRPr="007D770B">
        <w:rPr>
          <w:lang w:val="en-US"/>
        </w:rPr>
        <w:t>13</w:t>
      </w:r>
      <w:r w:rsidR="009E2B77" w:rsidRPr="007D770B">
        <w:rPr>
          <w:lang w:val="en-US"/>
        </w:rPr>
        <w:t>.4 Disclosure of information</w:t>
      </w:r>
      <w:bookmarkEnd w:id="318"/>
      <w:bookmarkEnd w:id="319"/>
      <w:bookmarkEnd w:id="320"/>
    </w:p>
    <w:p w14:paraId="539E5C87" w14:textId="345CCA4B"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 xml:space="preserve">The main components of </w:t>
      </w:r>
      <w:r w:rsidR="00F95963" w:rsidRPr="007D770B">
        <w:rPr>
          <w:rFonts w:ascii="Times New Roman" w:hAnsi="Times New Roman"/>
          <w:lang w:val="en-US"/>
        </w:rPr>
        <w:t xml:space="preserve">income </w:t>
      </w:r>
      <w:r w:rsidRPr="007D770B">
        <w:rPr>
          <w:rFonts w:ascii="Times New Roman" w:hAnsi="Times New Roman"/>
          <w:lang w:val="en-US"/>
        </w:rPr>
        <w:t xml:space="preserve">tax expense (income) </w:t>
      </w:r>
      <w:r w:rsidR="00F95963" w:rsidRPr="007D770B">
        <w:rPr>
          <w:rFonts w:ascii="Times New Roman" w:hAnsi="Times New Roman"/>
          <w:lang w:val="en-US"/>
        </w:rPr>
        <w:t xml:space="preserve">should be </w:t>
      </w:r>
      <w:r w:rsidRPr="007D770B">
        <w:rPr>
          <w:rFonts w:ascii="Times New Roman" w:hAnsi="Times New Roman"/>
          <w:lang w:val="en-US"/>
        </w:rPr>
        <w:t>disclosed separately.</w:t>
      </w:r>
    </w:p>
    <w:p w14:paraId="7D5079C3"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Components of income tax expense (income) may include:</w:t>
      </w:r>
    </w:p>
    <w:p w14:paraId="135C1C10" w14:textId="77777777" w:rsidR="009E2B77" w:rsidRPr="007D770B" w:rsidRDefault="009E2B77" w:rsidP="00AE698A">
      <w:pPr>
        <w:numPr>
          <w:ilvl w:val="0"/>
          <w:numId w:val="62"/>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current corporate income tax expense (income);</w:t>
      </w:r>
    </w:p>
    <w:p w14:paraId="4FAD4CC8" w14:textId="77777777" w:rsidR="009E2B77" w:rsidRPr="007D770B" w:rsidRDefault="009E2B77" w:rsidP="00AE698A">
      <w:pPr>
        <w:numPr>
          <w:ilvl w:val="0"/>
          <w:numId w:val="62"/>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any adjustments to current corporate income tax of prior periods recognized in the reporting period;</w:t>
      </w:r>
    </w:p>
    <w:p w14:paraId="46676C9F" w14:textId="77777777" w:rsidR="009E2B77" w:rsidRPr="007D770B" w:rsidRDefault="009E2B77" w:rsidP="00AE698A">
      <w:pPr>
        <w:numPr>
          <w:ilvl w:val="0"/>
          <w:numId w:val="62"/>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the amount of deferred income tax expense (income) related to the origination and reversal of temporary differences;</w:t>
      </w:r>
    </w:p>
    <w:p w14:paraId="08BEF30C" w14:textId="77777777" w:rsidR="009E2B77" w:rsidRPr="007D770B" w:rsidRDefault="009E2B77" w:rsidP="00AE698A">
      <w:pPr>
        <w:numPr>
          <w:ilvl w:val="0"/>
          <w:numId w:val="62"/>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the amount of deferred income tax expense (income) related to changes in tax rates or the introduction of new taxes;</w:t>
      </w:r>
    </w:p>
    <w:p w14:paraId="207EBA53" w14:textId="77777777" w:rsidR="009E2B77" w:rsidRPr="007D770B" w:rsidRDefault="009E2B77" w:rsidP="00AE698A">
      <w:pPr>
        <w:numPr>
          <w:ilvl w:val="0"/>
          <w:numId w:val="62"/>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the amount of benefit arising from a previously unrecognized tax loss, tax credit or prior period temporary difference that is used to reduce current corporate income tax expense;</w:t>
      </w:r>
    </w:p>
    <w:p w14:paraId="38BEC703" w14:textId="77777777" w:rsidR="009E2B77" w:rsidRPr="007D770B" w:rsidRDefault="009E2B77" w:rsidP="00AE698A">
      <w:pPr>
        <w:numPr>
          <w:ilvl w:val="0"/>
          <w:numId w:val="62"/>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the amount of benefit arising from a previously unrecognized tax loss, tax credit or prior period temporary difference that is used to reduce deferred income tax expense;</w:t>
      </w:r>
    </w:p>
    <w:p w14:paraId="09E59529" w14:textId="77777777" w:rsidR="009E2B77" w:rsidRPr="007D770B" w:rsidRDefault="009E2B77" w:rsidP="00AE698A">
      <w:pPr>
        <w:numPr>
          <w:ilvl w:val="0"/>
          <w:numId w:val="62"/>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deferred income tax expense arising from the write-off or reversal of a previous write-off of a deferred tax asset;</w:t>
      </w:r>
    </w:p>
    <w:p w14:paraId="4797FBEB" w14:textId="034424B6" w:rsidR="009E2B77" w:rsidRPr="007D770B" w:rsidRDefault="009E2B77" w:rsidP="00AE698A">
      <w:pPr>
        <w:numPr>
          <w:ilvl w:val="0"/>
          <w:numId w:val="62"/>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the amount of income tax expense (income) attributable to such changes in accounting policies and errors that are included in profit or loss in accordance with Chapter 1</w:t>
      </w:r>
      <w:r w:rsidR="00802136" w:rsidRPr="007D770B">
        <w:rPr>
          <w:rFonts w:ascii="Times New Roman" w:hAnsi="Times New Roman"/>
          <w:lang w:val="en-US"/>
        </w:rPr>
        <w:t>,</w:t>
      </w:r>
      <w:r w:rsidRPr="007D770B">
        <w:rPr>
          <w:rFonts w:ascii="Times New Roman" w:hAnsi="Times New Roman"/>
          <w:lang w:val="en-US"/>
        </w:rPr>
        <w:t xml:space="preserve"> Section 2, Changes in Accounting Policies, Estimates and Errors (IAS 8)</w:t>
      </w:r>
      <w:r w:rsidR="00802136" w:rsidRPr="007D770B">
        <w:rPr>
          <w:rFonts w:ascii="Times New Roman" w:hAnsi="Times New Roman"/>
          <w:lang w:val="en-US"/>
        </w:rPr>
        <w:t xml:space="preserve">, </w:t>
      </w:r>
      <w:r w:rsidRPr="007D770B">
        <w:rPr>
          <w:rFonts w:ascii="Times New Roman" w:hAnsi="Times New Roman"/>
          <w:lang w:val="en-US"/>
        </w:rPr>
        <w:t>because their retrospective accounting is not permitted.</w:t>
      </w:r>
    </w:p>
    <w:p w14:paraId="2CA83ECA"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The following information should also be disclosed separately:</w:t>
      </w:r>
    </w:p>
    <w:p w14:paraId="4D7D8BBF" w14:textId="77777777" w:rsidR="009E2B77" w:rsidRPr="007D770B" w:rsidRDefault="009E2B77" w:rsidP="00AE698A">
      <w:pPr>
        <w:numPr>
          <w:ilvl w:val="0"/>
          <w:numId w:val="63"/>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Income tax relating to items that are debited or credited directly to the capital account;</w:t>
      </w:r>
    </w:p>
    <w:p w14:paraId="6466F959" w14:textId="77777777" w:rsidR="009E2B77" w:rsidRPr="007D770B" w:rsidRDefault="009E2B77" w:rsidP="00AE698A">
      <w:pPr>
        <w:numPr>
          <w:ilvl w:val="0"/>
          <w:numId w:val="63"/>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income tax relating to each component of other comprehensive income;</w:t>
      </w:r>
    </w:p>
    <w:p w14:paraId="5D78B8CD" w14:textId="70FBFF47" w:rsidR="009E2B77" w:rsidRPr="007D770B" w:rsidRDefault="009E2B77" w:rsidP="00AE698A">
      <w:pPr>
        <w:numPr>
          <w:ilvl w:val="0"/>
          <w:numId w:val="63"/>
        </w:numPr>
        <w:tabs>
          <w:tab w:val="num" w:pos="720"/>
        </w:tabs>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 xml:space="preserve">an explanation of the relationship between income </w:t>
      </w:r>
      <w:r w:rsidR="00F95963" w:rsidRPr="007D770B">
        <w:rPr>
          <w:rFonts w:ascii="Times New Roman" w:hAnsi="Times New Roman"/>
          <w:lang w:val="en-US"/>
        </w:rPr>
        <w:t xml:space="preserve">tax </w:t>
      </w:r>
      <w:r w:rsidRPr="007D770B">
        <w:rPr>
          <w:rFonts w:ascii="Times New Roman" w:hAnsi="Times New Roman"/>
          <w:lang w:val="en-US"/>
        </w:rPr>
        <w:t xml:space="preserve">expense (income) </w:t>
      </w:r>
      <w:r w:rsidR="00F95963" w:rsidRPr="007D770B">
        <w:rPr>
          <w:rFonts w:ascii="Times New Roman" w:hAnsi="Times New Roman"/>
          <w:lang w:val="en-US"/>
        </w:rPr>
        <w:t xml:space="preserve">and </w:t>
      </w:r>
      <w:r w:rsidRPr="007D770B">
        <w:rPr>
          <w:rFonts w:ascii="Times New Roman" w:hAnsi="Times New Roman"/>
          <w:lang w:val="en-US"/>
        </w:rPr>
        <w:t xml:space="preserve">accounting profit in the following form: a numerical reconciliation between income tax expense (income) </w:t>
      </w:r>
      <w:r w:rsidR="00F95963" w:rsidRPr="007D770B">
        <w:rPr>
          <w:rFonts w:ascii="Times New Roman" w:hAnsi="Times New Roman"/>
          <w:lang w:val="en-US"/>
        </w:rPr>
        <w:t xml:space="preserve">and the </w:t>
      </w:r>
      <w:r w:rsidRPr="007D770B">
        <w:rPr>
          <w:rFonts w:ascii="Times New Roman" w:hAnsi="Times New Roman"/>
          <w:lang w:val="en-US"/>
        </w:rPr>
        <w:t>result of multiplying the profit before income tax by the applicable tax rate(s), also disclosing the method by which the applicable tax rate(s) was calculated;</w:t>
      </w:r>
    </w:p>
    <w:p w14:paraId="7B5678C5" w14:textId="77777777" w:rsidR="009E2B77" w:rsidRPr="007D770B" w:rsidRDefault="009E2B77" w:rsidP="00AE698A">
      <w:pPr>
        <w:numPr>
          <w:ilvl w:val="0"/>
          <w:numId w:val="63"/>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an explanation of changes in the applicable tax rate(s) compared to the previous reporting period;</w:t>
      </w:r>
    </w:p>
    <w:p w14:paraId="3F6417C6" w14:textId="77777777" w:rsidR="009E2B77" w:rsidRPr="007D770B" w:rsidRDefault="009E2B77" w:rsidP="00AE698A">
      <w:pPr>
        <w:numPr>
          <w:ilvl w:val="0"/>
          <w:numId w:val="63"/>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the amount (and, if any, the expiration date) of deductible temporary differences, unused tax losses for which no deferred tax asset is recognized in the statement of financial position;</w:t>
      </w:r>
    </w:p>
    <w:p w14:paraId="7DF0EAA8" w14:textId="77777777" w:rsidR="009E2B77" w:rsidRPr="007D770B" w:rsidRDefault="009E2B77" w:rsidP="00AE698A">
      <w:pPr>
        <w:numPr>
          <w:ilvl w:val="0"/>
          <w:numId w:val="63"/>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lastRenderedPageBreak/>
        <w:t>in respect of each type of temporary difference and each type of unused tax loss: (i) the amount of deferred tax assets and liabilities recognized in the statement of financial position for each period presented, and (ii) the amount of deferred income tax income or expense recognized in profit or loss, if it is not evident from the changes in the amounts recognized in the statement of financial position;</w:t>
      </w:r>
    </w:p>
    <w:p w14:paraId="1E67262B" w14:textId="77777777" w:rsidR="009E2B77" w:rsidRPr="007D770B" w:rsidRDefault="009E2B77" w:rsidP="00AE698A">
      <w:pPr>
        <w:numPr>
          <w:ilvl w:val="0"/>
          <w:numId w:val="63"/>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the amount of tax consequences of dividends proposed or declared before the date of approval of the financial statements but not recognized as a liability in the financial statements;</w:t>
      </w:r>
    </w:p>
    <w:p w14:paraId="76301244" w14:textId="77777777" w:rsidR="009E2B77" w:rsidRPr="007D770B" w:rsidRDefault="009E2B77" w:rsidP="00AE698A">
      <w:pPr>
        <w:numPr>
          <w:ilvl w:val="0"/>
          <w:numId w:val="63"/>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in respect of discontinued operations, the tax expense associated with: gain or loss on discontinued operations; and gain or loss from ordinary activities of the discontinued operation for the period, together with the corresponding amounts for each prior period presented.</w:t>
      </w:r>
    </w:p>
    <w:p w14:paraId="2D39A1F5" w14:textId="77777777" w:rsidR="009E2B77" w:rsidRPr="007D770B" w:rsidRDefault="00F9744B"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 xml:space="preserve">The Bank </w:t>
      </w:r>
      <w:r w:rsidR="009E2B77" w:rsidRPr="007D770B">
        <w:rPr>
          <w:rFonts w:ascii="Times New Roman" w:hAnsi="Times New Roman"/>
          <w:lang w:val="en-US"/>
        </w:rPr>
        <w:t xml:space="preserve">also discloses the amount of deferred tax asset and the nature of the basis on which it was recognized if: </w:t>
      </w:r>
    </w:p>
    <w:p w14:paraId="1706F32C" w14:textId="77777777" w:rsidR="009E2B77" w:rsidRPr="007D770B" w:rsidRDefault="009E2B77" w:rsidP="00AE698A">
      <w:pPr>
        <w:numPr>
          <w:ilvl w:val="0"/>
          <w:numId w:val="64"/>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 xml:space="preserve">the utilization of the deferred tax asset is dependent on future taxable income in excess of the income arising from the reversal of existing taxable temporary differences; and </w:t>
      </w:r>
    </w:p>
    <w:p w14:paraId="00AB972F" w14:textId="77777777" w:rsidR="009E2B77" w:rsidRPr="007D770B" w:rsidRDefault="00503937" w:rsidP="00AE698A">
      <w:pPr>
        <w:numPr>
          <w:ilvl w:val="0"/>
          <w:numId w:val="64"/>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 xml:space="preserve">The </w:t>
      </w:r>
      <w:r w:rsidR="00F9744B" w:rsidRPr="007D770B">
        <w:rPr>
          <w:rFonts w:ascii="Times New Roman" w:hAnsi="Times New Roman"/>
          <w:lang w:val="en-US"/>
        </w:rPr>
        <w:t xml:space="preserve">Bank </w:t>
      </w:r>
      <w:r w:rsidRPr="007D770B">
        <w:rPr>
          <w:rFonts w:ascii="Times New Roman" w:hAnsi="Times New Roman"/>
          <w:lang w:val="en-US"/>
        </w:rPr>
        <w:t xml:space="preserve">incurred a </w:t>
      </w:r>
      <w:r w:rsidR="009E2B77" w:rsidRPr="007D770B">
        <w:rPr>
          <w:rFonts w:ascii="Times New Roman" w:hAnsi="Times New Roman"/>
          <w:lang w:val="en-US"/>
        </w:rPr>
        <w:t>loss in either the current or prior period.</w:t>
      </w:r>
    </w:p>
    <w:p w14:paraId="51D3A264" w14:textId="5666BF23" w:rsidR="006B0A56"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 xml:space="preserve">For deferred tax assets and deferred tax liabilities recognized in the balance sheet, the </w:t>
      </w:r>
      <w:r w:rsidR="00F9744B" w:rsidRPr="007D770B">
        <w:rPr>
          <w:rFonts w:ascii="Times New Roman" w:hAnsi="Times New Roman"/>
          <w:lang w:val="en-US"/>
        </w:rPr>
        <w:t xml:space="preserve">Bank </w:t>
      </w:r>
      <w:r w:rsidRPr="007D770B">
        <w:rPr>
          <w:rFonts w:ascii="Times New Roman" w:hAnsi="Times New Roman"/>
          <w:lang w:val="en-US"/>
        </w:rPr>
        <w:t xml:space="preserve">discloses the amount of deferred tax assets and deferred tax liabilities expected to be recovered or settled within </w:t>
      </w:r>
      <w:r w:rsidR="00AA40DF" w:rsidRPr="007D770B">
        <w:rPr>
          <w:rFonts w:ascii="Times New Roman" w:hAnsi="Times New Roman"/>
          <w:lang w:val="en-US"/>
        </w:rPr>
        <w:t xml:space="preserve">twelve </w:t>
      </w:r>
      <w:r w:rsidRPr="007D770B">
        <w:rPr>
          <w:rFonts w:ascii="Times New Roman" w:hAnsi="Times New Roman"/>
          <w:lang w:val="en-US"/>
        </w:rPr>
        <w:t xml:space="preserve">months from the reporting date separately from the amount of deferred tax assets and deferred tax liabilities expected to be recovered or settled after </w:t>
      </w:r>
      <w:r w:rsidR="00AA40DF" w:rsidRPr="007D770B">
        <w:rPr>
          <w:rFonts w:ascii="Times New Roman" w:hAnsi="Times New Roman"/>
          <w:lang w:val="en-US"/>
        </w:rPr>
        <w:t xml:space="preserve">twelve </w:t>
      </w:r>
      <w:r w:rsidRPr="007D770B">
        <w:rPr>
          <w:rFonts w:ascii="Times New Roman" w:hAnsi="Times New Roman"/>
          <w:lang w:val="en-US"/>
        </w:rPr>
        <w:t>months from the reporting date.</w:t>
      </w:r>
    </w:p>
    <w:p w14:paraId="3F09B8A3" w14:textId="77777777" w:rsidR="006B0A56" w:rsidRPr="007D770B" w:rsidRDefault="006B0A56" w:rsidP="00F96B17">
      <w:pPr>
        <w:autoSpaceDE w:val="0"/>
        <w:autoSpaceDN w:val="0"/>
        <w:adjustRightInd w:val="0"/>
        <w:spacing w:before="240" w:line="240" w:lineRule="auto"/>
        <w:ind w:left="0"/>
        <w:rPr>
          <w:rFonts w:ascii="Times New Roman" w:hAnsi="Times New Roman"/>
          <w:lang w:val="en-US"/>
        </w:rPr>
        <w:sectPr w:rsidR="006B0A56" w:rsidRPr="007D770B" w:rsidSect="0090525C">
          <w:pgSz w:w="11906" w:h="16838" w:code="9"/>
          <w:pgMar w:top="1270" w:right="680" w:bottom="902" w:left="1134" w:header="510" w:footer="403" w:gutter="0"/>
          <w:cols w:space="708"/>
          <w:titlePg/>
          <w:docGrid w:linePitch="360"/>
        </w:sectPr>
      </w:pPr>
    </w:p>
    <w:p w14:paraId="72FD1024" w14:textId="57239BEF" w:rsidR="009E2B77" w:rsidRPr="007D770B" w:rsidRDefault="00AA40DF" w:rsidP="008451F4">
      <w:pPr>
        <w:pStyle w:val="2"/>
        <w:pageBreakBefore/>
        <w:spacing w:before="240"/>
        <w:jc w:val="both"/>
        <w:rPr>
          <w:rFonts w:ascii="Times New Roman" w:hAnsi="Times New Roman"/>
          <w:szCs w:val="20"/>
          <w:lang w:val="en-US"/>
        </w:rPr>
      </w:pPr>
      <w:bookmarkStart w:id="321" w:name="_Toc270001490"/>
      <w:bookmarkStart w:id="322" w:name="_Toc168502098"/>
      <w:r w:rsidRPr="007D770B">
        <w:rPr>
          <w:rFonts w:ascii="Times New Roman" w:hAnsi="Times New Roman"/>
          <w:szCs w:val="20"/>
          <w:lang w:val="en-US"/>
        </w:rPr>
        <w:lastRenderedPageBreak/>
        <w:t xml:space="preserve">Section </w:t>
      </w:r>
      <w:r w:rsidR="00F6046E" w:rsidRPr="007D770B">
        <w:rPr>
          <w:rFonts w:ascii="Times New Roman" w:hAnsi="Times New Roman"/>
          <w:szCs w:val="20"/>
          <w:lang w:val="en-US"/>
        </w:rPr>
        <w:t>14</w:t>
      </w:r>
      <w:r w:rsidR="009E2B77" w:rsidRPr="007D770B">
        <w:rPr>
          <w:rFonts w:ascii="Times New Roman" w:hAnsi="Times New Roman"/>
          <w:szCs w:val="20"/>
          <w:lang w:val="en-US"/>
        </w:rPr>
        <w:t>. Capital</w:t>
      </w:r>
      <w:bookmarkEnd w:id="321"/>
      <w:bookmarkEnd w:id="322"/>
    </w:p>
    <w:p w14:paraId="7161277E" w14:textId="30D71508" w:rsidR="009E2B77" w:rsidRPr="007D770B" w:rsidRDefault="00F6046E" w:rsidP="00E61D21">
      <w:pPr>
        <w:pStyle w:val="3"/>
        <w:rPr>
          <w:lang w:val="en-US"/>
        </w:rPr>
      </w:pPr>
      <w:bookmarkStart w:id="323" w:name="_Toc270001491"/>
      <w:bookmarkStart w:id="324" w:name="_Toc168502099"/>
      <w:r w:rsidRPr="007D770B">
        <w:rPr>
          <w:lang w:val="en-US"/>
        </w:rPr>
        <w:t>14</w:t>
      </w:r>
      <w:r w:rsidR="009E2B77" w:rsidRPr="007D770B">
        <w:rPr>
          <w:lang w:val="en-US"/>
        </w:rPr>
        <w:t>.1 Definitions</w:t>
      </w:r>
      <w:bookmarkEnd w:id="323"/>
      <w:bookmarkEnd w:id="324"/>
    </w:p>
    <w:p w14:paraId="3734F4B3" w14:textId="77777777" w:rsidR="009E2B77" w:rsidRPr="007D770B" w:rsidRDefault="009E2B77" w:rsidP="00F96B17">
      <w:pPr>
        <w:pStyle w:val="1"/>
        <w:numPr>
          <w:ilvl w:val="0"/>
          <w:numId w:val="0"/>
        </w:numPr>
        <w:spacing w:before="240" w:after="240"/>
        <w:rPr>
          <w:sz w:val="20"/>
          <w:szCs w:val="20"/>
          <w:lang w:val="en-US"/>
        </w:rPr>
      </w:pPr>
      <w:r w:rsidRPr="007D770B">
        <w:rPr>
          <w:b/>
          <w:sz w:val="20"/>
          <w:szCs w:val="20"/>
          <w:lang w:val="en-US"/>
        </w:rPr>
        <w:t xml:space="preserve">Equity </w:t>
      </w:r>
      <w:r w:rsidRPr="007D770B">
        <w:rPr>
          <w:sz w:val="20"/>
          <w:szCs w:val="20"/>
          <w:lang w:val="en-US"/>
        </w:rPr>
        <w:t xml:space="preserve">is the proportion of the </w:t>
      </w:r>
      <w:r w:rsidR="00F9744B" w:rsidRPr="007D770B">
        <w:rPr>
          <w:sz w:val="20"/>
          <w:szCs w:val="20"/>
          <w:lang w:val="en-US"/>
        </w:rPr>
        <w:t xml:space="preserve">Bank's </w:t>
      </w:r>
      <w:r w:rsidRPr="007D770B">
        <w:rPr>
          <w:sz w:val="20"/>
          <w:szCs w:val="20"/>
          <w:lang w:val="en-US"/>
        </w:rPr>
        <w:t>assets remaining after deducting all liabilities.</w:t>
      </w:r>
    </w:p>
    <w:p w14:paraId="059C4E79" w14:textId="0F233942" w:rsidR="009E2B77" w:rsidRPr="007D770B" w:rsidRDefault="00F6046E" w:rsidP="00E61D21">
      <w:pPr>
        <w:pStyle w:val="3"/>
        <w:rPr>
          <w:lang w:val="en-US"/>
        </w:rPr>
      </w:pPr>
      <w:bookmarkStart w:id="325" w:name="_Toc270001492"/>
      <w:bookmarkStart w:id="326" w:name="_Toc168502100"/>
      <w:r w:rsidRPr="007D770B">
        <w:rPr>
          <w:lang w:val="en-US"/>
        </w:rPr>
        <w:t>14</w:t>
      </w:r>
      <w:r w:rsidR="009E2B77" w:rsidRPr="007D770B">
        <w:rPr>
          <w:lang w:val="en-US"/>
        </w:rPr>
        <w:t>.2. Classification</w:t>
      </w:r>
      <w:bookmarkEnd w:id="325"/>
      <w:r w:rsidR="009E2B77" w:rsidRPr="007D770B">
        <w:rPr>
          <w:lang w:val="en-US"/>
        </w:rPr>
        <w:t xml:space="preserve"> and accounting principles</w:t>
      </w:r>
      <w:bookmarkEnd w:id="326"/>
    </w:p>
    <w:p w14:paraId="587B2A75" w14:textId="77777777" w:rsidR="009E2B77" w:rsidRPr="007D770B" w:rsidRDefault="009E2B77" w:rsidP="00F96B17">
      <w:pPr>
        <w:pStyle w:val="1"/>
        <w:numPr>
          <w:ilvl w:val="0"/>
          <w:numId w:val="0"/>
        </w:numPr>
        <w:spacing w:before="240" w:after="240"/>
        <w:rPr>
          <w:sz w:val="20"/>
          <w:szCs w:val="20"/>
          <w:lang w:val="en-US"/>
        </w:rPr>
      </w:pPr>
      <w:r w:rsidRPr="007D770B">
        <w:rPr>
          <w:sz w:val="20"/>
          <w:szCs w:val="20"/>
          <w:lang w:val="en-US"/>
        </w:rPr>
        <w:t>Equity in the statement of financial position is classified as follows:</w:t>
      </w:r>
    </w:p>
    <w:p w14:paraId="0818B4AE" w14:textId="77777777" w:rsidR="009E2B77" w:rsidRPr="007D770B" w:rsidRDefault="00BB421C" w:rsidP="00AE698A">
      <w:pPr>
        <w:pStyle w:val="21"/>
        <w:numPr>
          <w:ilvl w:val="0"/>
          <w:numId w:val="65"/>
        </w:numPr>
        <w:spacing w:before="240" w:after="240"/>
        <w:rPr>
          <w:sz w:val="20"/>
          <w:szCs w:val="20"/>
          <w:lang w:val="en-US"/>
        </w:rPr>
      </w:pPr>
      <w:r w:rsidRPr="007D770B">
        <w:rPr>
          <w:sz w:val="20"/>
          <w:szCs w:val="20"/>
          <w:lang w:val="en-US"/>
        </w:rPr>
        <w:t xml:space="preserve">share capital </w:t>
      </w:r>
      <w:r w:rsidR="009E2B77" w:rsidRPr="007D770B">
        <w:rPr>
          <w:sz w:val="20"/>
          <w:szCs w:val="20"/>
          <w:lang w:val="en-US"/>
        </w:rPr>
        <w:t xml:space="preserve">(common and preferred </w:t>
      </w:r>
      <w:r w:rsidR="002D4EA3" w:rsidRPr="007D770B">
        <w:rPr>
          <w:sz w:val="20"/>
          <w:szCs w:val="20"/>
          <w:lang w:val="en-US"/>
        </w:rPr>
        <w:t>shares</w:t>
      </w:r>
      <w:r w:rsidR="009E2B77" w:rsidRPr="007D770B">
        <w:rPr>
          <w:sz w:val="20"/>
          <w:szCs w:val="20"/>
          <w:lang w:val="en-US"/>
        </w:rPr>
        <w:t>);</w:t>
      </w:r>
    </w:p>
    <w:p w14:paraId="36D83973" w14:textId="77777777" w:rsidR="00BB421C" w:rsidRPr="002D4EA3" w:rsidRDefault="00BB421C" w:rsidP="00AE698A">
      <w:pPr>
        <w:pStyle w:val="21"/>
        <w:numPr>
          <w:ilvl w:val="0"/>
          <w:numId w:val="65"/>
        </w:numPr>
        <w:spacing w:before="240" w:after="240"/>
        <w:rPr>
          <w:sz w:val="20"/>
          <w:szCs w:val="20"/>
        </w:rPr>
      </w:pPr>
      <w:r w:rsidRPr="002D4EA3">
        <w:rPr>
          <w:sz w:val="20"/>
          <w:szCs w:val="20"/>
        </w:rPr>
        <w:t>share premium;</w:t>
      </w:r>
    </w:p>
    <w:p w14:paraId="2020BA22" w14:textId="77777777" w:rsidR="00BB421C" w:rsidRPr="007D770B" w:rsidRDefault="00BB421C" w:rsidP="00AE698A">
      <w:pPr>
        <w:pStyle w:val="21"/>
        <w:numPr>
          <w:ilvl w:val="0"/>
          <w:numId w:val="65"/>
        </w:numPr>
        <w:spacing w:before="240" w:after="240"/>
        <w:rPr>
          <w:sz w:val="20"/>
          <w:szCs w:val="20"/>
          <w:lang w:val="en-US"/>
        </w:rPr>
      </w:pPr>
      <w:r w:rsidRPr="007D770B">
        <w:rPr>
          <w:sz w:val="20"/>
          <w:szCs w:val="20"/>
          <w:lang w:val="en-US"/>
        </w:rPr>
        <w:t>revaluation reserve for available-for-sale securities;</w:t>
      </w:r>
    </w:p>
    <w:p w14:paraId="22917D86" w14:textId="77777777" w:rsidR="00BB421C" w:rsidRPr="002D4EA3" w:rsidRDefault="00BB421C" w:rsidP="00AE698A">
      <w:pPr>
        <w:pStyle w:val="21"/>
        <w:numPr>
          <w:ilvl w:val="0"/>
          <w:numId w:val="65"/>
        </w:numPr>
        <w:spacing w:before="240" w:after="240"/>
        <w:rPr>
          <w:sz w:val="20"/>
          <w:szCs w:val="20"/>
        </w:rPr>
      </w:pPr>
      <w:r w:rsidRPr="002D4EA3">
        <w:rPr>
          <w:sz w:val="20"/>
          <w:szCs w:val="20"/>
        </w:rPr>
        <w:t>buildings revaluation reserve;</w:t>
      </w:r>
    </w:p>
    <w:p w14:paraId="428948FC" w14:textId="77777777" w:rsidR="009E2B77" w:rsidRPr="002D4EA3" w:rsidRDefault="00BB421C" w:rsidP="00AE698A">
      <w:pPr>
        <w:pStyle w:val="21"/>
        <w:numPr>
          <w:ilvl w:val="0"/>
          <w:numId w:val="65"/>
        </w:numPr>
        <w:spacing w:before="240" w:after="240"/>
        <w:rPr>
          <w:sz w:val="20"/>
          <w:szCs w:val="20"/>
        </w:rPr>
      </w:pPr>
      <w:r w:rsidRPr="002D4EA3">
        <w:rPr>
          <w:sz w:val="20"/>
          <w:szCs w:val="20"/>
        </w:rPr>
        <w:t>treasury shares</w:t>
      </w:r>
      <w:r w:rsidR="009E2B77" w:rsidRPr="002D4EA3">
        <w:rPr>
          <w:sz w:val="20"/>
          <w:szCs w:val="20"/>
        </w:rPr>
        <w:t>;</w:t>
      </w:r>
    </w:p>
    <w:p w14:paraId="27C1B414" w14:textId="77777777" w:rsidR="009E2B77" w:rsidRPr="007D770B" w:rsidRDefault="009E2B77" w:rsidP="00AE698A">
      <w:pPr>
        <w:pStyle w:val="21"/>
        <w:numPr>
          <w:ilvl w:val="0"/>
          <w:numId w:val="65"/>
        </w:numPr>
        <w:spacing w:before="240" w:after="240"/>
        <w:rPr>
          <w:sz w:val="20"/>
          <w:szCs w:val="20"/>
          <w:lang w:val="en-US"/>
        </w:rPr>
      </w:pPr>
      <w:r w:rsidRPr="007D770B">
        <w:rPr>
          <w:sz w:val="20"/>
          <w:szCs w:val="20"/>
          <w:lang w:val="en-US"/>
        </w:rPr>
        <w:t>revaluation reserve for available-for-sale investments;</w:t>
      </w:r>
    </w:p>
    <w:p w14:paraId="4D263683" w14:textId="77777777" w:rsidR="009E2B77" w:rsidRPr="002D4EA3" w:rsidRDefault="009E2B77" w:rsidP="00AE698A">
      <w:pPr>
        <w:pStyle w:val="21"/>
        <w:numPr>
          <w:ilvl w:val="0"/>
          <w:numId w:val="65"/>
        </w:numPr>
        <w:spacing w:before="240" w:after="240"/>
        <w:rPr>
          <w:sz w:val="20"/>
          <w:szCs w:val="20"/>
        </w:rPr>
      </w:pPr>
      <w:r w:rsidRPr="002D4EA3">
        <w:rPr>
          <w:sz w:val="20"/>
          <w:szCs w:val="20"/>
        </w:rPr>
        <w:t>retained earnings (uncovered loss);</w:t>
      </w:r>
    </w:p>
    <w:p w14:paraId="4E0611DC" w14:textId="77777777" w:rsidR="009E2B77" w:rsidRPr="002D4EA3" w:rsidRDefault="009E2B77" w:rsidP="00AE698A">
      <w:pPr>
        <w:pStyle w:val="21"/>
        <w:numPr>
          <w:ilvl w:val="0"/>
          <w:numId w:val="65"/>
        </w:numPr>
        <w:spacing w:before="240" w:after="240"/>
        <w:rPr>
          <w:sz w:val="20"/>
          <w:szCs w:val="20"/>
        </w:rPr>
      </w:pPr>
      <w:r w:rsidRPr="002D4EA3">
        <w:rPr>
          <w:sz w:val="20"/>
          <w:szCs w:val="20"/>
        </w:rPr>
        <w:t>other reserves</w:t>
      </w:r>
      <w:r w:rsidR="00A861DD">
        <w:rPr>
          <w:sz w:val="20"/>
          <w:szCs w:val="20"/>
        </w:rPr>
        <w:t>.</w:t>
      </w:r>
    </w:p>
    <w:p w14:paraId="59E80FB2" w14:textId="77777777" w:rsidR="009E2B77" w:rsidRPr="007D770B" w:rsidRDefault="009E2B77" w:rsidP="00F96B17">
      <w:pPr>
        <w:pStyle w:val="af4"/>
        <w:spacing w:before="240" w:after="240"/>
        <w:ind w:firstLine="0"/>
        <w:rPr>
          <w:sz w:val="20"/>
          <w:szCs w:val="20"/>
          <w:lang w:val="en-US"/>
        </w:rPr>
      </w:pPr>
      <w:r w:rsidRPr="007D770B">
        <w:rPr>
          <w:sz w:val="20"/>
          <w:szCs w:val="20"/>
          <w:lang w:val="en-US"/>
        </w:rPr>
        <w:t>Considering materiality for financial reporting purposes, capital items may be aggregated into specific accounts at the financial statement line item level.</w:t>
      </w:r>
    </w:p>
    <w:p w14:paraId="36AEF349" w14:textId="77777777" w:rsidR="009E2B77" w:rsidRPr="007D770B" w:rsidRDefault="009E2B77" w:rsidP="00F96B17">
      <w:pPr>
        <w:pStyle w:val="16"/>
        <w:spacing w:before="240" w:after="240"/>
        <w:jc w:val="both"/>
        <w:rPr>
          <w:b w:val="0"/>
          <w:sz w:val="20"/>
          <w:szCs w:val="20"/>
          <w:lang w:val="en-US"/>
        </w:rPr>
      </w:pPr>
      <w:r w:rsidRPr="007D770B">
        <w:rPr>
          <w:sz w:val="20"/>
          <w:szCs w:val="20"/>
          <w:lang w:val="en-US"/>
        </w:rPr>
        <w:t xml:space="preserve">Shares issued </w:t>
      </w:r>
      <w:r w:rsidRPr="007D770B">
        <w:rPr>
          <w:b w:val="0"/>
          <w:sz w:val="20"/>
          <w:szCs w:val="20"/>
          <w:lang w:val="en-US"/>
        </w:rPr>
        <w:t>are the amount of contributions received from shareholders at par value of shares outstanding. Issued shares are recognized at the nominal value of the shares less any outstanding capital contributions from the founders. The result from the issue of shares is not recognized in profit or loss, but is presented in the financial statements as a change in equity.</w:t>
      </w:r>
    </w:p>
    <w:p w14:paraId="70B80644" w14:textId="77777777" w:rsidR="009E2B77" w:rsidRPr="007D770B" w:rsidRDefault="009E2B77" w:rsidP="00F96B17">
      <w:pPr>
        <w:pStyle w:val="afff1"/>
        <w:spacing w:before="240" w:after="240" w:line="240" w:lineRule="auto"/>
        <w:rPr>
          <w:rFonts w:ascii="Times New Roman" w:hAnsi="Times New Roman"/>
          <w:lang w:val="en-US"/>
        </w:rPr>
      </w:pPr>
      <w:r w:rsidRPr="007D770B">
        <w:rPr>
          <w:rFonts w:ascii="Times New Roman" w:hAnsi="Times New Roman"/>
          <w:lang w:val="en-US"/>
        </w:rPr>
        <w:t>When contributions are made in currency or property, the following features exist in the valuation process:</w:t>
      </w:r>
    </w:p>
    <w:p w14:paraId="5ED55B3B" w14:textId="490467C7" w:rsidR="009E2B77" w:rsidRPr="007D770B" w:rsidRDefault="0042681D" w:rsidP="00AE698A">
      <w:pPr>
        <w:pStyle w:val="afff1"/>
        <w:numPr>
          <w:ilvl w:val="0"/>
          <w:numId w:val="66"/>
        </w:numPr>
        <w:tabs>
          <w:tab w:val="num" w:pos="720"/>
        </w:tabs>
        <w:spacing w:before="240" w:after="240" w:line="240" w:lineRule="auto"/>
        <w:rPr>
          <w:rFonts w:ascii="Times New Roman" w:hAnsi="Times New Roman"/>
          <w:lang w:val="en-US"/>
        </w:rPr>
      </w:pPr>
      <w:r w:rsidRPr="007D770B">
        <w:rPr>
          <w:rFonts w:ascii="Times New Roman" w:hAnsi="Times New Roman"/>
          <w:lang w:val="en-US"/>
        </w:rPr>
        <w:t xml:space="preserve">share </w:t>
      </w:r>
      <w:r w:rsidR="009E2B77" w:rsidRPr="007D770B">
        <w:rPr>
          <w:rFonts w:ascii="Times New Roman" w:hAnsi="Times New Roman"/>
          <w:lang w:val="en-US"/>
        </w:rPr>
        <w:t xml:space="preserve">capital contributed in foreign currency is calculated in tenge at the market exchange rate on the date of receipt. The resulting exchange differences are accounted for in accordance with the treatment described in the additional paid-in capital paragraph of this chapter. Subsequently, </w:t>
      </w:r>
      <w:r w:rsidR="00D82A19" w:rsidRPr="007D770B">
        <w:rPr>
          <w:rFonts w:ascii="Times New Roman" w:hAnsi="Times New Roman"/>
          <w:lang w:val="en-US"/>
        </w:rPr>
        <w:t xml:space="preserve">share </w:t>
      </w:r>
      <w:r w:rsidR="009E2B77" w:rsidRPr="007D770B">
        <w:rPr>
          <w:rFonts w:ascii="Times New Roman" w:hAnsi="Times New Roman"/>
          <w:lang w:val="en-US"/>
        </w:rPr>
        <w:t xml:space="preserve">capital is accounted for </w:t>
      </w:r>
      <w:r w:rsidR="00F95963" w:rsidRPr="007D770B">
        <w:rPr>
          <w:rFonts w:ascii="Times New Roman" w:hAnsi="Times New Roman"/>
          <w:lang w:val="en-US"/>
        </w:rPr>
        <w:t xml:space="preserve">in KZT </w:t>
      </w:r>
      <w:r w:rsidR="009E2B77" w:rsidRPr="007D770B">
        <w:rPr>
          <w:rFonts w:ascii="Times New Roman" w:hAnsi="Times New Roman"/>
          <w:lang w:val="en-US"/>
        </w:rPr>
        <w:t>and the item is no longer revalued;</w:t>
      </w:r>
    </w:p>
    <w:p w14:paraId="3A19E271" w14:textId="77777777" w:rsidR="009E2B77" w:rsidRPr="007D770B" w:rsidRDefault="009E2B77" w:rsidP="00AE698A">
      <w:pPr>
        <w:pStyle w:val="afff1"/>
        <w:numPr>
          <w:ilvl w:val="0"/>
          <w:numId w:val="66"/>
        </w:numPr>
        <w:tabs>
          <w:tab w:val="num" w:pos="720"/>
        </w:tabs>
        <w:spacing w:before="240" w:after="240" w:line="240" w:lineRule="auto"/>
        <w:rPr>
          <w:rFonts w:ascii="Times New Roman" w:hAnsi="Times New Roman"/>
          <w:lang w:val="en-US"/>
        </w:rPr>
      </w:pPr>
      <w:r w:rsidRPr="007D770B">
        <w:rPr>
          <w:rFonts w:ascii="Times New Roman" w:hAnsi="Times New Roman"/>
          <w:lang w:val="en-US"/>
        </w:rPr>
        <w:t xml:space="preserve">other property contributed by the founders as a contribution to </w:t>
      </w:r>
      <w:r w:rsidR="00B31F0F" w:rsidRPr="007D770B">
        <w:rPr>
          <w:rFonts w:ascii="Times New Roman" w:hAnsi="Times New Roman"/>
          <w:lang w:val="en-US"/>
        </w:rPr>
        <w:t xml:space="preserve">share </w:t>
      </w:r>
      <w:r w:rsidRPr="007D770B">
        <w:rPr>
          <w:rFonts w:ascii="Times New Roman" w:hAnsi="Times New Roman"/>
          <w:lang w:val="en-US"/>
        </w:rPr>
        <w:t>capital is recognized at fair value at the date of contribution.</w:t>
      </w:r>
    </w:p>
    <w:p w14:paraId="0E10D422" w14:textId="77777777" w:rsidR="00F6046E" w:rsidRPr="007D770B" w:rsidRDefault="009E2B77" w:rsidP="00F6046E">
      <w:pPr>
        <w:pStyle w:val="afff1"/>
        <w:spacing w:before="240" w:after="240" w:line="240" w:lineRule="auto"/>
        <w:rPr>
          <w:rFonts w:ascii="Times New Roman" w:hAnsi="Times New Roman"/>
          <w:lang w:val="en-US"/>
        </w:rPr>
      </w:pPr>
      <w:r w:rsidRPr="007D770B">
        <w:rPr>
          <w:rFonts w:ascii="Times New Roman" w:hAnsi="Times New Roman"/>
          <w:lang w:val="en-US"/>
        </w:rPr>
        <w:t xml:space="preserve">When share capital is increased from other reserves, the additional share issue is distributed to existing shareholders in proportion to their shareholding (prior to the additional </w:t>
      </w:r>
      <w:r w:rsidR="00CB1BC1" w:rsidRPr="007D770B">
        <w:rPr>
          <w:rFonts w:ascii="Times New Roman" w:hAnsi="Times New Roman"/>
          <w:lang w:val="en-US"/>
        </w:rPr>
        <w:t xml:space="preserve">share </w:t>
      </w:r>
      <w:r w:rsidRPr="007D770B">
        <w:rPr>
          <w:rFonts w:ascii="Times New Roman" w:hAnsi="Times New Roman"/>
          <w:lang w:val="en-US"/>
        </w:rPr>
        <w:t>issue) without additional payment.</w:t>
      </w:r>
    </w:p>
    <w:p w14:paraId="36A6CFFA" w14:textId="77777777" w:rsidR="00F6046E" w:rsidRPr="007D770B" w:rsidRDefault="009E2B77" w:rsidP="00F6046E">
      <w:pPr>
        <w:pStyle w:val="afff1"/>
        <w:spacing w:before="240" w:after="240" w:line="240" w:lineRule="auto"/>
        <w:rPr>
          <w:rFonts w:ascii="Times New Roman" w:hAnsi="Times New Roman"/>
          <w:lang w:val="en-US"/>
        </w:rPr>
      </w:pPr>
      <w:r w:rsidRPr="007D770B">
        <w:rPr>
          <w:rFonts w:ascii="Times New Roman" w:hAnsi="Times New Roman"/>
          <w:lang w:val="en-US"/>
        </w:rPr>
        <w:t>The offering may incur costs that are directly attributable to the issuance of shares and which could otherwise be avoided, such as:</w:t>
      </w:r>
    </w:p>
    <w:p w14:paraId="3885896E" w14:textId="77777777" w:rsidR="00F6046E" w:rsidRPr="007D770B" w:rsidRDefault="00F6046E" w:rsidP="00F6046E">
      <w:pPr>
        <w:pStyle w:val="afff1"/>
        <w:spacing w:before="240" w:after="240" w:line="240" w:lineRule="auto"/>
        <w:rPr>
          <w:rFonts w:ascii="Times New Roman" w:hAnsi="Times New Roman"/>
          <w:lang w:val="en-US"/>
        </w:rPr>
      </w:pPr>
      <w:r w:rsidRPr="007D770B">
        <w:rPr>
          <w:rFonts w:ascii="Times New Roman" w:hAnsi="Times New Roman"/>
          <w:lang w:val="en-US"/>
        </w:rPr>
        <w:t xml:space="preserve">      </w:t>
      </w:r>
      <w:r w:rsidR="009E2B77" w:rsidRPr="007D770B">
        <w:rPr>
          <w:rFonts w:ascii="Times New Roman" w:hAnsi="Times New Roman"/>
          <w:lang w:val="en-US"/>
        </w:rPr>
        <w:t>- preparation of the prospectus;</w:t>
      </w:r>
    </w:p>
    <w:p w14:paraId="75F6121B" w14:textId="77777777" w:rsidR="00F6046E" w:rsidRPr="007D770B" w:rsidRDefault="00F6046E" w:rsidP="00F6046E">
      <w:pPr>
        <w:pStyle w:val="afff1"/>
        <w:spacing w:before="240" w:after="240" w:line="240" w:lineRule="auto"/>
        <w:rPr>
          <w:rFonts w:ascii="Times New Roman" w:hAnsi="Times New Roman"/>
          <w:lang w:val="en-US"/>
        </w:rPr>
      </w:pPr>
      <w:r w:rsidRPr="007D770B">
        <w:rPr>
          <w:rFonts w:ascii="Times New Roman" w:hAnsi="Times New Roman"/>
          <w:lang w:val="en-US"/>
        </w:rPr>
        <w:t xml:space="preserve">      </w:t>
      </w:r>
      <w:r w:rsidR="009E2B77" w:rsidRPr="007D770B">
        <w:rPr>
          <w:rFonts w:ascii="Times New Roman" w:hAnsi="Times New Roman"/>
          <w:lang w:val="en-US"/>
        </w:rPr>
        <w:t>- manufacture or purchase of forms;</w:t>
      </w:r>
    </w:p>
    <w:p w14:paraId="7C218B25" w14:textId="77777777" w:rsidR="00F6046E" w:rsidRPr="007D770B" w:rsidRDefault="00F6046E" w:rsidP="00F6046E">
      <w:pPr>
        <w:pStyle w:val="afff1"/>
        <w:spacing w:before="240" w:after="240" w:line="240" w:lineRule="auto"/>
        <w:rPr>
          <w:rFonts w:ascii="Times New Roman" w:hAnsi="Times New Roman"/>
          <w:lang w:val="en-US"/>
        </w:rPr>
      </w:pPr>
      <w:r w:rsidRPr="007D770B">
        <w:rPr>
          <w:rFonts w:ascii="Times New Roman" w:hAnsi="Times New Roman"/>
          <w:lang w:val="en-US"/>
        </w:rPr>
        <w:t xml:space="preserve">      </w:t>
      </w:r>
      <w:r w:rsidR="009E2B77" w:rsidRPr="007D770B">
        <w:rPr>
          <w:rFonts w:ascii="Times New Roman" w:hAnsi="Times New Roman"/>
          <w:lang w:val="en-US"/>
        </w:rPr>
        <w:t xml:space="preserve">- securities </w:t>
      </w:r>
      <w:r w:rsidR="00EE3788" w:rsidRPr="007D770B">
        <w:rPr>
          <w:rFonts w:ascii="Times New Roman" w:hAnsi="Times New Roman"/>
          <w:lang w:val="en-US"/>
        </w:rPr>
        <w:t>registration</w:t>
      </w:r>
      <w:r w:rsidR="009E2B77" w:rsidRPr="007D770B">
        <w:rPr>
          <w:rFonts w:ascii="Times New Roman" w:hAnsi="Times New Roman"/>
          <w:lang w:val="en-US"/>
        </w:rPr>
        <w:t>;</w:t>
      </w:r>
    </w:p>
    <w:p w14:paraId="2DE3F5AA" w14:textId="77777777" w:rsidR="00F6046E" w:rsidRPr="007D770B" w:rsidRDefault="00F6046E" w:rsidP="00F6046E">
      <w:pPr>
        <w:pStyle w:val="afff1"/>
        <w:spacing w:before="240" w:after="240" w:line="240" w:lineRule="auto"/>
        <w:rPr>
          <w:rFonts w:ascii="Times New Roman" w:hAnsi="Times New Roman"/>
          <w:lang w:val="en-US"/>
        </w:rPr>
      </w:pPr>
      <w:r w:rsidRPr="007D770B">
        <w:rPr>
          <w:rFonts w:ascii="Times New Roman" w:hAnsi="Times New Roman"/>
          <w:lang w:val="en-US"/>
        </w:rPr>
        <w:t xml:space="preserve">     </w:t>
      </w:r>
      <w:r w:rsidR="009E2B77" w:rsidRPr="007D770B">
        <w:rPr>
          <w:rFonts w:ascii="Times New Roman" w:hAnsi="Times New Roman"/>
          <w:lang w:val="en-US"/>
        </w:rPr>
        <w:t>- legal and other professional fees;</w:t>
      </w:r>
    </w:p>
    <w:p w14:paraId="1D5451E7" w14:textId="77777777" w:rsidR="009E2B77" w:rsidRPr="007D770B" w:rsidRDefault="00F6046E" w:rsidP="00F6046E">
      <w:pPr>
        <w:pStyle w:val="afff1"/>
        <w:spacing w:before="240" w:after="240" w:line="240" w:lineRule="auto"/>
        <w:rPr>
          <w:rFonts w:ascii="Times New Roman" w:hAnsi="Times New Roman"/>
          <w:lang w:val="en-US"/>
        </w:rPr>
      </w:pPr>
      <w:r w:rsidRPr="007D770B">
        <w:rPr>
          <w:rFonts w:ascii="Times New Roman" w:hAnsi="Times New Roman"/>
          <w:lang w:val="en-US"/>
        </w:rPr>
        <w:t xml:space="preserve">     </w:t>
      </w:r>
      <w:r w:rsidR="009E2B77" w:rsidRPr="007D770B">
        <w:rPr>
          <w:rFonts w:ascii="Times New Roman" w:hAnsi="Times New Roman"/>
          <w:lang w:val="en-US"/>
        </w:rPr>
        <w:t>- other expenses on organization of securities issue.</w:t>
      </w:r>
    </w:p>
    <w:p w14:paraId="46D6C7E9" w14:textId="77777777" w:rsidR="009E2B77" w:rsidRPr="007D770B" w:rsidRDefault="009E2B77" w:rsidP="00F96B17">
      <w:pPr>
        <w:pStyle w:val="16"/>
        <w:spacing w:before="240" w:after="240"/>
        <w:jc w:val="both"/>
        <w:rPr>
          <w:b w:val="0"/>
          <w:sz w:val="20"/>
          <w:szCs w:val="20"/>
          <w:lang w:val="en-US"/>
        </w:rPr>
      </w:pPr>
      <w:r w:rsidRPr="007D770B">
        <w:rPr>
          <w:b w:val="0"/>
          <w:sz w:val="20"/>
          <w:szCs w:val="20"/>
          <w:lang w:val="en-US"/>
        </w:rPr>
        <w:lastRenderedPageBreak/>
        <w:t xml:space="preserve">Net offering costs (net of tax benefits) should be recognized as a deduction from the cost of shares issued by the </w:t>
      </w:r>
      <w:r w:rsidR="00F9744B" w:rsidRPr="007D770B">
        <w:rPr>
          <w:b w:val="0"/>
          <w:sz w:val="20"/>
          <w:szCs w:val="20"/>
          <w:lang w:val="en-US"/>
        </w:rPr>
        <w:t>Bank</w:t>
      </w:r>
      <w:r w:rsidRPr="007D770B">
        <w:rPr>
          <w:b w:val="0"/>
          <w:sz w:val="20"/>
          <w:szCs w:val="20"/>
          <w:lang w:val="en-US"/>
        </w:rPr>
        <w:t xml:space="preserve">. </w:t>
      </w:r>
    </w:p>
    <w:p w14:paraId="38C009F1" w14:textId="77777777" w:rsidR="009E2B77" w:rsidRPr="002D4EA3" w:rsidRDefault="009E2B77" w:rsidP="00F96B17">
      <w:pPr>
        <w:pStyle w:val="16"/>
        <w:spacing w:before="240" w:after="240"/>
        <w:jc w:val="both"/>
        <w:rPr>
          <w:b w:val="0"/>
          <w:sz w:val="20"/>
          <w:szCs w:val="20"/>
        </w:rPr>
      </w:pPr>
      <w:r w:rsidRPr="007D770B">
        <w:rPr>
          <w:b w:val="0"/>
          <w:sz w:val="20"/>
          <w:szCs w:val="20"/>
          <w:lang w:val="en-US"/>
        </w:rPr>
        <w:t xml:space="preserve">If the placement of shares is recognized as failed, the placement costs are written off as expenses of the respective period. </w:t>
      </w:r>
      <w:r w:rsidRPr="002D4EA3">
        <w:rPr>
          <w:b w:val="0"/>
          <w:sz w:val="20"/>
          <w:szCs w:val="20"/>
        </w:rPr>
        <w:t xml:space="preserve">Placement costs are not included in the placement costs: </w:t>
      </w:r>
    </w:p>
    <w:p w14:paraId="3A4A234A" w14:textId="77777777" w:rsidR="009E2B77" w:rsidRPr="007D770B" w:rsidRDefault="009E2B77" w:rsidP="00AE698A">
      <w:pPr>
        <w:pStyle w:val="16"/>
        <w:numPr>
          <w:ilvl w:val="0"/>
          <w:numId w:val="67"/>
        </w:numPr>
        <w:spacing w:before="240" w:after="240"/>
        <w:jc w:val="both"/>
        <w:rPr>
          <w:b w:val="0"/>
          <w:sz w:val="20"/>
          <w:szCs w:val="20"/>
          <w:lang w:val="en-US"/>
        </w:rPr>
      </w:pPr>
      <w:r w:rsidRPr="007D770B">
        <w:rPr>
          <w:b w:val="0"/>
          <w:sz w:val="20"/>
          <w:szCs w:val="20"/>
          <w:lang w:val="en-US"/>
        </w:rPr>
        <w:t>any costs if they are not related to the initial issue of securities, in particular, any costs related to the sale of treasury shares;</w:t>
      </w:r>
    </w:p>
    <w:p w14:paraId="4938A553" w14:textId="77777777" w:rsidR="009E2B77" w:rsidRPr="007D770B" w:rsidRDefault="009E2B77" w:rsidP="00AE698A">
      <w:pPr>
        <w:pStyle w:val="16"/>
        <w:numPr>
          <w:ilvl w:val="0"/>
          <w:numId w:val="67"/>
        </w:numPr>
        <w:spacing w:before="240" w:after="240"/>
        <w:jc w:val="both"/>
        <w:rPr>
          <w:b w:val="0"/>
          <w:sz w:val="20"/>
          <w:szCs w:val="20"/>
          <w:lang w:val="en-US"/>
        </w:rPr>
      </w:pPr>
      <w:r w:rsidRPr="007D770B">
        <w:rPr>
          <w:b w:val="0"/>
          <w:sz w:val="20"/>
          <w:szCs w:val="20"/>
          <w:lang w:val="en-US"/>
        </w:rPr>
        <w:t xml:space="preserve">labor remuneration to the </w:t>
      </w:r>
      <w:r w:rsidR="00F9744B" w:rsidRPr="007D770B">
        <w:rPr>
          <w:b w:val="0"/>
          <w:sz w:val="20"/>
          <w:szCs w:val="20"/>
          <w:lang w:val="en-US"/>
        </w:rPr>
        <w:t xml:space="preserve">Bank's </w:t>
      </w:r>
      <w:r w:rsidRPr="007D770B">
        <w:rPr>
          <w:b w:val="0"/>
          <w:sz w:val="20"/>
          <w:szCs w:val="20"/>
          <w:lang w:val="en-US"/>
        </w:rPr>
        <w:t>own employees who participated in the placement.</w:t>
      </w:r>
    </w:p>
    <w:p w14:paraId="1D2B3A05" w14:textId="77777777" w:rsidR="009E2B77" w:rsidRPr="007D770B" w:rsidRDefault="009E2B77" w:rsidP="00F96B17">
      <w:pPr>
        <w:pStyle w:val="16"/>
        <w:spacing w:before="240" w:after="240"/>
        <w:jc w:val="both"/>
        <w:rPr>
          <w:b w:val="0"/>
          <w:sz w:val="20"/>
          <w:szCs w:val="20"/>
          <w:lang w:val="en-US"/>
        </w:rPr>
      </w:pPr>
      <w:r w:rsidRPr="007D770B">
        <w:rPr>
          <w:b w:val="0"/>
          <w:sz w:val="20"/>
          <w:szCs w:val="20"/>
          <w:lang w:val="en-US"/>
        </w:rPr>
        <w:t>Such costs are recognized in the expense accounts in the period to which they relate.</w:t>
      </w:r>
    </w:p>
    <w:p w14:paraId="1E5D95A1" w14:textId="77777777" w:rsidR="009E2B77" w:rsidRPr="007D770B" w:rsidRDefault="009E2B77" w:rsidP="00F96B17">
      <w:pPr>
        <w:pStyle w:val="afff1"/>
        <w:spacing w:before="240" w:after="240" w:line="240" w:lineRule="auto"/>
        <w:rPr>
          <w:rFonts w:ascii="Times New Roman" w:hAnsi="Times New Roman"/>
          <w:lang w:val="en-US"/>
        </w:rPr>
      </w:pPr>
      <w:r w:rsidRPr="007D770B">
        <w:rPr>
          <w:rFonts w:ascii="Times New Roman" w:hAnsi="Times New Roman"/>
          <w:lang w:val="en-US"/>
        </w:rPr>
        <w:t xml:space="preserve">Share premium is the excess of consideration received from shareholders for participation in the capital over the nominal value of shares in the process of formation of the </w:t>
      </w:r>
      <w:r w:rsidR="00F9744B" w:rsidRPr="007D770B">
        <w:rPr>
          <w:rFonts w:ascii="Times New Roman" w:hAnsi="Times New Roman"/>
          <w:lang w:val="en-US"/>
        </w:rPr>
        <w:t xml:space="preserve">Bank's </w:t>
      </w:r>
      <w:r w:rsidRPr="007D770B">
        <w:rPr>
          <w:rFonts w:ascii="Times New Roman" w:hAnsi="Times New Roman"/>
          <w:lang w:val="en-US"/>
        </w:rPr>
        <w:t>share capital (upon establishment and upon subsequent increase of the share capital) due to placement of shares at a price exceeding their nominal value.</w:t>
      </w:r>
    </w:p>
    <w:p w14:paraId="074203BB" w14:textId="76654F7C" w:rsidR="009E2B77" w:rsidRPr="007D770B" w:rsidRDefault="009E2B77" w:rsidP="00F96B17">
      <w:pPr>
        <w:pStyle w:val="afff1"/>
        <w:spacing w:before="240" w:after="240" w:line="240" w:lineRule="auto"/>
        <w:rPr>
          <w:rFonts w:ascii="Times New Roman" w:hAnsi="Times New Roman"/>
          <w:lang w:val="en-US"/>
        </w:rPr>
      </w:pPr>
      <w:r w:rsidRPr="007D770B">
        <w:rPr>
          <w:rFonts w:ascii="Times New Roman" w:hAnsi="Times New Roman"/>
          <w:lang w:val="en-US"/>
        </w:rPr>
        <w:t xml:space="preserve">Additional paid-in capital represents the value of assets or services transferred or rendered to </w:t>
      </w:r>
      <w:r w:rsidR="00F95963" w:rsidRPr="007D770B">
        <w:rPr>
          <w:rFonts w:ascii="Times New Roman" w:hAnsi="Times New Roman"/>
          <w:lang w:val="en-US"/>
        </w:rPr>
        <w:t xml:space="preserve">the Bank by shareholders </w:t>
      </w:r>
      <w:r w:rsidRPr="007D770B">
        <w:rPr>
          <w:rFonts w:ascii="Times New Roman" w:hAnsi="Times New Roman"/>
          <w:lang w:val="en-US"/>
        </w:rPr>
        <w:t>without allotment of shares or transferred against future share issues.</w:t>
      </w:r>
    </w:p>
    <w:p w14:paraId="0A95BFEE" w14:textId="53754012" w:rsidR="009E2B77" w:rsidRPr="007D770B" w:rsidRDefault="009E2B77" w:rsidP="00F96B17">
      <w:pPr>
        <w:pStyle w:val="afff1"/>
        <w:spacing w:before="240" w:after="240" w:line="240" w:lineRule="auto"/>
        <w:rPr>
          <w:rFonts w:ascii="Times New Roman" w:hAnsi="Times New Roman"/>
          <w:lang w:val="en-US"/>
        </w:rPr>
      </w:pPr>
      <w:r w:rsidRPr="007D770B">
        <w:rPr>
          <w:rFonts w:ascii="Times New Roman" w:hAnsi="Times New Roman"/>
          <w:lang w:val="en-US"/>
        </w:rPr>
        <w:t xml:space="preserve">When the </w:t>
      </w:r>
      <w:r w:rsidR="00F9744B" w:rsidRPr="007D770B">
        <w:rPr>
          <w:rFonts w:ascii="Times New Roman" w:hAnsi="Times New Roman"/>
          <w:lang w:val="en-US"/>
        </w:rPr>
        <w:t xml:space="preserve">Bank </w:t>
      </w:r>
      <w:r w:rsidRPr="007D770B">
        <w:rPr>
          <w:rFonts w:ascii="Times New Roman" w:hAnsi="Times New Roman"/>
          <w:lang w:val="en-US"/>
        </w:rPr>
        <w:t xml:space="preserve">receives assets on account of a subsequent issue of shares, the </w:t>
      </w:r>
      <w:r w:rsidR="00F9744B" w:rsidRPr="007D770B">
        <w:rPr>
          <w:rFonts w:ascii="Times New Roman" w:hAnsi="Times New Roman"/>
          <w:lang w:val="en-US"/>
        </w:rPr>
        <w:t xml:space="preserve">Bank </w:t>
      </w:r>
      <w:r w:rsidRPr="007D770B">
        <w:rPr>
          <w:rFonts w:ascii="Times New Roman" w:hAnsi="Times New Roman"/>
          <w:lang w:val="en-US"/>
        </w:rPr>
        <w:t xml:space="preserve">recognizes the increase in additional paid-in capital and the resulting asset in an appropriate asset account. However, upon issue of the relevant share issue, the amount of additional paid-in capital received </w:t>
      </w:r>
      <w:r w:rsidR="00F95963" w:rsidRPr="007D770B">
        <w:rPr>
          <w:rFonts w:ascii="Times New Roman" w:hAnsi="Times New Roman"/>
          <w:lang w:val="en-US"/>
        </w:rPr>
        <w:t>is reclassified</w:t>
      </w:r>
      <w:r w:rsidRPr="007D770B">
        <w:rPr>
          <w:rFonts w:ascii="Times New Roman" w:hAnsi="Times New Roman"/>
          <w:lang w:val="en-US"/>
        </w:rPr>
        <w:t xml:space="preserve">, i.e. debited from the additional paid-in capital account to the </w:t>
      </w:r>
      <w:r w:rsidR="00E5745D" w:rsidRPr="007D770B">
        <w:rPr>
          <w:rFonts w:ascii="Times New Roman" w:hAnsi="Times New Roman"/>
          <w:lang w:val="en-US"/>
        </w:rPr>
        <w:t>share</w:t>
      </w:r>
      <w:r w:rsidRPr="007D770B">
        <w:rPr>
          <w:rFonts w:ascii="Times New Roman" w:hAnsi="Times New Roman"/>
          <w:lang w:val="en-US"/>
        </w:rPr>
        <w:t xml:space="preserve"> capital account.</w:t>
      </w:r>
    </w:p>
    <w:p w14:paraId="2DF0BA45" w14:textId="0C9220D7" w:rsidR="009E2B77" w:rsidRPr="007D770B" w:rsidRDefault="009E2B77" w:rsidP="000A3E21">
      <w:pPr>
        <w:pStyle w:val="16"/>
        <w:keepNext w:val="0"/>
        <w:keepLines w:val="0"/>
        <w:spacing w:before="240" w:after="240"/>
        <w:jc w:val="both"/>
        <w:rPr>
          <w:b w:val="0"/>
          <w:sz w:val="20"/>
          <w:szCs w:val="20"/>
          <w:lang w:val="en-US"/>
        </w:rPr>
      </w:pPr>
      <w:r w:rsidRPr="007D770B">
        <w:rPr>
          <w:b w:val="0"/>
          <w:sz w:val="20"/>
          <w:szCs w:val="20"/>
          <w:lang w:val="en-US"/>
        </w:rPr>
        <w:t xml:space="preserve">The foreign currency translation reserve arises on the translation of the results and financial performance of a subsidiary whose functional currency differs from the functional currency of the </w:t>
      </w:r>
      <w:r w:rsidR="00F9744B" w:rsidRPr="007D770B">
        <w:rPr>
          <w:b w:val="0"/>
          <w:sz w:val="20"/>
          <w:szCs w:val="20"/>
          <w:lang w:val="en-US"/>
        </w:rPr>
        <w:t>Bank</w:t>
      </w:r>
      <w:r w:rsidRPr="007D770B">
        <w:rPr>
          <w:b w:val="0"/>
          <w:sz w:val="20"/>
          <w:szCs w:val="20"/>
          <w:lang w:val="en-US"/>
        </w:rPr>
        <w:t xml:space="preserve">. The foreign currency translation reserve is transferred to the profit and loss account when it is realized on disposal of the subsidiary through its sale, disposal of its assets, return of share capital contributions or </w:t>
      </w:r>
      <w:r w:rsidR="00F95963" w:rsidRPr="007D770B">
        <w:rPr>
          <w:b w:val="0"/>
          <w:sz w:val="20"/>
          <w:szCs w:val="20"/>
          <w:lang w:val="en-US"/>
        </w:rPr>
        <w:t xml:space="preserve">complete </w:t>
      </w:r>
      <w:r w:rsidRPr="007D770B">
        <w:rPr>
          <w:b w:val="0"/>
          <w:sz w:val="20"/>
          <w:szCs w:val="20"/>
          <w:lang w:val="en-US"/>
        </w:rPr>
        <w:t>or partial liquidation of the subsidiary.</w:t>
      </w:r>
    </w:p>
    <w:p w14:paraId="0726B460" w14:textId="5ABFBACD" w:rsidR="009E2B77" w:rsidRPr="007D770B" w:rsidRDefault="009E2B77" w:rsidP="000A3E21">
      <w:pPr>
        <w:pStyle w:val="16"/>
        <w:keepNext w:val="0"/>
        <w:keepLines w:val="0"/>
        <w:spacing w:before="240" w:after="240"/>
        <w:jc w:val="both"/>
        <w:rPr>
          <w:b w:val="0"/>
          <w:sz w:val="20"/>
          <w:szCs w:val="20"/>
          <w:lang w:val="en-US"/>
        </w:rPr>
      </w:pPr>
      <w:r w:rsidRPr="007D770B">
        <w:rPr>
          <w:b w:val="0"/>
          <w:sz w:val="20"/>
          <w:szCs w:val="20"/>
          <w:lang w:val="en-US"/>
        </w:rPr>
        <w:t xml:space="preserve">The </w:t>
      </w:r>
      <w:r w:rsidR="00E5745D" w:rsidRPr="007D770B">
        <w:rPr>
          <w:b w:val="0"/>
          <w:sz w:val="20"/>
          <w:szCs w:val="20"/>
          <w:lang w:val="en-US"/>
        </w:rPr>
        <w:t xml:space="preserve">securities </w:t>
      </w:r>
      <w:r w:rsidRPr="007D770B">
        <w:rPr>
          <w:b w:val="0"/>
          <w:sz w:val="20"/>
          <w:szCs w:val="20"/>
          <w:lang w:val="en-US"/>
        </w:rPr>
        <w:t xml:space="preserve">revaluation reserve is created by revaluing available-for-sale securities at fair value at the reporting date. On disposal of such assets </w:t>
      </w:r>
      <w:r w:rsidR="00F95963" w:rsidRPr="007D770B">
        <w:rPr>
          <w:b w:val="0"/>
          <w:sz w:val="20"/>
          <w:szCs w:val="20"/>
          <w:lang w:val="en-US"/>
        </w:rPr>
        <w:t xml:space="preserve">or </w:t>
      </w:r>
      <w:r w:rsidRPr="007D770B">
        <w:rPr>
          <w:b w:val="0"/>
          <w:sz w:val="20"/>
          <w:szCs w:val="20"/>
          <w:lang w:val="en-US"/>
        </w:rPr>
        <w:t>when impairment is recognized in respect of such assets</w:t>
      </w:r>
      <w:r w:rsidR="00EE3788" w:rsidRPr="007D770B">
        <w:rPr>
          <w:b w:val="0"/>
          <w:sz w:val="20"/>
          <w:szCs w:val="20"/>
          <w:lang w:val="en-US"/>
        </w:rPr>
        <w:t xml:space="preserve">, </w:t>
      </w:r>
      <w:r w:rsidRPr="007D770B">
        <w:rPr>
          <w:b w:val="0"/>
          <w:sz w:val="20"/>
          <w:szCs w:val="20"/>
          <w:lang w:val="en-US"/>
        </w:rPr>
        <w:t xml:space="preserve">the revaluation reserve is written off from equity and charged to </w:t>
      </w:r>
      <w:r w:rsidR="00661E96" w:rsidRPr="007D770B">
        <w:rPr>
          <w:b w:val="0"/>
          <w:sz w:val="20"/>
          <w:szCs w:val="20"/>
          <w:lang w:val="en-US"/>
        </w:rPr>
        <w:t>profit</w:t>
      </w:r>
      <w:r w:rsidRPr="007D770B">
        <w:rPr>
          <w:b w:val="0"/>
          <w:sz w:val="20"/>
          <w:szCs w:val="20"/>
          <w:lang w:val="en-US"/>
        </w:rPr>
        <w:t xml:space="preserve"> and </w:t>
      </w:r>
      <w:r w:rsidR="00EE3788" w:rsidRPr="007D770B">
        <w:rPr>
          <w:b w:val="0"/>
          <w:sz w:val="20"/>
          <w:szCs w:val="20"/>
          <w:lang w:val="en-US"/>
        </w:rPr>
        <w:t>loss</w:t>
      </w:r>
      <w:r w:rsidRPr="007D770B">
        <w:rPr>
          <w:b w:val="0"/>
          <w:sz w:val="20"/>
          <w:szCs w:val="20"/>
          <w:lang w:val="en-US"/>
        </w:rPr>
        <w:t>.</w:t>
      </w:r>
    </w:p>
    <w:p w14:paraId="72E2690A" w14:textId="77777777" w:rsidR="009E2B77" w:rsidRPr="007D770B" w:rsidRDefault="009E2B77" w:rsidP="000A3E21">
      <w:pPr>
        <w:pStyle w:val="16"/>
        <w:keepNext w:val="0"/>
        <w:keepLines w:val="0"/>
        <w:spacing w:before="240" w:after="240"/>
        <w:jc w:val="both"/>
        <w:rPr>
          <w:b w:val="0"/>
          <w:sz w:val="20"/>
          <w:szCs w:val="20"/>
          <w:lang w:val="en-US"/>
        </w:rPr>
      </w:pPr>
      <w:r w:rsidRPr="007D770B">
        <w:rPr>
          <w:b w:val="0"/>
          <w:sz w:val="20"/>
          <w:szCs w:val="20"/>
          <w:lang w:val="en-US"/>
        </w:rPr>
        <w:t xml:space="preserve">The hedging reserve is formed from the results of effective hedging. The </w:t>
      </w:r>
      <w:r w:rsidR="00F9744B" w:rsidRPr="007D770B">
        <w:rPr>
          <w:b w:val="0"/>
          <w:sz w:val="20"/>
          <w:szCs w:val="20"/>
          <w:lang w:val="en-US"/>
        </w:rPr>
        <w:t xml:space="preserve">Bank </w:t>
      </w:r>
      <w:r w:rsidRPr="007D770B">
        <w:rPr>
          <w:b w:val="0"/>
          <w:sz w:val="20"/>
          <w:szCs w:val="20"/>
          <w:lang w:val="en-US"/>
        </w:rPr>
        <w:t>recognizes in equity the results of effective cash flow hedges.</w:t>
      </w:r>
    </w:p>
    <w:p w14:paraId="72E49E3D" w14:textId="77777777" w:rsidR="009E2B77" w:rsidRPr="007D770B" w:rsidRDefault="009E2B77" w:rsidP="000A3E21">
      <w:pPr>
        <w:pStyle w:val="16"/>
        <w:keepNext w:val="0"/>
        <w:keepLines w:val="0"/>
        <w:spacing w:before="240" w:after="240"/>
        <w:jc w:val="both"/>
        <w:rPr>
          <w:b w:val="0"/>
          <w:sz w:val="20"/>
          <w:szCs w:val="20"/>
          <w:lang w:val="en-US"/>
        </w:rPr>
      </w:pPr>
      <w:r w:rsidRPr="007D770B">
        <w:rPr>
          <w:b w:val="0"/>
          <w:sz w:val="20"/>
          <w:szCs w:val="20"/>
          <w:lang w:val="en-US"/>
        </w:rPr>
        <w:t xml:space="preserve">Reserve capital is a part of accumulated net profit, distribution of which to owners is prohibited for the purpose of greater financial stability of the </w:t>
      </w:r>
      <w:r w:rsidR="00F9744B" w:rsidRPr="007D770B">
        <w:rPr>
          <w:b w:val="0"/>
          <w:sz w:val="20"/>
          <w:szCs w:val="20"/>
          <w:lang w:val="en-US"/>
        </w:rPr>
        <w:t>Bank</w:t>
      </w:r>
      <w:r w:rsidRPr="007D770B">
        <w:rPr>
          <w:b w:val="0"/>
          <w:sz w:val="20"/>
          <w:szCs w:val="20"/>
          <w:lang w:val="en-US"/>
        </w:rPr>
        <w:t xml:space="preserve">. Formation of reserve capital may be carried out in accordance with the requirements of the legislation, or its creation is carried out at the initiative of the </w:t>
      </w:r>
      <w:r w:rsidR="00F9744B" w:rsidRPr="007D770B">
        <w:rPr>
          <w:b w:val="0"/>
          <w:sz w:val="20"/>
          <w:szCs w:val="20"/>
          <w:lang w:val="en-US"/>
        </w:rPr>
        <w:t xml:space="preserve">Bank </w:t>
      </w:r>
      <w:r w:rsidRPr="007D770B">
        <w:rPr>
          <w:b w:val="0"/>
          <w:sz w:val="20"/>
          <w:szCs w:val="20"/>
          <w:lang w:val="en-US"/>
        </w:rPr>
        <w:t>and is stipulated by the constituent documents. Reserve capital is formed at the expense of net income based on the results of the reporting year (before dividends) and is intended to reflect the part of capital that is not subject to distribution.</w:t>
      </w:r>
    </w:p>
    <w:p w14:paraId="479782DF" w14:textId="77777777" w:rsidR="009E2B77" w:rsidRPr="007D770B" w:rsidRDefault="009E2B77" w:rsidP="000A3E21">
      <w:pPr>
        <w:pStyle w:val="16"/>
        <w:keepNext w:val="0"/>
        <w:keepLines w:val="0"/>
        <w:spacing w:before="240" w:after="240"/>
        <w:jc w:val="both"/>
        <w:rPr>
          <w:b w:val="0"/>
          <w:sz w:val="20"/>
          <w:szCs w:val="20"/>
          <w:lang w:val="en-US"/>
        </w:rPr>
      </w:pPr>
      <w:r w:rsidRPr="007D770B">
        <w:rPr>
          <w:b w:val="0"/>
          <w:sz w:val="20"/>
          <w:szCs w:val="20"/>
          <w:lang w:val="en-US"/>
        </w:rPr>
        <w:t>Retained earnings (uncovered loss) are formed on an accrual basis by adding the net financial result of the current period to retained earnings of previous years and deducting the distribution of such earnings.</w:t>
      </w:r>
    </w:p>
    <w:p w14:paraId="1A847078" w14:textId="77777777" w:rsidR="009E2B77" w:rsidRPr="007D770B" w:rsidRDefault="009E2B77" w:rsidP="000A3E21">
      <w:pPr>
        <w:pStyle w:val="16"/>
        <w:keepNext w:val="0"/>
        <w:keepLines w:val="0"/>
        <w:spacing w:before="240" w:after="240"/>
        <w:jc w:val="both"/>
        <w:rPr>
          <w:b w:val="0"/>
          <w:sz w:val="20"/>
          <w:szCs w:val="20"/>
          <w:lang w:val="en-US"/>
        </w:rPr>
      </w:pPr>
      <w:r w:rsidRPr="007D770B">
        <w:rPr>
          <w:b w:val="0"/>
          <w:sz w:val="20"/>
          <w:szCs w:val="20"/>
          <w:lang w:val="en-US"/>
        </w:rPr>
        <w:t xml:space="preserve">The utilization of retained earnings is due to: </w:t>
      </w:r>
    </w:p>
    <w:p w14:paraId="65DB5BB2" w14:textId="77777777" w:rsidR="009E2B77" w:rsidRPr="002D4EA3" w:rsidRDefault="009E2B77" w:rsidP="00AE698A">
      <w:pPr>
        <w:pStyle w:val="16"/>
        <w:keepNext w:val="0"/>
        <w:keepLines w:val="0"/>
        <w:numPr>
          <w:ilvl w:val="0"/>
          <w:numId w:val="68"/>
        </w:numPr>
        <w:spacing w:before="120" w:after="120"/>
        <w:jc w:val="both"/>
        <w:rPr>
          <w:b w:val="0"/>
          <w:sz w:val="20"/>
          <w:szCs w:val="20"/>
        </w:rPr>
      </w:pPr>
      <w:r w:rsidRPr="002D4EA3">
        <w:rPr>
          <w:b w:val="0"/>
          <w:sz w:val="20"/>
          <w:szCs w:val="20"/>
        </w:rPr>
        <w:t>dividend accrual;</w:t>
      </w:r>
    </w:p>
    <w:p w14:paraId="2B59AD08" w14:textId="77777777" w:rsidR="009E2B77" w:rsidRPr="007D770B" w:rsidRDefault="009E2B77" w:rsidP="00AE698A">
      <w:pPr>
        <w:pStyle w:val="16"/>
        <w:keepNext w:val="0"/>
        <w:keepLines w:val="0"/>
        <w:numPr>
          <w:ilvl w:val="0"/>
          <w:numId w:val="68"/>
        </w:numPr>
        <w:spacing w:before="120" w:after="120"/>
        <w:jc w:val="both"/>
        <w:rPr>
          <w:b w:val="0"/>
          <w:sz w:val="20"/>
          <w:szCs w:val="20"/>
          <w:lang w:val="en-US"/>
        </w:rPr>
      </w:pPr>
      <w:r w:rsidRPr="007D770B">
        <w:rPr>
          <w:b w:val="0"/>
          <w:sz w:val="20"/>
          <w:szCs w:val="20"/>
          <w:lang w:val="en-US"/>
        </w:rPr>
        <w:t>of contributions to the capital reserve;</w:t>
      </w:r>
    </w:p>
    <w:p w14:paraId="2A4FDEEE" w14:textId="77777777" w:rsidR="009E2B77" w:rsidRPr="007D770B" w:rsidRDefault="009E2B77" w:rsidP="00AE698A">
      <w:pPr>
        <w:pStyle w:val="16"/>
        <w:keepNext w:val="0"/>
        <w:keepLines w:val="0"/>
        <w:numPr>
          <w:ilvl w:val="0"/>
          <w:numId w:val="68"/>
        </w:numPr>
        <w:spacing w:before="120" w:after="120"/>
        <w:jc w:val="both"/>
        <w:rPr>
          <w:b w:val="0"/>
          <w:sz w:val="20"/>
          <w:szCs w:val="20"/>
          <w:lang w:val="en-US"/>
        </w:rPr>
      </w:pPr>
      <w:r w:rsidRPr="007D770B">
        <w:rPr>
          <w:b w:val="0"/>
          <w:sz w:val="20"/>
          <w:szCs w:val="20"/>
          <w:lang w:val="en-US"/>
        </w:rPr>
        <w:t xml:space="preserve">accession to the </w:t>
      </w:r>
      <w:r w:rsidR="00CB1BC1" w:rsidRPr="007D770B">
        <w:rPr>
          <w:b w:val="0"/>
          <w:sz w:val="20"/>
          <w:szCs w:val="20"/>
          <w:lang w:val="en-US"/>
        </w:rPr>
        <w:t xml:space="preserve">share </w:t>
      </w:r>
      <w:r w:rsidRPr="007D770B">
        <w:rPr>
          <w:b w:val="0"/>
          <w:sz w:val="20"/>
          <w:szCs w:val="20"/>
          <w:lang w:val="en-US"/>
        </w:rPr>
        <w:t>capital by decision of the participants;</w:t>
      </w:r>
    </w:p>
    <w:p w14:paraId="55280DD4" w14:textId="77777777" w:rsidR="009E2B77" w:rsidRPr="007D770B" w:rsidRDefault="009E2B77" w:rsidP="00AE698A">
      <w:pPr>
        <w:pStyle w:val="16"/>
        <w:keepNext w:val="0"/>
        <w:keepLines w:val="0"/>
        <w:numPr>
          <w:ilvl w:val="0"/>
          <w:numId w:val="68"/>
        </w:numPr>
        <w:spacing w:before="120" w:after="120"/>
        <w:jc w:val="both"/>
        <w:rPr>
          <w:b w:val="0"/>
          <w:sz w:val="20"/>
          <w:szCs w:val="20"/>
          <w:lang w:val="en-US"/>
        </w:rPr>
      </w:pPr>
      <w:r w:rsidRPr="007D770B">
        <w:rPr>
          <w:b w:val="0"/>
          <w:sz w:val="20"/>
          <w:szCs w:val="20"/>
          <w:lang w:val="en-US"/>
        </w:rPr>
        <w:t>reduction by the amount of expenses related to capital allocation (in case of insufficient share premium);</w:t>
      </w:r>
    </w:p>
    <w:p w14:paraId="7CA74EC9" w14:textId="77777777" w:rsidR="009E2B77" w:rsidRPr="007D770B" w:rsidRDefault="009E2B77" w:rsidP="00AE698A">
      <w:pPr>
        <w:pStyle w:val="16"/>
        <w:keepNext w:val="0"/>
        <w:keepLines w:val="0"/>
        <w:numPr>
          <w:ilvl w:val="0"/>
          <w:numId w:val="68"/>
        </w:numPr>
        <w:spacing w:before="120" w:after="120"/>
        <w:jc w:val="both"/>
        <w:rPr>
          <w:b w:val="0"/>
          <w:sz w:val="20"/>
          <w:szCs w:val="20"/>
          <w:lang w:val="en-US"/>
        </w:rPr>
      </w:pPr>
      <w:r w:rsidRPr="007D770B">
        <w:rPr>
          <w:b w:val="0"/>
          <w:sz w:val="20"/>
          <w:szCs w:val="20"/>
          <w:lang w:val="en-US"/>
        </w:rPr>
        <w:t>reduction by the amount of losses on resale of treasury shares in excess of share premium;</w:t>
      </w:r>
    </w:p>
    <w:p w14:paraId="39866DE1" w14:textId="77777777" w:rsidR="009E2B77" w:rsidRPr="007D770B" w:rsidRDefault="009E2B77" w:rsidP="00AE698A">
      <w:pPr>
        <w:pStyle w:val="16"/>
        <w:keepNext w:val="0"/>
        <w:keepLines w:val="0"/>
        <w:numPr>
          <w:ilvl w:val="0"/>
          <w:numId w:val="68"/>
        </w:numPr>
        <w:spacing w:before="120" w:after="120"/>
        <w:jc w:val="both"/>
        <w:rPr>
          <w:b w:val="0"/>
          <w:sz w:val="20"/>
          <w:szCs w:val="20"/>
          <w:lang w:val="en-US"/>
        </w:rPr>
      </w:pPr>
      <w:r w:rsidRPr="007D770B">
        <w:rPr>
          <w:b w:val="0"/>
          <w:sz w:val="20"/>
          <w:szCs w:val="20"/>
          <w:lang w:val="en-US"/>
        </w:rPr>
        <w:t>other allocations to reserves on the basis of decisions of the founders.</w:t>
      </w:r>
    </w:p>
    <w:p w14:paraId="75322A20" w14:textId="207A2B80" w:rsidR="009E2B77" w:rsidRPr="007D770B" w:rsidRDefault="00D82A19" w:rsidP="000A3E21">
      <w:pPr>
        <w:pStyle w:val="16"/>
        <w:keepNext w:val="0"/>
        <w:keepLines w:val="0"/>
        <w:spacing w:before="240" w:after="240"/>
        <w:jc w:val="both"/>
        <w:rPr>
          <w:b w:val="0"/>
          <w:sz w:val="20"/>
          <w:szCs w:val="20"/>
          <w:lang w:val="en-US"/>
        </w:rPr>
      </w:pPr>
      <w:r w:rsidRPr="007D770B">
        <w:rPr>
          <w:b w:val="0"/>
          <w:sz w:val="20"/>
          <w:szCs w:val="20"/>
          <w:lang w:val="en-US"/>
        </w:rPr>
        <w:t xml:space="preserve">Dividends are recognized in equity in the period in which they are declared. Profit distribution and other appropriations are based on the statutory accounting records. </w:t>
      </w:r>
      <w:r w:rsidR="009E2B77" w:rsidRPr="007D770B">
        <w:rPr>
          <w:b w:val="0"/>
          <w:sz w:val="20"/>
          <w:szCs w:val="20"/>
          <w:lang w:val="en-US"/>
        </w:rPr>
        <w:t xml:space="preserve">Dividends on preference shares, whose annual payment is mandatory irrespective of the </w:t>
      </w:r>
      <w:r w:rsidR="00F9744B" w:rsidRPr="007D770B">
        <w:rPr>
          <w:b w:val="0"/>
          <w:sz w:val="20"/>
          <w:szCs w:val="20"/>
          <w:lang w:val="en-US"/>
        </w:rPr>
        <w:t xml:space="preserve">Bank's </w:t>
      </w:r>
      <w:r w:rsidR="009E2B77" w:rsidRPr="007D770B">
        <w:rPr>
          <w:b w:val="0"/>
          <w:sz w:val="20"/>
          <w:szCs w:val="20"/>
          <w:lang w:val="en-US"/>
        </w:rPr>
        <w:t xml:space="preserve">performance and beyond the </w:t>
      </w:r>
      <w:r w:rsidR="00F9744B" w:rsidRPr="007D770B">
        <w:rPr>
          <w:b w:val="0"/>
          <w:sz w:val="20"/>
          <w:szCs w:val="20"/>
          <w:lang w:val="en-US"/>
        </w:rPr>
        <w:t xml:space="preserve">Bank's </w:t>
      </w:r>
      <w:r w:rsidR="009E2B77" w:rsidRPr="007D770B">
        <w:rPr>
          <w:b w:val="0"/>
          <w:sz w:val="20"/>
          <w:szCs w:val="20"/>
          <w:lang w:val="en-US"/>
        </w:rPr>
        <w:t>control</w:t>
      </w:r>
      <w:r w:rsidR="00C21A61" w:rsidRPr="007D770B">
        <w:rPr>
          <w:b w:val="0"/>
          <w:sz w:val="20"/>
          <w:szCs w:val="20"/>
          <w:lang w:val="en-US"/>
        </w:rPr>
        <w:t xml:space="preserve">, </w:t>
      </w:r>
      <w:r w:rsidR="009E2B77" w:rsidRPr="007D770B">
        <w:rPr>
          <w:b w:val="0"/>
          <w:sz w:val="20"/>
          <w:szCs w:val="20"/>
          <w:lang w:val="en-US"/>
        </w:rPr>
        <w:t xml:space="preserve">are recognized as interest expense in the statement of comprehensive income (see section 3 </w:t>
      </w:r>
      <w:r w:rsidR="00802136" w:rsidRPr="007D770B">
        <w:rPr>
          <w:b w:val="0"/>
          <w:sz w:val="20"/>
          <w:szCs w:val="20"/>
          <w:lang w:val="en-US"/>
        </w:rPr>
        <w:t>"</w:t>
      </w:r>
      <w:r w:rsidR="009E2B77" w:rsidRPr="007D770B">
        <w:rPr>
          <w:b w:val="0"/>
          <w:sz w:val="20"/>
          <w:szCs w:val="20"/>
          <w:lang w:val="en-US"/>
        </w:rPr>
        <w:t xml:space="preserve">Financial assets and liabilities (IAS 32, </w:t>
      </w:r>
      <w:r w:rsidR="00F931DC" w:rsidRPr="007D770B">
        <w:rPr>
          <w:b w:val="0"/>
          <w:sz w:val="20"/>
          <w:szCs w:val="20"/>
          <w:lang w:val="en-US"/>
        </w:rPr>
        <w:t>IFRS 9</w:t>
      </w:r>
      <w:r w:rsidR="009E2B77" w:rsidRPr="007D770B">
        <w:rPr>
          <w:b w:val="0"/>
          <w:sz w:val="20"/>
          <w:szCs w:val="20"/>
          <w:lang w:val="en-US"/>
        </w:rPr>
        <w:t>, IFRS 7)</w:t>
      </w:r>
      <w:r w:rsidR="00802136" w:rsidRPr="007D770B">
        <w:rPr>
          <w:b w:val="0"/>
          <w:sz w:val="20"/>
          <w:szCs w:val="20"/>
          <w:lang w:val="en-US"/>
        </w:rPr>
        <w:t xml:space="preserve">" of </w:t>
      </w:r>
      <w:r w:rsidR="009E2B77" w:rsidRPr="007D770B">
        <w:rPr>
          <w:b w:val="0"/>
          <w:sz w:val="20"/>
          <w:szCs w:val="20"/>
          <w:lang w:val="en-US"/>
        </w:rPr>
        <w:t>chapter 2).</w:t>
      </w:r>
    </w:p>
    <w:p w14:paraId="20870237" w14:textId="77777777" w:rsidR="009E2B77" w:rsidRPr="007D770B" w:rsidRDefault="009E2B77" w:rsidP="00F96B17">
      <w:pPr>
        <w:pStyle w:val="afff1"/>
        <w:spacing w:before="240" w:after="240" w:line="240" w:lineRule="auto"/>
        <w:rPr>
          <w:b/>
          <w:lang w:val="en-US"/>
        </w:rPr>
      </w:pPr>
      <w:r w:rsidRPr="007D770B">
        <w:rPr>
          <w:rFonts w:ascii="Times New Roman" w:hAnsi="Times New Roman"/>
          <w:lang w:val="en-US"/>
        </w:rPr>
        <w:lastRenderedPageBreak/>
        <w:t xml:space="preserve">In certain cases, dividends payable to shareholders may be reduced by the amounts of payments made by the </w:t>
      </w:r>
      <w:r w:rsidR="00F9744B" w:rsidRPr="007D770B">
        <w:rPr>
          <w:rFonts w:ascii="Times New Roman" w:hAnsi="Times New Roman"/>
          <w:lang w:val="en-US"/>
        </w:rPr>
        <w:t xml:space="preserve">Bank </w:t>
      </w:r>
      <w:r w:rsidRPr="007D770B">
        <w:rPr>
          <w:rFonts w:ascii="Times New Roman" w:hAnsi="Times New Roman"/>
          <w:lang w:val="en-US"/>
        </w:rPr>
        <w:t xml:space="preserve">by and on behalf of the shareholders.  above is justified if the prescribed expenses are to be incurred and paid by </w:t>
      </w:r>
      <w:r w:rsidR="00F9744B" w:rsidRPr="007D770B">
        <w:rPr>
          <w:rFonts w:ascii="Times New Roman" w:hAnsi="Times New Roman"/>
          <w:lang w:val="en-US"/>
        </w:rPr>
        <w:t xml:space="preserve">the Bank </w:t>
      </w:r>
      <w:r w:rsidRPr="007D770B">
        <w:rPr>
          <w:rFonts w:ascii="Times New Roman" w:hAnsi="Times New Roman"/>
          <w:lang w:val="en-US"/>
        </w:rPr>
        <w:t>at the decision of the shareholder and the procedure for offsetting them against dividends is stipulated in the relevant shareholder resolution.</w:t>
      </w:r>
    </w:p>
    <w:p w14:paraId="766CC3BB" w14:textId="40F1398F" w:rsidR="009E2B77" w:rsidRPr="007D770B" w:rsidRDefault="009E2B77" w:rsidP="00E61D21">
      <w:pPr>
        <w:pStyle w:val="16"/>
        <w:keepNext w:val="0"/>
        <w:keepLines w:val="0"/>
        <w:spacing w:before="240"/>
        <w:jc w:val="both"/>
        <w:rPr>
          <w:b w:val="0"/>
          <w:sz w:val="20"/>
          <w:szCs w:val="20"/>
          <w:lang w:val="en-US"/>
        </w:rPr>
      </w:pPr>
      <w:r w:rsidRPr="007D770B">
        <w:rPr>
          <w:b w:val="0"/>
          <w:sz w:val="20"/>
          <w:szCs w:val="20"/>
          <w:lang w:val="en-US"/>
        </w:rPr>
        <w:t xml:space="preserve">Distributions to shareholders of non-cash assets, including property, plant and equipment, businesses (as defined in </w:t>
      </w:r>
      <w:r w:rsidR="00200425" w:rsidRPr="007D770B">
        <w:rPr>
          <w:b w:val="0"/>
          <w:sz w:val="20"/>
          <w:szCs w:val="20"/>
          <w:lang w:val="en-US"/>
        </w:rPr>
        <w:t xml:space="preserve">IFRS 3 </w:t>
      </w:r>
      <w:r w:rsidRPr="007D770B">
        <w:rPr>
          <w:b w:val="0"/>
          <w:sz w:val="20"/>
          <w:szCs w:val="20"/>
          <w:lang w:val="en-US"/>
        </w:rPr>
        <w:t xml:space="preserve">Accounting for Business Combinations (IFRS 3)), interests in </w:t>
      </w:r>
      <w:r w:rsidR="00C6430C" w:rsidRPr="007D770B">
        <w:rPr>
          <w:b w:val="0"/>
          <w:sz w:val="20"/>
          <w:szCs w:val="20"/>
          <w:lang w:val="en-US"/>
        </w:rPr>
        <w:t xml:space="preserve">another entity </w:t>
      </w:r>
      <w:r w:rsidRPr="007D770B">
        <w:rPr>
          <w:b w:val="0"/>
          <w:sz w:val="20"/>
          <w:szCs w:val="20"/>
          <w:lang w:val="en-US"/>
        </w:rPr>
        <w:t xml:space="preserve">and disposal groups (as defined in section 6 </w:t>
      </w:r>
      <w:r w:rsidR="008A5C64" w:rsidRPr="007D770B">
        <w:rPr>
          <w:b w:val="0"/>
          <w:sz w:val="20"/>
          <w:szCs w:val="20"/>
          <w:lang w:val="en-US"/>
        </w:rPr>
        <w:t xml:space="preserve">Non-current </w:t>
      </w:r>
      <w:r w:rsidRPr="007D770B">
        <w:rPr>
          <w:b w:val="0"/>
          <w:sz w:val="20"/>
          <w:szCs w:val="20"/>
          <w:lang w:val="en-US"/>
        </w:rPr>
        <w:t xml:space="preserve">Assets Held for Sale and Discontinued Operations </w:t>
      </w:r>
      <w:r w:rsidR="00802136" w:rsidRPr="007D770B">
        <w:rPr>
          <w:b w:val="0"/>
          <w:sz w:val="20"/>
          <w:szCs w:val="20"/>
          <w:lang w:val="en-US"/>
        </w:rPr>
        <w:t>(</w:t>
      </w:r>
      <w:r w:rsidRPr="007D770B">
        <w:rPr>
          <w:b w:val="0"/>
          <w:sz w:val="20"/>
          <w:szCs w:val="20"/>
          <w:lang w:val="en-US"/>
        </w:rPr>
        <w:t>IFRS 5) of Chapter 2) are recognized as a liability to pay dividends. The liability is recognized when the declaration of distribution of non-cash assets (dividend payment) is approved by the shareholders. The liability is measured at the fair value of the assets to be distributed. The difference between the carrying amount and fair value is recognized in profit or loss</w:t>
      </w:r>
    </w:p>
    <w:p w14:paraId="00882240" w14:textId="4CC47B4A" w:rsidR="00E61D21" w:rsidRPr="007D770B" w:rsidRDefault="00E61D21" w:rsidP="008945F4">
      <w:pPr>
        <w:tabs>
          <w:tab w:val="left" w:pos="360"/>
        </w:tabs>
        <w:spacing w:line="240" w:lineRule="auto"/>
        <w:ind w:left="0"/>
        <w:rPr>
          <w:rFonts w:ascii="Times New Roman" w:eastAsia="Times New Roman" w:hAnsi="Times New Roman"/>
          <w:i/>
          <w:snapToGrid w:val="0"/>
          <w:color w:val="3366FF"/>
          <w:szCs w:val="22"/>
          <w:lang w:val="en-US" w:eastAsia="ru-RU"/>
        </w:rPr>
      </w:pPr>
      <w:r w:rsidRPr="007D770B">
        <w:rPr>
          <w:rFonts w:ascii="Times New Roman" w:eastAsia="Times New Roman" w:hAnsi="Times New Roman"/>
          <w:i/>
          <w:snapToGrid w:val="0"/>
          <w:color w:val="3366FF"/>
          <w:szCs w:val="22"/>
          <w:lang w:val="en-US" w:eastAsia="ru-RU"/>
        </w:rPr>
        <w:t xml:space="preserve">(Paragraph forty-fourth 14.2. "Classification and accounting principles" was changed by the decision of the Board of Directors dated </w:t>
      </w:r>
      <w:r w:rsidR="001609F5" w:rsidRPr="007D770B">
        <w:rPr>
          <w:rFonts w:ascii="Times New Roman" w:eastAsia="Times New Roman" w:hAnsi="Times New Roman"/>
          <w:i/>
          <w:snapToGrid w:val="0"/>
          <w:color w:val="3366FF"/>
          <w:szCs w:val="22"/>
          <w:lang w:val="en-US" w:eastAsia="ru-RU"/>
        </w:rPr>
        <w:t>31</w:t>
      </w:r>
      <w:r w:rsidRPr="007D770B">
        <w:rPr>
          <w:rFonts w:ascii="Times New Roman" w:eastAsia="Times New Roman" w:hAnsi="Times New Roman"/>
          <w:i/>
          <w:snapToGrid w:val="0"/>
          <w:color w:val="3366FF"/>
          <w:szCs w:val="22"/>
          <w:lang w:val="en-US" w:eastAsia="ru-RU"/>
        </w:rPr>
        <w:t>.</w:t>
      </w:r>
      <w:r w:rsidR="001609F5" w:rsidRPr="007D770B">
        <w:rPr>
          <w:rFonts w:ascii="Times New Roman" w:eastAsia="Times New Roman" w:hAnsi="Times New Roman"/>
          <w:i/>
          <w:snapToGrid w:val="0"/>
          <w:color w:val="3366FF"/>
          <w:szCs w:val="22"/>
          <w:lang w:val="en-US" w:eastAsia="ru-RU"/>
        </w:rPr>
        <w:t>10</w:t>
      </w:r>
      <w:r w:rsidRPr="007D770B">
        <w:rPr>
          <w:rFonts w:ascii="Times New Roman" w:eastAsia="Times New Roman" w:hAnsi="Times New Roman"/>
          <w:i/>
          <w:snapToGrid w:val="0"/>
          <w:color w:val="3366FF"/>
          <w:szCs w:val="22"/>
          <w:lang w:val="en-US" w:eastAsia="ru-RU"/>
        </w:rPr>
        <w:t xml:space="preserve">.2019 (Minutes No. </w:t>
      </w:r>
      <w:r w:rsidR="001609F5" w:rsidRPr="007D770B">
        <w:rPr>
          <w:rFonts w:ascii="Times New Roman" w:eastAsia="Times New Roman" w:hAnsi="Times New Roman"/>
          <w:i/>
          <w:snapToGrid w:val="0"/>
          <w:color w:val="3366FF"/>
          <w:szCs w:val="22"/>
          <w:lang w:val="en-US" w:eastAsia="ru-RU"/>
        </w:rPr>
        <w:t>13</w:t>
      </w:r>
      <w:r w:rsidRPr="007D770B">
        <w:rPr>
          <w:rFonts w:ascii="Times New Roman" w:eastAsia="Times New Roman" w:hAnsi="Times New Roman"/>
          <w:i/>
          <w:snapToGrid w:val="0"/>
          <w:color w:val="3366FF"/>
          <w:szCs w:val="22"/>
          <w:lang w:val="en-US" w:eastAsia="ru-RU"/>
        </w:rPr>
        <w:t>)</w:t>
      </w:r>
    </w:p>
    <w:p w14:paraId="459DCF46" w14:textId="77777777" w:rsidR="009E2B77" w:rsidRPr="007D770B" w:rsidRDefault="009E2B77" w:rsidP="000A3E21">
      <w:pPr>
        <w:pStyle w:val="16"/>
        <w:keepNext w:val="0"/>
        <w:keepLines w:val="0"/>
        <w:spacing w:before="240" w:after="240"/>
        <w:jc w:val="both"/>
        <w:rPr>
          <w:b w:val="0"/>
          <w:sz w:val="20"/>
          <w:szCs w:val="20"/>
          <w:lang w:val="en-US"/>
        </w:rPr>
      </w:pPr>
      <w:r w:rsidRPr="007D770B">
        <w:rPr>
          <w:b w:val="0"/>
          <w:sz w:val="20"/>
          <w:szCs w:val="20"/>
          <w:lang w:val="en-US"/>
        </w:rPr>
        <w:t>In the case of a distribution of non-cash assets that are ultimately controlled by the same party or parties before and after the distribution, the dividend liability is not remeasured to fair value but is recognized at the carrying amount of the assets to be distributed. Therefore, this transaction will have no effect on the profit or loss of the subsidiary.</w:t>
      </w:r>
    </w:p>
    <w:p w14:paraId="52259176" w14:textId="76ADEB53" w:rsidR="009E2B77" w:rsidRPr="007D770B" w:rsidRDefault="009E2B77" w:rsidP="000A3E21">
      <w:pPr>
        <w:pStyle w:val="16"/>
        <w:keepNext w:val="0"/>
        <w:keepLines w:val="0"/>
        <w:spacing w:before="240" w:after="240"/>
        <w:jc w:val="both"/>
        <w:rPr>
          <w:b w:val="0"/>
          <w:sz w:val="20"/>
          <w:szCs w:val="20"/>
          <w:lang w:val="en-US"/>
        </w:rPr>
      </w:pPr>
      <w:r w:rsidRPr="007D770B">
        <w:rPr>
          <w:b w:val="0"/>
          <w:sz w:val="20"/>
          <w:szCs w:val="20"/>
          <w:lang w:val="en-US"/>
        </w:rPr>
        <w:t xml:space="preserve">Other reserves in equity may be formed in equity, </w:t>
      </w:r>
      <w:r w:rsidR="00F95963" w:rsidRPr="007D770B">
        <w:rPr>
          <w:b w:val="0"/>
          <w:sz w:val="20"/>
          <w:szCs w:val="20"/>
          <w:lang w:val="en-US"/>
        </w:rPr>
        <w:t xml:space="preserve">for example, </w:t>
      </w:r>
      <w:r w:rsidRPr="007D770B">
        <w:rPr>
          <w:b w:val="0"/>
          <w:sz w:val="20"/>
          <w:szCs w:val="20"/>
          <w:lang w:val="en-US"/>
        </w:rPr>
        <w:t>to account for equity-settled share-based payment options.</w:t>
      </w:r>
    </w:p>
    <w:p w14:paraId="064A3E54" w14:textId="2312E930" w:rsidR="009E2B77" w:rsidRPr="007D770B" w:rsidRDefault="009E2B77" w:rsidP="00E61D21">
      <w:pPr>
        <w:pStyle w:val="16"/>
        <w:keepNext w:val="0"/>
        <w:keepLines w:val="0"/>
        <w:spacing w:before="240"/>
        <w:jc w:val="both"/>
        <w:rPr>
          <w:b w:val="0"/>
          <w:sz w:val="20"/>
          <w:szCs w:val="20"/>
          <w:lang w:val="en-US"/>
        </w:rPr>
      </w:pPr>
      <w:r w:rsidRPr="007D770B">
        <w:rPr>
          <w:b w:val="0"/>
          <w:sz w:val="20"/>
          <w:szCs w:val="20"/>
          <w:lang w:val="en-US"/>
        </w:rPr>
        <w:t xml:space="preserve">Non-controlling interests are accounted for in accordance with </w:t>
      </w:r>
      <w:r w:rsidR="00200425" w:rsidRPr="007D770B">
        <w:rPr>
          <w:b w:val="0"/>
          <w:sz w:val="20"/>
          <w:szCs w:val="20"/>
          <w:lang w:val="en-US"/>
        </w:rPr>
        <w:t xml:space="preserve">IFRS 10 </w:t>
      </w:r>
      <w:r w:rsidR="00802136" w:rsidRPr="007D770B">
        <w:rPr>
          <w:b w:val="0"/>
          <w:sz w:val="20"/>
          <w:szCs w:val="20"/>
          <w:lang w:val="en-US"/>
        </w:rPr>
        <w:t>"</w:t>
      </w:r>
      <w:r w:rsidRPr="007D770B">
        <w:rPr>
          <w:b w:val="0"/>
          <w:sz w:val="20"/>
          <w:szCs w:val="20"/>
          <w:lang w:val="en-US"/>
        </w:rPr>
        <w:t>Preparation of Consolidated Financial Statements.</w:t>
      </w:r>
    </w:p>
    <w:p w14:paraId="37EAC585" w14:textId="7125BEDD" w:rsidR="00E61D21" w:rsidRPr="007D770B" w:rsidRDefault="00E61D21" w:rsidP="008945F4">
      <w:pPr>
        <w:tabs>
          <w:tab w:val="left" w:pos="360"/>
        </w:tabs>
        <w:spacing w:line="240" w:lineRule="auto"/>
        <w:ind w:left="0"/>
        <w:rPr>
          <w:rFonts w:ascii="Times New Roman" w:eastAsia="Times New Roman" w:hAnsi="Times New Roman"/>
          <w:i/>
          <w:snapToGrid w:val="0"/>
          <w:color w:val="3366FF"/>
          <w:szCs w:val="22"/>
          <w:lang w:val="en-US" w:eastAsia="ru-RU"/>
        </w:rPr>
      </w:pPr>
      <w:r w:rsidRPr="007D770B">
        <w:rPr>
          <w:rFonts w:ascii="Times New Roman" w:eastAsia="Times New Roman" w:hAnsi="Times New Roman"/>
          <w:i/>
          <w:snapToGrid w:val="0"/>
          <w:color w:val="3366FF"/>
          <w:szCs w:val="22"/>
          <w:lang w:val="en-US" w:eastAsia="ru-RU"/>
        </w:rPr>
        <w:t xml:space="preserve">(Paragraph forty-seventh 14.2. "Classification and accounting principles" was changed by the decision of the Board of Directors dated </w:t>
      </w:r>
      <w:r w:rsidR="001609F5" w:rsidRPr="007D770B">
        <w:rPr>
          <w:rFonts w:ascii="Times New Roman" w:eastAsia="Times New Roman" w:hAnsi="Times New Roman"/>
          <w:i/>
          <w:snapToGrid w:val="0"/>
          <w:color w:val="3366FF"/>
          <w:szCs w:val="22"/>
          <w:lang w:val="en-US" w:eastAsia="ru-RU"/>
        </w:rPr>
        <w:t>31</w:t>
      </w:r>
      <w:r w:rsidRPr="007D770B">
        <w:rPr>
          <w:rFonts w:ascii="Times New Roman" w:eastAsia="Times New Roman" w:hAnsi="Times New Roman"/>
          <w:i/>
          <w:snapToGrid w:val="0"/>
          <w:color w:val="3366FF"/>
          <w:szCs w:val="22"/>
          <w:lang w:val="en-US" w:eastAsia="ru-RU"/>
        </w:rPr>
        <w:t>.</w:t>
      </w:r>
      <w:r w:rsidR="001609F5" w:rsidRPr="007D770B">
        <w:rPr>
          <w:rFonts w:ascii="Times New Roman" w:eastAsia="Times New Roman" w:hAnsi="Times New Roman"/>
          <w:i/>
          <w:snapToGrid w:val="0"/>
          <w:color w:val="3366FF"/>
          <w:szCs w:val="22"/>
          <w:lang w:val="en-US" w:eastAsia="ru-RU"/>
        </w:rPr>
        <w:t>10</w:t>
      </w:r>
      <w:r w:rsidRPr="007D770B">
        <w:rPr>
          <w:rFonts w:ascii="Times New Roman" w:eastAsia="Times New Roman" w:hAnsi="Times New Roman"/>
          <w:i/>
          <w:snapToGrid w:val="0"/>
          <w:color w:val="3366FF"/>
          <w:szCs w:val="22"/>
          <w:lang w:val="en-US" w:eastAsia="ru-RU"/>
        </w:rPr>
        <w:t xml:space="preserve">.2019 (Minutes No. </w:t>
      </w:r>
      <w:r w:rsidR="001609F5" w:rsidRPr="007D770B">
        <w:rPr>
          <w:rFonts w:ascii="Times New Roman" w:eastAsia="Times New Roman" w:hAnsi="Times New Roman"/>
          <w:i/>
          <w:snapToGrid w:val="0"/>
          <w:color w:val="3366FF"/>
          <w:szCs w:val="22"/>
          <w:lang w:val="en-US" w:eastAsia="ru-RU"/>
        </w:rPr>
        <w:t>13</w:t>
      </w:r>
      <w:r w:rsidRPr="007D770B">
        <w:rPr>
          <w:rFonts w:ascii="Times New Roman" w:eastAsia="Times New Roman" w:hAnsi="Times New Roman"/>
          <w:i/>
          <w:snapToGrid w:val="0"/>
          <w:color w:val="3366FF"/>
          <w:szCs w:val="22"/>
          <w:lang w:val="en-US" w:eastAsia="ru-RU"/>
        </w:rPr>
        <w:t>)</w:t>
      </w:r>
    </w:p>
    <w:p w14:paraId="6945C38D" w14:textId="77777777" w:rsidR="009E2B77" w:rsidRPr="007D770B" w:rsidRDefault="00FA4FED" w:rsidP="000A3E21">
      <w:pPr>
        <w:pStyle w:val="16"/>
        <w:keepNext w:val="0"/>
        <w:keepLines w:val="0"/>
        <w:spacing w:before="240" w:after="240"/>
        <w:jc w:val="both"/>
        <w:rPr>
          <w:b w:val="0"/>
          <w:sz w:val="20"/>
          <w:szCs w:val="20"/>
          <w:lang w:val="en-US"/>
        </w:rPr>
      </w:pPr>
      <w:r w:rsidRPr="007D770B">
        <w:rPr>
          <w:sz w:val="20"/>
          <w:szCs w:val="20"/>
          <w:lang w:val="en-US"/>
        </w:rPr>
        <w:t xml:space="preserve">Treasury shares. </w:t>
      </w:r>
      <w:r w:rsidR="009E2B77" w:rsidRPr="007D770B">
        <w:rPr>
          <w:b w:val="0"/>
          <w:sz w:val="20"/>
          <w:szCs w:val="20"/>
          <w:lang w:val="en-US"/>
        </w:rPr>
        <w:t xml:space="preserve">Where the </w:t>
      </w:r>
      <w:r w:rsidR="00F9744B" w:rsidRPr="007D770B">
        <w:rPr>
          <w:b w:val="0"/>
          <w:sz w:val="20"/>
          <w:szCs w:val="20"/>
          <w:lang w:val="en-US"/>
        </w:rPr>
        <w:t xml:space="preserve">Bank </w:t>
      </w:r>
      <w:r w:rsidR="009E2B77" w:rsidRPr="007D770B">
        <w:rPr>
          <w:b w:val="0"/>
          <w:sz w:val="20"/>
          <w:szCs w:val="20"/>
          <w:lang w:val="en-US"/>
        </w:rPr>
        <w:t xml:space="preserve">or its subsidiaries purchase the </w:t>
      </w:r>
      <w:r w:rsidR="00F9744B" w:rsidRPr="007D770B">
        <w:rPr>
          <w:b w:val="0"/>
          <w:sz w:val="20"/>
          <w:szCs w:val="20"/>
          <w:lang w:val="en-US"/>
        </w:rPr>
        <w:t xml:space="preserve">Bank's </w:t>
      </w:r>
      <w:r w:rsidR="009E2B77" w:rsidRPr="007D770B">
        <w:rPr>
          <w:b w:val="0"/>
          <w:sz w:val="20"/>
          <w:szCs w:val="20"/>
          <w:lang w:val="en-US"/>
        </w:rPr>
        <w:t xml:space="preserve">shares, the consideration paid, including any directly attributable incremental costs, net of income taxes, is deducted from total equity attributable to equity holders of the </w:t>
      </w:r>
      <w:r w:rsidR="00F9744B" w:rsidRPr="007D770B">
        <w:rPr>
          <w:b w:val="0"/>
          <w:sz w:val="20"/>
          <w:szCs w:val="20"/>
          <w:lang w:val="en-US"/>
        </w:rPr>
        <w:t xml:space="preserve">Bank </w:t>
      </w:r>
      <w:r w:rsidR="009E2B77" w:rsidRPr="007D770B">
        <w:rPr>
          <w:b w:val="0"/>
          <w:sz w:val="20"/>
          <w:szCs w:val="20"/>
          <w:lang w:val="en-US"/>
        </w:rPr>
        <w:t xml:space="preserve">until such shares are cancelled, reissued or disposed of. Treasury shares are recognized at weighted average cost. Where such shares are subsequently sold or reissued, any consideration received, net of any directly attributable incremental transaction costs and the related income tax effects, is included in equity attributable to the </w:t>
      </w:r>
      <w:r w:rsidR="00F9744B" w:rsidRPr="007D770B">
        <w:rPr>
          <w:b w:val="0"/>
          <w:sz w:val="20"/>
          <w:szCs w:val="20"/>
          <w:lang w:val="en-US"/>
        </w:rPr>
        <w:t xml:space="preserve">Bank's </w:t>
      </w:r>
      <w:r w:rsidR="009E2B77" w:rsidRPr="007D770B">
        <w:rPr>
          <w:b w:val="0"/>
          <w:sz w:val="20"/>
          <w:szCs w:val="20"/>
          <w:lang w:val="en-US"/>
        </w:rPr>
        <w:t>equity holders.</w:t>
      </w:r>
    </w:p>
    <w:p w14:paraId="346BEA6A" w14:textId="79D544EF" w:rsidR="009E2B77" w:rsidRPr="007D770B" w:rsidRDefault="009E2B77" w:rsidP="000A3E21">
      <w:pPr>
        <w:pStyle w:val="16"/>
        <w:keepNext w:val="0"/>
        <w:keepLines w:val="0"/>
        <w:tabs>
          <w:tab w:val="clear" w:pos="567"/>
        </w:tabs>
        <w:spacing w:before="240" w:after="240"/>
        <w:jc w:val="both"/>
        <w:rPr>
          <w:b w:val="0"/>
          <w:sz w:val="20"/>
          <w:szCs w:val="20"/>
          <w:lang w:val="en-US"/>
        </w:rPr>
      </w:pPr>
      <w:r w:rsidRPr="007D770B">
        <w:rPr>
          <w:sz w:val="20"/>
          <w:szCs w:val="20"/>
          <w:lang w:val="en-US"/>
        </w:rPr>
        <w:t xml:space="preserve">Preferred shares. </w:t>
      </w:r>
      <w:r w:rsidRPr="007D770B">
        <w:rPr>
          <w:b w:val="0"/>
          <w:sz w:val="20"/>
          <w:szCs w:val="20"/>
          <w:lang w:val="en-US"/>
        </w:rPr>
        <w:t xml:space="preserve">Preferred shares can have various characteristics, depending on which preferred shares can be classified as an equity financial instrument, a financial liability or a combined financial instrument (see section 3 </w:t>
      </w:r>
      <w:r w:rsidR="00802136" w:rsidRPr="007D770B">
        <w:rPr>
          <w:b w:val="0"/>
          <w:sz w:val="20"/>
          <w:szCs w:val="20"/>
          <w:lang w:val="en-US"/>
        </w:rPr>
        <w:t>"</w:t>
      </w:r>
      <w:r w:rsidRPr="007D770B">
        <w:rPr>
          <w:b w:val="0"/>
          <w:sz w:val="20"/>
          <w:szCs w:val="20"/>
          <w:lang w:val="en-US"/>
        </w:rPr>
        <w:t xml:space="preserve">Financial assets and liabilities (IAS 32, </w:t>
      </w:r>
      <w:r w:rsidR="00F931DC" w:rsidRPr="007D770B">
        <w:rPr>
          <w:b w:val="0"/>
          <w:sz w:val="20"/>
          <w:szCs w:val="20"/>
          <w:lang w:val="en-US"/>
        </w:rPr>
        <w:t>IFRS 9</w:t>
      </w:r>
      <w:r w:rsidRPr="007D770B">
        <w:rPr>
          <w:b w:val="0"/>
          <w:sz w:val="20"/>
          <w:szCs w:val="20"/>
          <w:lang w:val="en-US"/>
        </w:rPr>
        <w:t>, IF</w:t>
      </w:r>
      <w:r w:rsidR="00F931DC" w:rsidRPr="007D770B">
        <w:rPr>
          <w:b w:val="0"/>
          <w:sz w:val="20"/>
          <w:szCs w:val="20"/>
          <w:lang w:val="en-US"/>
        </w:rPr>
        <w:t xml:space="preserve">RS </w:t>
      </w:r>
      <w:r w:rsidRPr="007D770B">
        <w:rPr>
          <w:b w:val="0"/>
          <w:sz w:val="20"/>
          <w:szCs w:val="20"/>
          <w:lang w:val="en-US"/>
        </w:rPr>
        <w:t>7)</w:t>
      </w:r>
      <w:r w:rsidR="00802136" w:rsidRPr="007D770B">
        <w:rPr>
          <w:b w:val="0"/>
          <w:sz w:val="20"/>
          <w:szCs w:val="20"/>
          <w:lang w:val="en-US"/>
        </w:rPr>
        <w:t xml:space="preserve">" </w:t>
      </w:r>
      <w:r w:rsidRPr="007D770B">
        <w:rPr>
          <w:b w:val="0"/>
          <w:sz w:val="20"/>
          <w:szCs w:val="20"/>
          <w:lang w:val="en-US"/>
        </w:rPr>
        <w:t>in Chapter 2).</w:t>
      </w:r>
    </w:p>
    <w:p w14:paraId="2B0CB774" w14:textId="77777777" w:rsidR="00EE14FE" w:rsidRPr="007D770B" w:rsidRDefault="00EE14FE" w:rsidP="00EE14FE">
      <w:pPr>
        <w:ind w:left="0"/>
        <w:rPr>
          <w:lang w:val="en-US"/>
        </w:rPr>
      </w:pPr>
      <w:r w:rsidRPr="007D770B">
        <w:rPr>
          <w:rFonts w:ascii="Times New Roman" w:hAnsi="Times New Roman"/>
          <w:lang w:val="en-US"/>
        </w:rPr>
        <w:t>Preferred shares that have a mandatory coupon or are redeemable on a specific date or at the discretion of the shareholder are classified as financial liabilities and presented within other borrowed funds. Dividends on these preferred shares are recorded as interest expense on an amortized cost basis using the effective interest method.</w:t>
      </w:r>
    </w:p>
    <w:p w14:paraId="21E6B9E7" w14:textId="6B7E2F4D" w:rsidR="009E2B77" w:rsidRPr="007D770B" w:rsidRDefault="00B50DC6" w:rsidP="00E61D21">
      <w:pPr>
        <w:pStyle w:val="3"/>
        <w:rPr>
          <w:lang w:val="en-US"/>
        </w:rPr>
      </w:pPr>
      <w:bookmarkStart w:id="327" w:name="_Toc19358130"/>
      <w:bookmarkStart w:id="328" w:name="_Toc168502101"/>
      <w:r w:rsidRPr="007D770B">
        <w:rPr>
          <w:lang w:val="en-US"/>
        </w:rPr>
        <w:t>14</w:t>
      </w:r>
      <w:r w:rsidR="009E2B77" w:rsidRPr="007D770B">
        <w:rPr>
          <w:lang w:val="en-US"/>
        </w:rPr>
        <w:t>.</w:t>
      </w:r>
      <w:r w:rsidR="00414004" w:rsidRPr="007D770B">
        <w:rPr>
          <w:lang w:val="en-US"/>
        </w:rPr>
        <w:t xml:space="preserve">3 </w:t>
      </w:r>
      <w:r w:rsidR="009E2B77" w:rsidRPr="007D770B">
        <w:rPr>
          <w:lang w:val="en-US"/>
        </w:rPr>
        <w:t>Disclosure of</w:t>
      </w:r>
      <w:bookmarkEnd w:id="327"/>
      <w:r w:rsidR="009E2B77" w:rsidRPr="007D770B">
        <w:rPr>
          <w:lang w:val="en-US"/>
        </w:rPr>
        <w:t xml:space="preserve"> information</w:t>
      </w:r>
      <w:bookmarkEnd w:id="328"/>
    </w:p>
    <w:p w14:paraId="2B76A7D0" w14:textId="77777777" w:rsidR="009E2B77" w:rsidRPr="007D770B" w:rsidRDefault="009E2B77" w:rsidP="00F96B17">
      <w:pPr>
        <w:pStyle w:val="1"/>
        <w:numPr>
          <w:ilvl w:val="0"/>
          <w:numId w:val="0"/>
        </w:numPr>
        <w:spacing w:before="240" w:after="240"/>
        <w:rPr>
          <w:sz w:val="20"/>
          <w:szCs w:val="20"/>
          <w:lang w:val="en-US"/>
        </w:rPr>
      </w:pPr>
      <w:r w:rsidRPr="007D770B">
        <w:rPr>
          <w:sz w:val="20"/>
          <w:szCs w:val="20"/>
          <w:lang w:val="en-US"/>
        </w:rPr>
        <w:t xml:space="preserve">Each category of capital is disclosed separately in the </w:t>
      </w:r>
      <w:r w:rsidR="00F9744B" w:rsidRPr="007D770B">
        <w:rPr>
          <w:sz w:val="20"/>
          <w:szCs w:val="20"/>
          <w:lang w:val="en-US"/>
        </w:rPr>
        <w:t xml:space="preserve">Bank's </w:t>
      </w:r>
      <w:r w:rsidRPr="007D770B">
        <w:rPr>
          <w:sz w:val="20"/>
          <w:szCs w:val="20"/>
          <w:lang w:val="en-US"/>
        </w:rPr>
        <w:t>basic financial statements.</w:t>
      </w:r>
    </w:p>
    <w:p w14:paraId="0210A8B0" w14:textId="77777777" w:rsidR="009E2B77" w:rsidRPr="007D770B" w:rsidRDefault="009E2B77" w:rsidP="00F96B17">
      <w:pPr>
        <w:pStyle w:val="1"/>
        <w:numPr>
          <w:ilvl w:val="0"/>
          <w:numId w:val="0"/>
        </w:numPr>
        <w:spacing w:before="240" w:after="240"/>
        <w:rPr>
          <w:sz w:val="20"/>
          <w:szCs w:val="20"/>
          <w:lang w:val="en-US"/>
        </w:rPr>
      </w:pPr>
      <w:r w:rsidRPr="007D770B">
        <w:rPr>
          <w:sz w:val="20"/>
          <w:szCs w:val="20"/>
          <w:lang w:val="en-US"/>
        </w:rPr>
        <w:t xml:space="preserve">The </w:t>
      </w:r>
      <w:r w:rsidR="00F9744B" w:rsidRPr="007D770B">
        <w:rPr>
          <w:sz w:val="20"/>
          <w:szCs w:val="20"/>
          <w:lang w:val="en-US"/>
        </w:rPr>
        <w:t xml:space="preserve">Bank </w:t>
      </w:r>
      <w:r w:rsidRPr="007D770B">
        <w:rPr>
          <w:sz w:val="20"/>
          <w:szCs w:val="20"/>
          <w:lang w:val="en-US"/>
        </w:rPr>
        <w:t>ensures disclosure of information:</w:t>
      </w:r>
    </w:p>
    <w:p w14:paraId="54241E69" w14:textId="77777777" w:rsidR="009E2B77" w:rsidRPr="007D770B" w:rsidRDefault="009E2B77" w:rsidP="00F96B17">
      <w:pPr>
        <w:pStyle w:val="af4"/>
        <w:spacing w:before="240" w:after="240"/>
        <w:ind w:firstLine="0"/>
        <w:rPr>
          <w:sz w:val="20"/>
          <w:szCs w:val="20"/>
          <w:lang w:val="en-US"/>
        </w:rPr>
      </w:pPr>
      <w:r w:rsidRPr="007D770B">
        <w:rPr>
          <w:sz w:val="20"/>
          <w:szCs w:val="20"/>
          <w:lang w:val="en-US"/>
        </w:rPr>
        <w:t>In the statement of changes in equity:</w:t>
      </w:r>
    </w:p>
    <w:p w14:paraId="08AF7E03" w14:textId="77777777" w:rsidR="009E2B77" w:rsidRPr="007D770B" w:rsidRDefault="009E2B77" w:rsidP="00AE698A">
      <w:pPr>
        <w:pStyle w:val="21"/>
        <w:numPr>
          <w:ilvl w:val="0"/>
          <w:numId w:val="69"/>
        </w:numPr>
        <w:tabs>
          <w:tab w:val="left" w:pos="450"/>
        </w:tabs>
        <w:spacing w:before="240" w:after="240"/>
        <w:rPr>
          <w:sz w:val="20"/>
          <w:szCs w:val="20"/>
          <w:lang w:val="en-US"/>
        </w:rPr>
      </w:pPr>
      <w:r w:rsidRPr="007D770B">
        <w:rPr>
          <w:sz w:val="20"/>
          <w:szCs w:val="20"/>
          <w:lang w:val="en-US"/>
        </w:rPr>
        <w:t xml:space="preserve">a reconciliation between the carrying amounts at the beginning and end of the reporting period and the previous reporting period of all equity items, showing separately the effects of: </w:t>
      </w:r>
      <w:r w:rsidR="008C7850" w:rsidRPr="007D770B">
        <w:rPr>
          <w:sz w:val="20"/>
          <w:szCs w:val="20"/>
          <w:lang w:val="en-US"/>
        </w:rPr>
        <w:t xml:space="preserve">profit or loss, other comprehensive income and </w:t>
      </w:r>
      <w:r w:rsidRPr="007D770B">
        <w:rPr>
          <w:sz w:val="20"/>
          <w:szCs w:val="20"/>
          <w:lang w:val="en-US"/>
        </w:rPr>
        <w:t>transactions with the shareholder acting in that capacity, showing separately contributions, distributions and changes in interests in subsidiaries that do not result in a loss of control;</w:t>
      </w:r>
    </w:p>
    <w:p w14:paraId="4F81F7BB" w14:textId="12341231" w:rsidR="009E2B77" w:rsidRPr="007D770B" w:rsidRDefault="009E2B77" w:rsidP="00AE698A">
      <w:pPr>
        <w:pStyle w:val="21"/>
        <w:numPr>
          <w:ilvl w:val="0"/>
          <w:numId w:val="69"/>
        </w:numPr>
        <w:tabs>
          <w:tab w:val="left" w:pos="450"/>
        </w:tabs>
        <w:spacing w:before="240" w:after="240"/>
        <w:rPr>
          <w:sz w:val="20"/>
          <w:szCs w:val="20"/>
          <w:lang w:val="en-US"/>
        </w:rPr>
      </w:pPr>
      <w:r w:rsidRPr="007D770B">
        <w:rPr>
          <w:sz w:val="20"/>
          <w:szCs w:val="20"/>
          <w:lang w:val="en-US"/>
        </w:rPr>
        <w:t>the effect of changes in accounting policies (cumulatively from the date of occurrence of transactions for which accounting treatment is changed) (section 2 Changes in Accounting Policies, Estimates and Errors (IAS 8) of Chapter 1);</w:t>
      </w:r>
    </w:p>
    <w:p w14:paraId="48099514" w14:textId="17D11813" w:rsidR="009E2B77" w:rsidRPr="007D770B" w:rsidRDefault="009E2B77" w:rsidP="00AE698A">
      <w:pPr>
        <w:pStyle w:val="21"/>
        <w:numPr>
          <w:ilvl w:val="0"/>
          <w:numId w:val="69"/>
        </w:numPr>
        <w:tabs>
          <w:tab w:val="left" w:pos="450"/>
        </w:tabs>
        <w:spacing w:before="240" w:after="240"/>
        <w:rPr>
          <w:sz w:val="20"/>
          <w:szCs w:val="20"/>
          <w:lang w:val="en-US"/>
        </w:rPr>
      </w:pPr>
      <w:r w:rsidRPr="007D770B">
        <w:rPr>
          <w:sz w:val="20"/>
          <w:szCs w:val="20"/>
          <w:lang w:val="en-US"/>
        </w:rPr>
        <w:t xml:space="preserve">the result of recognizing material errors from prior periods (section 2 </w:t>
      </w:r>
      <w:r w:rsidR="00802136" w:rsidRPr="007D770B">
        <w:rPr>
          <w:sz w:val="20"/>
          <w:szCs w:val="20"/>
          <w:lang w:val="en-US"/>
        </w:rPr>
        <w:t>"</w:t>
      </w:r>
      <w:r w:rsidRPr="007D770B">
        <w:rPr>
          <w:sz w:val="20"/>
          <w:szCs w:val="20"/>
          <w:lang w:val="en-US"/>
        </w:rPr>
        <w:t>Changes in accounting policies, estimates and errors (IAS 8)</w:t>
      </w:r>
      <w:r w:rsidR="00802136" w:rsidRPr="007D770B">
        <w:rPr>
          <w:sz w:val="20"/>
          <w:szCs w:val="20"/>
          <w:lang w:val="en-US"/>
        </w:rPr>
        <w:t xml:space="preserve">" </w:t>
      </w:r>
      <w:r w:rsidRPr="007D770B">
        <w:rPr>
          <w:sz w:val="20"/>
          <w:szCs w:val="20"/>
          <w:lang w:val="en-US"/>
        </w:rPr>
        <w:t>in Chapter 1);</w:t>
      </w:r>
    </w:p>
    <w:p w14:paraId="32A8F96E" w14:textId="77777777" w:rsidR="009E2B77" w:rsidRPr="007D770B" w:rsidRDefault="009E2B77" w:rsidP="00F96B17">
      <w:pPr>
        <w:pStyle w:val="1"/>
        <w:numPr>
          <w:ilvl w:val="0"/>
          <w:numId w:val="0"/>
        </w:numPr>
        <w:spacing w:before="240" w:after="240"/>
        <w:rPr>
          <w:sz w:val="20"/>
          <w:szCs w:val="20"/>
          <w:lang w:val="en-US"/>
        </w:rPr>
      </w:pPr>
      <w:r w:rsidRPr="007D770B">
        <w:rPr>
          <w:sz w:val="20"/>
          <w:szCs w:val="20"/>
          <w:lang w:val="en-US"/>
        </w:rPr>
        <w:t>In the statement of changes in equity, or in the notes:</w:t>
      </w:r>
    </w:p>
    <w:p w14:paraId="1775D0A6" w14:textId="77777777" w:rsidR="009E2B77" w:rsidRPr="007D770B" w:rsidRDefault="009E2B77" w:rsidP="00AE698A">
      <w:pPr>
        <w:pStyle w:val="1"/>
        <w:numPr>
          <w:ilvl w:val="0"/>
          <w:numId w:val="70"/>
        </w:numPr>
        <w:spacing w:before="240" w:after="240"/>
        <w:rPr>
          <w:sz w:val="20"/>
          <w:szCs w:val="20"/>
          <w:lang w:val="en-US"/>
        </w:rPr>
      </w:pPr>
      <w:r w:rsidRPr="007D770B">
        <w:rPr>
          <w:sz w:val="20"/>
          <w:szCs w:val="20"/>
          <w:lang w:val="en-US"/>
        </w:rPr>
        <w:t>for each item of equity, an analysis of other comprehensive income by item;</w:t>
      </w:r>
    </w:p>
    <w:p w14:paraId="1DD2220F" w14:textId="77777777" w:rsidR="009E2B77" w:rsidRPr="007D770B" w:rsidRDefault="009E2B77" w:rsidP="00AE698A">
      <w:pPr>
        <w:pStyle w:val="1"/>
        <w:numPr>
          <w:ilvl w:val="0"/>
          <w:numId w:val="70"/>
        </w:numPr>
        <w:spacing w:before="240" w:after="240"/>
        <w:rPr>
          <w:sz w:val="20"/>
          <w:szCs w:val="20"/>
          <w:lang w:val="en-US"/>
        </w:rPr>
      </w:pPr>
      <w:r w:rsidRPr="007D770B">
        <w:rPr>
          <w:sz w:val="20"/>
          <w:szCs w:val="20"/>
          <w:lang w:val="en-US"/>
        </w:rPr>
        <w:t>the amount of dividends recognized as a distribution to the shareholder and the amount of dividends per share.</w:t>
      </w:r>
    </w:p>
    <w:p w14:paraId="2171644E" w14:textId="77777777" w:rsidR="009E2B77" w:rsidRPr="007D770B" w:rsidRDefault="009E2B77" w:rsidP="00F96B17">
      <w:pPr>
        <w:pStyle w:val="1"/>
        <w:numPr>
          <w:ilvl w:val="0"/>
          <w:numId w:val="0"/>
        </w:numPr>
        <w:spacing w:before="240" w:after="240"/>
        <w:rPr>
          <w:sz w:val="20"/>
          <w:szCs w:val="20"/>
          <w:lang w:val="en-US"/>
        </w:rPr>
      </w:pPr>
      <w:r w:rsidRPr="007D770B">
        <w:rPr>
          <w:sz w:val="20"/>
          <w:szCs w:val="20"/>
          <w:lang w:val="en-US"/>
        </w:rPr>
        <w:lastRenderedPageBreak/>
        <w:t xml:space="preserve">In addition, the following information is provided in the notes to the accounts: </w:t>
      </w:r>
    </w:p>
    <w:p w14:paraId="1621C96C" w14:textId="77777777" w:rsidR="009E2B77" w:rsidRPr="002D4EA3" w:rsidRDefault="009E2B77" w:rsidP="00AE698A">
      <w:pPr>
        <w:pStyle w:val="21"/>
        <w:numPr>
          <w:ilvl w:val="0"/>
          <w:numId w:val="72"/>
        </w:numPr>
        <w:tabs>
          <w:tab w:val="left" w:pos="630"/>
        </w:tabs>
        <w:spacing w:before="240" w:after="240"/>
        <w:rPr>
          <w:sz w:val="20"/>
          <w:szCs w:val="20"/>
        </w:rPr>
      </w:pPr>
      <w:r w:rsidRPr="002D4EA3">
        <w:rPr>
          <w:sz w:val="20"/>
          <w:szCs w:val="20"/>
        </w:rPr>
        <w:t>on the stock:</w:t>
      </w:r>
    </w:p>
    <w:p w14:paraId="2938F9D8" w14:textId="77777777" w:rsidR="009E2B77" w:rsidRPr="002D4EA3" w:rsidRDefault="009E2B77" w:rsidP="00AE698A">
      <w:pPr>
        <w:numPr>
          <w:ilvl w:val="1"/>
          <w:numId w:val="22"/>
        </w:numPr>
        <w:tabs>
          <w:tab w:val="num" w:pos="1080"/>
          <w:tab w:val="num" w:pos="1800"/>
        </w:tabs>
        <w:autoSpaceDE w:val="0"/>
        <w:autoSpaceDN w:val="0"/>
        <w:adjustRightInd w:val="0"/>
        <w:spacing w:before="240" w:line="240" w:lineRule="auto"/>
        <w:ind w:left="1080"/>
        <w:rPr>
          <w:rFonts w:ascii="Times New Roman" w:hAnsi="Times New Roman"/>
        </w:rPr>
      </w:pPr>
      <w:r w:rsidRPr="002D4EA3">
        <w:rPr>
          <w:rFonts w:ascii="Times New Roman" w:hAnsi="Times New Roman"/>
        </w:rPr>
        <w:t>face value;</w:t>
      </w:r>
    </w:p>
    <w:p w14:paraId="09D5A37F" w14:textId="77777777" w:rsidR="009E2B77" w:rsidRPr="007D770B" w:rsidRDefault="009E2B77" w:rsidP="00AE698A">
      <w:pPr>
        <w:numPr>
          <w:ilvl w:val="1"/>
          <w:numId w:val="22"/>
        </w:numPr>
        <w:tabs>
          <w:tab w:val="num" w:pos="1080"/>
          <w:tab w:val="num" w:pos="1800"/>
        </w:tabs>
        <w:autoSpaceDE w:val="0"/>
        <w:autoSpaceDN w:val="0"/>
        <w:adjustRightInd w:val="0"/>
        <w:spacing w:before="240" w:line="240" w:lineRule="auto"/>
        <w:ind w:left="1080"/>
        <w:rPr>
          <w:rFonts w:ascii="Times New Roman" w:hAnsi="Times New Roman"/>
          <w:lang w:val="en-US"/>
        </w:rPr>
      </w:pPr>
      <w:r w:rsidRPr="007D770B">
        <w:rPr>
          <w:rFonts w:ascii="Times New Roman" w:hAnsi="Times New Roman"/>
          <w:lang w:val="en-US"/>
        </w:rPr>
        <w:t xml:space="preserve">rights, privileges and restrictions, including restrictions on the distribution of dividends and on the return of funds on liquidation of the </w:t>
      </w:r>
      <w:r w:rsidR="00F9744B" w:rsidRPr="007D770B">
        <w:rPr>
          <w:rFonts w:ascii="Times New Roman" w:hAnsi="Times New Roman"/>
          <w:lang w:val="en-US"/>
        </w:rPr>
        <w:t>Bank</w:t>
      </w:r>
      <w:r w:rsidRPr="007D770B">
        <w:rPr>
          <w:rFonts w:ascii="Times New Roman" w:hAnsi="Times New Roman"/>
          <w:lang w:val="en-US"/>
        </w:rPr>
        <w:t>;</w:t>
      </w:r>
    </w:p>
    <w:p w14:paraId="63EDF250" w14:textId="77777777" w:rsidR="009E2B77" w:rsidRPr="002D4EA3" w:rsidRDefault="009E2B77" w:rsidP="00AE698A">
      <w:pPr>
        <w:numPr>
          <w:ilvl w:val="1"/>
          <w:numId w:val="22"/>
        </w:numPr>
        <w:tabs>
          <w:tab w:val="num" w:pos="1080"/>
          <w:tab w:val="num" w:pos="1800"/>
        </w:tabs>
        <w:autoSpaceDE w:val="0"/>
        <w:autoSpaceDN w:val="0"/>
        <w:adjustRightInd w:val="0"/>
        <w:spacing w:before="240" w:line="240" w:lineRule="auto"/>
        <w:ind w:left="1080"/>
        <w:rPr>
          <w:rFonts w:ascii="Times New Roman" w:hAnsi="Times New Roman"/>
        </w:rPr>
      </w:pPr>
      <w:r w:rsidRPr="002D4EA3">
        <w:rPr>
          <w:rFonts w:ascii="Times New Roman" w:hAnsi="Times New Roman"/>
        </w:rPr>
        <w:t>number of authorized shares;</w:t>
      </w:r>
    </w:p>
    <w:p w14:paraId="3A75C33A" w14:textId="77777777" w:rsidR="009E2B77" w:rsidRPr="007D770B" w:rsidRDefault="009E2B77" w:rsidP="00AE698A">
      <w:pPr>
        <w:numPr>
          <w:ilvl w:val="1"/>
          <w:numId w:val="22"/>
        </w:numPr>
        <w:tabs>
          <w:tab w:val="num" w:pos="1080"/>
          <w:tab w:val="num" w:pos="1800"/>
        </w:tabs>
        <w:autoSpaceDE w:val="0"/>
        <w:autoSpaceDN w:val="0"/>
        <w:adjustRightInd w:val="0"/>
        <w:spacing w:before="240" w:line="240" w:lineRule="auto"/>
        <w:ind w:left="1080"/>
        <w:rPr>
          <w:rFonts w:ascii="Times New Roman" w:hAnsi="Times New Roman"/>
          <w:lang w:val="en-US"/>
        </w:rPr>
      </w:pPr>
      <w:r w:rsidRPr="007D770B">
        <w:rPr>
          <w:rFonts w:ascii="Times New Roman" w:hAnsi="Times New Roman"/>
          <w:lang w:val="en-US"/>
        </w:rPr>
        <w:t>number of outstanding and fully paid shares, as well as outstanding but not fully paid shares;</w:t>
      </w:r>
    </w:p>
    <w:p w14:paraId="52CF4B94" w14:textId="77777777" w:rsidR="009E2B77" w:rsidRPr="007D770B" w:rsidRDefault="009E2B77" w:rsidP="00AE698A">
      <w:pPr>
        <w:numPr>
          <w:ilvl w:val="1"/>
          <w:numId w:val="22"/>
        </w:numPr>
        <w:tabs>
          <w:tab w:val="num" w:pos="1080"/>
          <w:tab w:val="num" w:pos="1800"/>
        </w:tabs>
        <w:autoSpaceDE w:val="0"/>
        <w:autoSpaceDN w:val="0"/>
        <w:adjustRightInd w:val="0"/>
        <w:spacing w:before="240" w:line="240" w:lineRule="auto"/>
        <w:ind w:left="1080"/>
        <w:rPr>
          <w:rFonts w:ascii="Times New Roman" w:hAnsi="Times New Roman"/>
          <w:lang w:val="en-US"/>
        </w:rPr>
      </w:pPr>
      <w:r w:rsidRPr="007D770B">
        <w:rPr>
          <w:rFonts w:ascii="Times New Roman" w:hAnsi="Times New Roman"/>
          <w:lang w:val="en-US"/>
        </w:rPr>
        <w:t>number of shares in circulation (placed less repurchased shares) at the beginning and end of the reporting period;</w:t>
      </w:r>
    </w:p>
    <w:p w14:paraId="75935FDA" w14:textId="77777777" w:rsidR="009E2B77" w:rsidRPr="007D770B" w:rsidRDefault="009E2B77" w:rsidP="00AE698A">
      <w:pPr>
        <w:numPr>
          <w:ilvl w:val="1"/>
          <w:numId w:val="22"/>
        </w:numPr>
        <w:tabs>
          <w:tab w:val="num" w:pos="1080"/>
          <w:tab w:val="num" w:pos="1800"/>
        </w:tabs>
        <w:autoSpaceDE w:val="0"/>
        <w:autoSpaceDN w:val="0"/>
        <w:adjustRightInd w:val="0"/>
        <w:spacing w:before="240" w:line="240" w:lineRule="auto"/>
        <w:ind w:left="1080"/>
        <w:rPr>
          <w:rFonts w:ascii="Times New Roman" w:hAnsi="Times New Roman"/>
          <w:lang w:val="en-US"/>
        </w:rPr>
      </w:pPr>
      <w:r w:rsidRPr="007D770B">
        <w:rPr>
          <w:rFonts w:ascii="Times New Roman" w:hAnsi="Times New Roman"/>
          <w:lang w:val="en-US"/>
        </w:rPr>
        <w:t>reconciliation between the number of shares at the beginning and at the end of the reporting period;</w:t>
      </w:r>
    </w:p>
    <w:p w14:paraId="31D12E66" w14:textId="77777777" w:rsidR="009E2B77" w:rsidRPr="007D770B" w:rsidRDefault="009E2B77" w:rsidP="00AE698A">
      <w:pPr>
        <w:numPr>
          <w:ilvl w:val="1"/>
          <w:numId w:val="22"/>
        </w:numPr>
        <w:tabs>
          <w:tab w:val="num" w:pos="1080"/>
          <w:tab w:val="num" w:pos="1800"/>
        </w:tabs>
        <w:autoSpaceDE w:val="0"/>
        <w:autoSpaceDN w:val="0"/>
        <w:adjustRightInd w:val="0"/>
        <w:spacing w:before="240" w:line="240" w:lineRule="auto"/>
        <w:ind w:left="1080"/>
        <w:rPr>
          <w:rFonts w:ascii="Times New Roman" w:hAnsi="Times New Roman"/>
          <w:lang w:val="en-US"/>
        </w:rPr>
      </w:pPr>
      <w:r w:rsidRPr="007D770B">
        <w:rPr>
          <w:rFonts w:ascii="Times New Roman" w:hAnsi="Times New Roman"/>
          <w:lang w:val="en-US"/>
        </w:rPr>
        <w:t xml:space="preserve">shares of </w:t>
      </w:r>
      <w:r w:rsidR="00F40BFA" w:rsidRPr="007D770B">
        <w:rPr>
          <w:rFonts w:ascii="Times New Roman" w:hAnsi="Times New Roman"/>
          <w:lang w:val="en-US"/>
        </w:rPr>
        <w:t xml:space="preserve">the </w:t>
      </w:r>
      <w:r w:rsidR="00F9744B" w:rsidRPr="007D770B">
        <w:rPr>
          <w:rFonts w:ascii="Times New Roman" w:hAnsi="Times New Roman"/>
          <w:lang w:val="en-US"/>
        </w:rPr>
        <w:t xml:space="preserve">Bank </w:t>
      </w:r>
      <w:r w:rsidRPr="007D770B">
        <w:rPr>
          <w:rFonts w:ascii="Times New Roman" w:hAnsi="Times New Roman"/>
          <w:lang w:val="en-US"/>
        </w:rPr>
        <w:t>held by its subsidiaries or associates;</w:t>
      </w:r>
    </w:p>
    <w:p w14:paraId="40EDD0CD" w14:textId="77777777" w:rsidR="009E2B77" w:rsidRPr="007D770B" w:rsidRDefault="009E2B77" w:rsidP="00AE698A">
      <w:pPr>
        <w:numPr>
          <w:ilvl w:val="1"/>
          <w:numId w:val="22"/>
        </w:numPr>
        <w:tabs>
          <w:tab w:val="num" w:pos="1080"/>
          <w:tab w:val="num" w:pos="1800"/>
        </w:tabs>
        <w:autoSpaceDE w:val="0"/>
        <w:autoSpaceDN w:val="0"/>
        <w:adjustRightInd w:val="0"/>
        <w:spacing w:before="240" w:line="240" w:lineRule="auto"/>
        <w:ind w:left="1080"/>
        <w:rPr>
          <w:rFonts w:ascii="Times New Roman" w:hAnsi="Times New Roman"/>
          <w:lang w:val="en-US"/>
        </w:rPr>
      </w:pPr>
      <w:r w:rsidRPr="007D770B">
        <w:rPr>
          <w:rFonts w:ascii="Times New Roman" w:hAnsi="Times New Roman"/>
          <w:lang w:val="en-US"/>
        </w:rPr>
        <w:t>shares reserved for issuance under option or sale agreements, including terms and amounts.</w:t>
      </w:r>
    </w:p>
    <w:p w14:paraId="7E7028D4" w14:textId="37649480" w:rsidR="009E2B77" w:rsidRPr="007D770B" w:rsidRDefault="009E2B77" w:rsidP="00AE698A">
      <w:pPr>
        <w:pStyle w:val="21"/>
        <w:numPr>
          <w:ilvl w:val="0"/>
          <w:numId w:val="71"/>
        </w:numPr>
        <w:tabs>
          <w:tab w:val="left" w:pos="630"/>
        </w:tabs>
        <w:spacing w:before="240" w:after="240"/>
        <w:rPr>
          <w:sz w:val="20"/>
          <w:szCs w:val="20"/>
          <w:lang w:val="en-US"/>
        </w:rPr>
      </w:pPr>
      <w:r w:rsidRPr="007D770B">
        <w:rPr>
          <w:sz w:val="20"/>
          <w:szCs w:val="20"/>
          <w:lang w:val="en-US"/>
        </w:rPr>
        <w:t>a description of the nature and purpose of each item of the capital reserve;</w:t>
      </w:r>
    </w:p>
    <w:p w14:paraId="5B9CD726" w14:textId="77777777" w:rsidR="00CC0318" w:rsidRPr="007D770B" w:rsidRDefault="009E2B77" w:rsidP="00AE698A">
      <w:pPr>
        <w:pStyle w:val="21"/>
        <w:numPr>
          <w:ilvl w:val="0"/>
          <w:numId w:val="382"/>
        </w:numPr>
        <w:tabs>
          <w:tab w:val="left" w:pos="630"/>
        </w:tabs>
        <w:spacing w:before="240" w:after="240"/>
        <w:rPr>
          <w:sz w:val="20"/>
          <w:szCs w:val="20"/>
          <w:lang w:val="en-US"/>
        </w:rPr>
        <w:sectPr w:rsidR="00CC0318" w:rsidRPr="007D770B" w:rsidSect="0090525C">
          <w:headerReference w:type="even" r:id="rId70"/>
          <w:headerReference w:type="default" r:id="rId71"/>
          <w:headerReference w:type="first" r:id="rId72"/>
          <w:type w:val="continuous"/>
          <w:pgSz w:w="11906" w:h="16838"/>
          <w:pgMar w:top="1270" w:right="680" w:bottom="902" w:left="1134" w:header="510" w:footer="403" w:gutter="0"/>
          <w:cols w:space="708"/>
          <w:titlePg/>
          <w:docGrid w:linePitch="360"/>
        </w:sectPr>
      </w:pPr>
      <w:r w:rsidRPr="007D770B">
        <w:rPr>
          <w:sz w:val="20"/>
          <w:szCs w:val="20"/>
          <w:lang w:val="en-US"/>
        </w:rPr>
        <w:t>the amount of dividends proposed or approved for payment after the reporting date but before the financial statements are authorized for issue.</w:t>
      </w:r>
    </w:p>
    <w:p w14:paraId="69F1AAAA" w14:textId="557B379C" w:rsidR="00AE698A" w:rsidRPr="007D770B" w:rsidRDefault="00AE698A" w:rsidP="00CD26BD">
      <w:pPr>
        <w:pStyle w:val="2"/>
        <w:keepNext w:val="0"/>
        <w:keepLines w:val="0"/>
        <w:pageBreakBefore/>
        <w:tabs>
          <w:tab w:val="right" w:pos="10092"/>
        </w:tabs>
        <w:spacing w:before="240"/>
        <w:jc w:val="both"/>
        <w:rPr>
          <w:rFonts w:ascii="Times New Roman" w:hAnsi="Times New Roman"/>
          <w:szCs w:val="20"/>
          <w:lang w:val="en-US"/>
        </w:rPr>
      </w:pPr>
      <w:bookmarkStart w:id="329" w:name="_Toc270001464"/>
      <w:bookmarkStart w:id="330" w:name="_Toc378283464"/>
      <w:bookmarkStart w:id="331" w:name="_Toc168502102"/>
      <w:r w:rsidRPr="007D770B">
        <w:rPr>
          <w:rFonts w:ascii="Times New Roman" w:hAnsi="Times New Roman"/>
          <w:szCs w:val="20"/>
          <w:lang w:val="en-US"/>
        </w:rPr>
        <w:lastRenderedPageBreak/>
        <w:t xml:space="preserve">Section </w:t>
      </w:r>
      <w:r w:rsidR="00BC685B" w:rsidRPr="007D770B">
        <w:rPr>
          <w:rFonts w:ascii="Times New Roman" w:hAnsi="Times New Roman"/>
          <w:szCs w:val="20"/>
          <w:lang w:val="en-US"/>
        </w:rPr>
        <w:t>14</w:t>
      </w:r>
      <w:r w:rsidRPr="007D770B">
        <w:rPr>
          <w:rFonts w:ascii="Times New Roman" w:hAnsi="Times New Roman"/>
          <w:szCs w:val="20"/>
          <w:lang w:val="en-US"/>
        </w:rPr>
        <w:t>. Government Grants</w:t>
      </w:r>
      <w:bookmarkEnd w:id="329"/>
      <w:r w:rsidRPr="007D770B">
        <w:rPr>
          <w:rFonts w:ascii="Times New Roman" w:hAnsi="Times New Roman"/>
          <w:szCs w:val="20"/>
          <w:lang w:val="en-US"/>
        </w:rPr>
        <w:t xml:space="preserve"> (IAS 20)</w:t>
      </w:r>
      <w:bookmarkEnd w:id="330"/>
      <w:bookmarkEnd w:id="331"/>
      <w:r w:rsidR="00CD26BD" w:rsidRPr="007D770B">
        <w:rPr>
          <w:rFonts w:ascii="Times New Roman" w:hAnsi="Times New Roman"/>
          <w:szCs w:val="20"/>
          <w:lang w:val="en-US"/>
        </w:rPr>
        <w:tab/>
      </w:r>
    </w:p>
    <w:p w14:paraId="772D1A64" w14:textId="7E65DD33" w:rsidR="00AE698A" w:rsidRPr="007D770B" w:rsidRDefault="00BC685B" w:rsidP="00AE698A">
      <w:pPr>
        <w:pStyle w:val="3"/>
        <w:rPr>
          <w:lang w:val="en-US"/>
        </w:rPr>
      </w:pPr>
      <w:bookmarkStart w:id="332" w:name="_Toc270001465"/>
      <w:bookmarkStart w:id="333" w:name="_Toc378283465"/>
      <w:bookmarkStart w:id="334" w:name="_Toc168502103"/>
      <w:r w:rsidRPr="007D770B">
        <w:rPr>
          <w:lang w:val="en-US"/>
        </w:rPr>
        <w:t>14-1</w:t>
      </w:r>
      <w:r w:rsidR="00AE698A" w:rsidRPr="007D770B">
        <w:rPr>
          <w:lang w:val="en-US"/>
        </w:rPr>
        <w:t>.</w:t>
      </w:r>
      <w:r w:rsidRPr="007D770B">
        <w:rPr>
          <w:lang w:val="en-US"/>
        </w:rPr>
        <w:t>1.</w:t>
      </w:r>
      <w:r w:rsidR="00AE698A" w:rsidRPr="007D770B">
        <w:rPr>
          <w:lang w:val="en-US"/>
        </w:rPr>
        <w:t xml:space="preserve"> General provisions</w:t>
      </w:r>
      <w:bookmarkEnd w:id="332"/>
      <w:bookmarkEnd w:id="333"/>
      <w:bookmarkEnd w:id="334"/>
    </w:p>
    <w:p w14:paraId="185A57FB" w14:textId="333ABFBD" w:rsidR="00AE698A" w:rsidRPr="007D770B" w:rsidRDefault="00AE698A" w:rsidP="00AE698A">
      <w:pPr>
        <w:pStyle w:val="ABC-paragrahinNotes"/>
        <w:spacing w:before="240"/>
        <w:rPr>
          <w:rFonts w:ascii="Times New Roman" w:hAnsi="Times New Roman"/>
          <w:sz w:val="20"/>
          <w:lang w:val="en-US"/>
        </w:rPr>
      </w:pPr>
      <w:r w:rsidRPr="007D770B">
        <w:rPr>
          <w:rFonts w:ascii="Times New Roman" w:hAnsi="Times New Roman"/>
          <w:sz w:val="20"/>
          <w:lang w:val="en-US"/>
        </w:rPr>
        <w:t xml:space="preserve">Government grants are recognized at fair value where there is reasonable assurance that the grant will be received and that the </w:t>
      </w:r>
      <w:r w:rsidR="0036160F" w:rsidRPr="007D770B">
        <w:rPr>
          <w:rFonts w:ascii="Times New Roman" w:hAnsi="Times New Roman"/>
          <w:sz w:val="20"/>
          <w:lang w:val="en-US"/>
        </w:rPr>
        <w:t xml:space="preserve">Bank </w:t>
      </w:r>
      <w:r w:rsidRPr="007D770B">
        <w:rPr>
          <w:rFonts w:ascii="Times New Roman" w:hAnsi="Times New Roman"/>
          <w:sz w:val="20"/>
          <w:lang w:val="en-US"/>
        </w:rPr>
        <w:t xml:space="preserve">will comply with all conditions attaching to the grant. Government grants related to the acquisition of property, plant and equipment are included in non-current liabilities as deferred income and recognized in profit or loss on a straight-line basis over the estimated useful lives of the related assets. </w:t>
      </w:r>
    </w:p>
    <w:p w14:paraId="5CEDF027" w14:textId="0E74A0CF" w:rsidR="00AE698A" w:rsidRPr="007D770B" w:rsidRDefault="00AE698A" w:rsidP="00AE698A">
      <w:pPr>
        <w:pStyle w:val="ABC-paragrahinNotes"/>
        <w:spacing w:before="240"/>
        <w:rPr>
          <w:rFonts w:ascii="Times New Roman" w:hAnsi="Times New Roman"/>
          <w:sz w:val="20"/>
          <w:lang w:val="en-US"/>
        </w:rPr>
      </w:pPr>
      <w:r w:rsidRPr="007D770B">
        <w:rPr>
          <w:rFonts w:ascii="Times New Roman" w:hAnsi="Times New Roman"/>
          <w:sz w:val="20"/>
          <w:lang w:val="en-US"/>
        </w:rPr>
        <w:t xml:space="preserve">Government grants allocated for cost recovery are deferred and recognized in profit or loss over the periods in which the </w:t>
      </w:r>
      <w:r w:rsidR="0036160F" w:rsidRPr="007D770B">
        <w:rPr>
          <w:rFonts w:ascii="Times New Roman" w:hAnsi="Times New Roman"/>
          <w:sz w:val="20"/>
          <w:lang w:val="en-US"/>
        </w:rPr>
        <w:t xml:space="preserve">Bank </w:t>
      </w:r>
      <w:r w:rsidRPr="007D770B">
        <w:rPr>
          <w:rFonts w:ascii="Times New Roman" w:hAnsi="Times New Roman"/>
          <w:sz w:val="20"/>
          <w:lang w:val="en-US"/>
        </w:rPr>
        <w:t>recognizes as an expense the related costs that the grants are intended to compensate.</w:t>
      </w:r>
    </w:p>
    <w:p w14:paraId="2F22FC4F" w14:textId="7B54DDC1" w:rsidR="00AE698A" w:rsidRPr="007D770B" w:rsidRDefault="00BC685B" w:rsidP="00AE698A">
      <w:pPr>
        <w:pStyle w:val="3"/>
        <w:rPr>
          <w:lang w:val="en-US"/>
        </w:rPr>
      </w:pPr>
      <w:bookmarkStart w:id="335" w:name="_Toc270001466"/>
      <w:bookmarkStart w:id="336" w:name="_Toc378283466"/>
      <w:bookmarkStart w:id="337" w:name="_Toc168502104"/>
      <w:r w:rsidRPr="007D770B">
        <w:rPr>
          <w:lang w:val="en-US"/>
        </w:rPr>
        <w:t>14-1</w:t>
      </w:r>
      <w:r w:rsidR="00AE698A" w:rsidRPr="007D770B">
        <w:rPr>
          <w:lang w:val="en-US"/>
        </w:rPr>
        <w:t xml:space="preserve">.2. Definitions </w:t>
      </w:r>
      <w:bookmarkEnd w:id="335"/>
      <w:bookmarkEnd w:id="336"/>
      <w:bookmarkEnd w:id="337"/>
    </w:p>
    <w:p w14:paraId="6C362B01" w14:textId="77777777" w:rsidR="00AE698A" w:rsidRPr="007D770B" w:rsidRDefault="00AE698A" w:rsidP="00AE698A">
      <w:pPr>
        <w:spacing w:before="240" w:line="240" w:lineRule="auto"/>
        <w:ind w:left="0"/>
        <w:rPr>
          <w:rFonts w:ascii="Times New Roman" w:hAnsi="Times New Roman"/>
          <w:lang w:val="en-US"/>
        </w:rPr>
      </w:pPr>
      <w:r w:rsidRPr="007D770B">
        <w:rPr>
          <w:rFonts w:ascii="Times New Roman" w:hAnsi="Times New Roman"/>
          <w:lang w:val="en-US"/>
        </w:rPr>
        <w:t xml:space="preserve">The following terms are used in this section with the meanings indicated: </w:t>
      </w:r>
    </w:p>
    <w:p w14:paraId="751CAA10" w14:textId="77777777" w:rsidR="00AE698A" w:rsidRPr="007D770B" w:rsidRDefault="00AE698A" w:rsidP="00AE698A">
      <w:pPr>
        <w:spacing w:before="240" w:line="240" w:lineRule="auto"/>
        <w:ind w:left="0"/>
        <w:rPr>
          <w:rFonts w:ascii="Times New Roman" w:hAnsi="Times New Roman"/>
          <w:strike/>
          <w:lang w:val="en-US"/>
        </w:rPr>
      </w:pPr>
      <w:r w:rsidRPr="007D770B">
        <w:rPr>
          <w:rFonts w:ascii="Times New Roman" w:hAnsi="Times New Roman"/>
          <w:b/>
          <w:lang w:val="en-US"/>
        </w:rPr>
        <w:t xml:space="preserve">The state is </w:t>
      </w:r>
      <w:r w:rsidRPr="007D770B">
        <w:rPr>
          <w:rFonts w:ascii="Times New Roman" w:hAnsi="Times New Roman"/>
          <w:lang w:val="en-US"/>
        </w:rPr>
        <w:t xml:space="preserve">the actual government and state agencies. </w:t>
      </w:r>
    </w:p>
    <w:p w14:paraId="67B52CCF" w14:textId="322F2FD5" w:rsidR="00AE698A" w:rsidRPr="007D770B" w:rsidRDefault="00AE698A" w:rsidP="00AE698A">
      <w:pPr>
        <w:spacing w:before="240" w:line="240" w:lineRule="auto"/>
        <w:ind w:left="0"/>
        <w:rPr>
          <w:rFonts w:ascii="Times New Roman" w:hAnsi="Times New Roman"/>
          <w:lang w:val="en-US"/>
        </w:rPr>
      </w:pPr>
      <w:r w:rsidRPr="007D770B">
        <w:rPr>
          <w:rFonts w:ascii="Times New Roman" w:hAnsi="Times New Roman"/>
          <w:b/>
          <w:lang w:val="en-US"/>
        </w:rPr>
        <w:t xml:space="preserve">State aid </w:t>
      </w:r>
      <w:r w:rsidRPr="007D770B">
        <w:rPr>
          <w:rFonts w:ascii="Times New Roman" w:hAnsi="Times New Roman"/>
          <w:lang w:val="en-US"/>
        </w:rPr>
        <w:t xml:space="preserve">is government action aimed at providing economic benefits to the </w:t>
      </w:r>
      <w:r w:rsidRPr="007D770B">
        <w:rPr>
          <w:rFonts w:ascii="Times New Roman" w:hAnsi="Times New Roman"/>
          <w:lang w:val="en-US" w:eastAsia="ru-RU"/>
        </w:rPr>
        <w:t xml:space="preserve">Bank </w:t>
      </w:r>
      <w:r w:rsidRPr="007D770B">
        <w:rPr>
          <w:rFonts w:ascii="Times New Roman" w:hAnsi="Times New Roman"/>
          <w:lang w:val="en-US"/>
        </w:rPr>
        <w:t xml:space="preserve">if it meets certain criteria. State aid, in the context of this section, does not include indirect benefits provided by influencing the general operating environment, such as the provision of infrastructure in developing areas or the imposition of trade restrictions on competitors. </w:t>
      </w:r>
    </w:p>
    <w:p w14:paraId="2C84EAED" w14:textId="6A090C8A" w:rsidR="00AE698A" w:rsidRPr="007D770B" w:rsidRDefault="00AE698A" w:rsidP="00AE698A">
      <w:pPr>
        <w:spacing w:before="240" w:line="240" w:lineRule="auto"/>
        <w:ind w:left="0"/>
        <w:rPr>
          <w:rFonts w:ascii="Times New Roman" w:hAnsi="Times New Roman"/>
          <w:lang w:val="en-US"/>
        </w:rPr>
      </w:pPr>
      <w:r w:rsidRPr="007D770B">
        <w:rPr>
          <w:rFonts w:ascii="Times New Roman" w:hAnsi="Times New Roman"/>
          <w:b/>
          <w:lang w:val="en-US"/>
        </w:rPr>
        <w:t xml:space="preserve">Government grants </w:t>
      </w:r>
      <w:r w:rsidRPr="007D770B">
        <w:rPr>
          <w:rFonts w:ascii="Times New Roman" w:hAnsi="Times New Roman"/>
          <w:lang w:val="en-US"/>
        </w:rPr>
        <w:t xml:space="preserve">are state aid in the form of transfers of resources to the Bank in exchange for past or future compliance with certain conditions related to the </w:t>
      </w:r>
      <w:r w:rsidRPr="007D770B">
        <w:rPr>
          <w:rFonts w:ascii="Times New Roman" w:hAnsi="Times New Roman"/>
          <w:lang w:val="en-US" w:eastAsia="ru-RU"/>
        </w:rPr>
        <w:t xml:space="preserve">Bank's </w:t>
      </w:r>
      <w:r w:rsidRPr="007D770B">
        <w:rPr>
          <w:rFonts w:ascii="Times New Roman" w:hAnsi="Times New Roman"/>
          <w:lang w:val="en-US"/>
        </w:rPr>
        <w:t xml:space="preserve">operations. Government grants do not include forms of government assistance that cannot be reasonably estimated and transactions with the government that are not distinguishable from the </w:t>
      </w:r>
      <w:r w:rsidRPr="007D770B">
        <w:rPr>
          <w:rFonts w:ascii="Times New Roman" w:hAnsi="Times New Roman"/>
          <w:lang w:val="en-US" w:eastAsia="ru-RU"/>
        </w:rPr>
        <w:t>Bank</w:t>
      </w:r>
      <w:r w:rsidRPr="007D770B">
        <w:rPr>
          <w:rFonts w:ascii="Times New Roman" w:hAnsi="Times New Roman"/>
          <w:lang w:val="en-US"/>
        </w:rPr>
        <w:t>'s normal commercial operations.</w:t>
      </w:r>
    </w:p>
    <w:p w14:paraId="023544E4" w14:textId="77777777" w:rsidR="00AE698A" w:rsidRPr="007D770B" w:rsidRDefault="00AE698A" w:rsidP="00AE698A">
      <w:pPr>
        <w:spacing w:before="240" w:line="240" w:lineRule="auto"/>
        <w:ind w:left="0"/>
        <w:rPr>
          <w:rFonts w:ascii="Times New Roman" w:hAnsi="Times New Roman"/>
          <w:lang w:val="en-US"/>
        </w:rPr>
      </w:pPr>
      <w:r w:rsidRPr="007D770B">
        <w:rPr>
          <w:rFonts w:ascii="Times New Roman" w:hAnsi="Times New Roman"/>
          <w:b/>
          <w:lang w:val="en-US"/>
        </w:rPr>
        <w:t xml:space="preserve">Fair value </w:t>
      </w:r>
      <w:r w:rsidRPr="007D770B">
        <w:rPr>
          <w:rFonts w:ascii="Times New Roman" w:hAnsi="Times New Roman"/>
          <w:lang w:val="en-US"/>
        </w:rPr>
        <w:t xml:space="preserve">is the price that would be received to sell an asset or paid to transfer a liability in an orderly transaction between market participants at the measurement date. </w:t>
      </w:r>
    </w:p>
    <w:p w14:paraId="50A09A8C" w14:textId="5779E0ED" w:rsidR="00AE698A" w:rsidRPr="007D770B" w:rsidRDefault="00AE698A" w:rsidP="00AE698A">
      <w:pPr>
        <w:spacing w:before="240" w:line="240" w:lineRule="auto"/>
        <w:ind w:left="0"/>
        <w:rPr>
          <w:rFonts w:ascii="Times New Roman" w:hAnsi="Times New Roman"/>
          <w:lang w:val="en-US"/>
        </w:rPr>
      </w:pPr>
      <w:r w:rsidRPr="007D770B">
        <w:rPr>
          <w:rFonts w:ascii="Times New Roman" w:hAnsi="Times New Roman"/>
          <w:b/>
          <w:lang w:val="en-US"/>
        </w:rPr>
        <w:t xml:space="preserve">Asset-related </w:t>
      </w:r>
      <w:r w:rsidRPr="007D770B">
        <w:rPr>
          <w:rFonts w:ascii="Times New Roman" w:hAnsi="Times New Roman"/>
          <w:lang w:val="en-US"/>
        </w:rPr>
        <w:t xml:space="preserve">subsidies are government subsidies whose primary condition is that the </w:t>
      </w:r>
      <w:r w:rsidR="0036160F" w:rsidRPr="007D770B">
        <w:rPr>
          <w:rFonts w:ascii="Times New Roman" w:hAnsi="Times New Roman"/>
          <w:lang w:val="en-US"/>
        </w:rPr>
        <w:t xml:space="preserve">Bank </w:t>
      </w:r>
      <w:r w:rsidRPr="007D770B">
        <w:rPr>
          <w:rFonts w:ascii="Times New Roman" w:hAnsi="Times New Roman"/>
          <w:lang w:val="en-US"/>
        </w:rPr>
        <w:t>must purchase, construct or acquire long-lived assets. It may be accompanied by additional conditions restricting the type of assets, their location or the terms of their acquisition or holding.</w:t>
      </w:r>
    </w:p>
    <w:p w14:paraId="3C55BDC9" w14:textId="77777777" w:rsidR="00AE698A" w:rsidRPr="007D770B" w:rsidRDefault="00AE698A" w:rsidP="00AE698A">
      <w:pPr>
        <w:spacing w:before="240" w:line="240" w:lineRule="auto"/>
        <w:ind w:left="0"/>
        <w:rPr>
          <w:rFonts w:ascii="Times New Roman" w:hAnsi="Times New Roman"/>
          <w:lang w:val="en-US"/>
        </w:rPr>
      </w:pPr>
      <w:r w:rsidRPr="007D770B">
        <w:rPr>
          <w:rFonts w:ascii="Times New Roman" w:hAnsi="Times New Roman"/>
          <w:b/>
          <w:lang w:val="en-US"/>
        </w:rPr>
        <w:t xml:space="preserve">Income-related subsidies </w:t>
      </w:r>
      <w:r w:rsidRPr="007D770B">
        <w:rPr>
          <w:rFonts w:ascii="Times New Roman" w:hAnsi="Times New Roman"/>
          <w:lang w:val="en-US"/>
        </w:rPr>
        <w:t xml:space="preserve">are government subsidies that do not relate to assets. </w:t>
      </w:r>
    </w:p>
    <w:p w14:paraId="405E9918" w14:textId="79B6D2EA" w:rsidR="00AE698A" w:rsidRPr="007D770B" w:rsidRDefault="00AE698A" w:rsidP="00AE698A">
      <w:pPr>
        <w:spacing w:before="240" w:line="240" w:lineRule="auto"/>
        <w:ind w:left="0"/>
        <w:rPr>
          <w:rFonts w:ascii="Times New Roman" w:hAnsi="Times New Roman"/>
          <w:lang w:val="en-US"/>
        </w:rPr>
      </w:pPr>
      <w:r w:rsidRPr="007D770B">
        <w:rPr>
          <w:rFonts w:ascii="Times New Roman" w:hAnsi="Times New Roman"/>
          <w:b/>
          <w:lang w:val="en-US"/>
        </w:rPr>
        <w:t xml:space="preserve">Conditional non-recourse </w:t>
      </w:r>
      <w:r w:rsidRPr="007D770B">
        <w:rPr>
          <w:rFonts w:ascii="Times New Roman" w:hAnsi="Times New Roman"/>
          <w:lang w:val="en-US"/>
        </w:rPr>
        <w:t xml:space="preserve">loans are loans for which the lender assumes an obligation to refuse to repay the amounts provided when certain prescribed conditions are met. </w:t>
      </w:r>
    </w:p>
    <w:p w14:paraId="0823F5BB" w14:textId="539DAFD9" w:rsidR="00AE698A" w:rsidRPr="007D770B" w:rsidRDefault="00AE698A" w:rsidP="00AE698A">
      <w:pPr>
        <w:spacing w:before="240" w:line="240" w:lineRule="auto"/>
        <w:ind w:left="0"/>
        <w:rPr>
          <w:rFonts w:ascii="Times New Roman" w:hAnsi="Times New Roman"/>
          <w:lang w:val="en-US"/>
        </w:rPr>
      </w:pPr>
      <w:r w:rsidRPr="007D770B">
        <w:rPr>
          <w:rFonts w:ascii="Times New Roman" w:hAnsi="Times New Roman"/>
          <w:lang w:val="en-US"/>
        </w:rPr>
        <w:t xml:space="preserve">State aid can take a variety of forms, differing both in the nature of the aid provided and the conditions attached to it. The purpose of state aid may be to induce the </w:t>
      </w:r>
      <w:r w:rsidR="0036160F" w:rsidRPr="007D770B">
        <w:rPr>
          <w:rFonts w:ascii="Times New Roman" w:hAnsi="Times New Roman"/>
          <w:lang w:val="en-US"/>
        </w:rPr>
        <w:t xml:space="preserve">Bank to </w:t>
      </w:r>
      <w:r w:rsidRPr="007D770B">
        <w:rPr>
          <w:rFonts w:ascii="Times New Roman" w:hAnsi="Times New Roman"/>
          <w:lang w:val="en-US"/>
        </w:rPr>
        <w:t>take a course of action that they would not have taken had the aid not been provided.</w:t>
      </w:r>
    </w:p>
    <w:p w14:paraId="6696A966" w14:textId="77777777" w:rsidR="00AE698A" w:rsidRPr="007D770B" w:rsidRDefault="00AE698A" w:rsidP="00AE698A">
      <w:pPr>
        <w:spacing w:before="240" w:line="240" w:lineRule="auto"/>
        <w:ind w:left="0"/>
        <w:rPr>
          <w:rFonts w:ascii="Times New Roman" w:hAnsi="Times New Roman"/>
          <w:lang w:val="en-US"/>
        </w:rPr>
      </w:pPr>
      <w:r w:rsidRPr="007D770B">
        <w:rPr>
          <w:rFonts w:ascii="Times New Roman" w:hAnsi="Times New Roman"/>
          <w:lang w:val="en-US"/>
        </w:rPr>
        <w:t>Government subsidies are sometimes referred to by other terms, such as grants, subventions, or awards.</w:t>
      </w:r>
    </w:p>
    <w:p w14:paraId="3CED9D2D" w14:textId="55B4DC3D" w:rsidR="00AE698A" w:rsidRPr="007D770B" w:rsidRDefault="00BC685B" w:rsidP="00AE698A">
      <w:pPr>
        <w:pStyle w:val="3"/>
        <w:rPr>
          <w:lang w:val="en-US"/>
        </w:rPr>
      </w:pPr>
      <w:bookmarkStart w:id="338" w:name="_Toc270001467"/>
      <w:bookmarkStart w:id="339" w:name="_Toc378283467"/>
      <w:bookmarkStart w:id="340" w:name="_Toc168502105"/>
      <w:r w:rsidRPr="007D770B">
        <w:rPr>
          <w:lang w:val="en-US"/>
        </w:rPr>
        <w:t>14-1</w:t>
      </w:r>
      <w:r w:rsidR="00AE698A" w:rsidRPr="007D770B">
        <w:rPr>
          <w:lang w:val="en-US"/>
        </w:rPr>
        <w:t>.3 Classification</w:t>
      </w:r>
      <w:bookmarkEnd w:id="338"/>
      <w:bookmarkEnd w:id="339"/>
      <w:bookmarkEnd w:id="340"/>
    </w:p>
    <w:p w14:paraId="02B38924" w14:textId="77777777" w:rsidR="00AE698A" w:rsidRPr="007D770B" w:rsidRDefault="00AE698A" w:rsidP="00AE698A">
      <w:pPr>
        <w:spacing w:before="240" w:line="240" w:lineRule="auto"/>
        <w:ind w:left="0"/>
        <w:rPr>
          <w:rFonts w:ascii="Times New Roman" w:hAnsi="Times New Roman"/>
          <w:b/>
          <w:lang w:val="en-US"/>
        </w:rPr>
      </w:pPr>
      <w:r w:rsidRPr="007D770B">
        <w:rPr>
          <w:rFonts w:ascii="Times New Roman" w:hAnsi="Times New Roman"/>
          <w:b/>
          <w:lang w:val="en-US"/>
        </w:rPr>
        <w:t xml:space="preserve">Government subsidies </w:t>
      </w:r>
    </w:p>
    <w:p w14:paraId="3CA0C9A0" w14:textId="77777777" w:rsidR="00AE698A" w:rsidRPr="007D770B" w:rsidRDefault="00AE698A" w:rsidP="00AE698A">
      <w:pPr>
        <w:spacing w:before="240" w:line="240" w:lineRule="auto"/>
        <w:ind w:left="0"/>
        <w:rPr>
          <w:rFonts w:ascii="Times New Roman" w:hAnsi="Times New Roman"/>
          <w:lang w:val="en-US"/>
        </w:rPr>
      </w:pPr>
      <w:r w:rsidRPr="007D770B">
        <w:rPr>
          <w:rFonts w:ascii="Times New Roman" w:hAnsi="Times New Roman"/>
          <w:lang w:val="en-US"/>
        </w:rPr>
        <w:t xml:space="preserve">Government grants, including non-cash grants at fair value, should not be recognized until there is reasonable assurance that: </w:t>
      </w:r>
    </w:p>
    <w:p w14:paraId="7F63C4A8" w14:textId="576C329B" w:rsidR="00AE698A" w:rsidRPr="007D770B" w:rsidRDefault="00AE698A" w:rsidP="00AE698A">
      <w:pPr>
        <w:numPr>
          <w:ilvl w:val="0"/>
          <w:numId w:val="381"/>
        </w:numPr>
        <w:spacing w:before="240" w:line="240" w:lineRule="auto"/>
        <w:rPr>
          <w:rFonts w:ascii="Times New Roman" w:hAnsi="Times New Roman"/>
          <w:lang w:val="en-US"/>
        </w:rPr>
      </w:pPr>
      <w:r w:rsidRPr="007D770B">
        <w:rPr>
          <w:rFonts w:ascii="Times New Roman" w:hAnsi="Times New Roman"/>
          <w:lang w:val="en-US"/>
        </w:rPr>
        <w:t xml:space="preserve">The </w:t>
      </w:r>
      <w:r w:rsidR="0036160F" w:rsidRPr="007D770B">
        <w:rPr>
          <w:rFonts w:ascii="Times New Roman" w:hAnsi="Times New Roman"/>
          <w:lang w:val="en-US"/>
        </w:rPr>
        <w:t xml:space="preserve">Bank </w:t>
      </w:r>
      <w:r w:rsidRPr="007D770B">
        <w:rPr>
          <w:rFonts w:ascii="Times New Roman" w:hAnsi="Times New Roman"/>
          <w:lang w:val="en-US"/>
        </w:rPr>
        <w:t xml:space="preserve">will comply with the conditions related thereto; and </w:t>
      </w:r>
    </w:p>
    <w:p w14:paraId="317C6774" w14:textId="77777777" w:rsidR="00AE698A" w:rsidRPr="002D4EA3" w:rsidRDefault="00AE698A" w:rsidP="00AE698A">
      <w:pPr>
        <w:numPr>
          <w:ilvl w:val="0"/>
          <w:numId w:val="381"/>
        </w:numPr>
        <w:spacing w:before="240" w:line="240" w:lineRule="auto"/>
        <w:rPr>
          <w:rFonts w:ascii="Times New Roman" w:hAnsi="Times New Roman"/>
        </w:rPr>
      </w:pPr>
      <w:r w:rsidRPr="002D4EA3">
        <w:rPr>
          <w:rFonts w:ascii="Times New Roman" w:hAnsi="Times New Roman"/>
        </w:rPr>
        <w:t xml:space="preserve">subsidies will be received. </w:t>
      </w:r>
    </w:p>
    <w:p w14:paraId="0C99A1E3" w14:textId="531D51BE" w:rsidR="00AE698A" w:rsidRPr="007D770B" w:rsidRDefault="00AE698A" w:rsidP="00AE698A">
      <w:pPr>
        <w:spacing w:before="240" w:line="240" w:lineRule="auto"/>
        <w:ind w:left="0"/>
        <w:rPr>
          <w:rFonts w:ascii="Times New Roman" w:hAnsi="Times New Roman"/>
          <w:lang w:val="en-US"/>
        </w:rPr>
      </w:pPr>
      <w:r w:rsidRPr="007D770B">
        <w:rPr>
          <w:rFonts w:ascii="Times New Roman" w:hAnsi="Times New Roman"/>
          <w:lang w:val="en-US"/>
        </w:rPr>
        <w:t xml:space="preserve">Government grants are not recognized until there is reasonable assurance that the </w:t>
      </w:r>
      <w:r w:rsidR="0036160F" w:rsidRPr="007D770B">
        <w:rPr>
          <w:rFonts w:ascii="Times New Roman" w:hAnsi="Times New Roman"/>
          <w:lang w:val="en-US"/>
        </w:rPr>
        <w:t xml:space="preserve">Bank </w:t>
      </w:r>
      <w:r w:rsidRPr="007D770B">
        <w:rPr>
          <w:rFonts w:ascii="Times New Roman" w:hAnsi="Times New Roman"/>
          <w:lang w:val="en-US"/>
        </w:rPr>
        <w:t>will comply with the conditions associated with the grant and that the grant will be received. The receipt of a subsidy does not, in and of itself, provide conclusive evidence that the conditions associated with the subsidy have been or will be met.</w:t>
      </w:r>
    </w:p>
    <w:p w14:paraId="7CE445A5" w14:textId="740B51FA" w:rsidR="00AE698A" w:rsidRPr="007D770B" w:rsidRDefault="00AE698A" w:rsidP="00AE698A">
      <w:pPr>
        <w:spacing w:before="240" w:line="240" w:lineRule="auto"/>
        <w:ind w:left="0"/>
        <w:rPr>
          <w:rFonts w:ascii="Times New Roman" w:hAnsi="Times New Roman"/>
          <w:lang w:val="en-US"/>
        </w:rPr>
      </w:pPr>
      <w:r w:rsidRPr="007D770B">
        <w:rPr>
          <w:rFonts w:ascii="Times New Roman" w:hAnsi="Times New Roman"/>
          <w:lang w:val="en-US"/>
        </w:rPr>
        <w:t xml:space="preserve">A conditionally irrecoverable loan from the government is accounted for as a government subsidy when there is reasonable assurance that the </w:t>
      </w:r>
      <w:r w:rsidR="0036160F" w:rsidRPr="007D770B">
        <w:rPr>
          <w:rFonts w:ascii="Times New Roman" w:hAnsi="Times New Roman"/>
          <w:lang w:val="en-US"/>
        </w:rPr>
        <w:t xml:space="preserve">Bank </w:t>
      </w:r>
      <w:r w:rsidRPr="007D770B">
        <w:rPr>
          <w:rFonts w:ascii="Times New Roman" w:hAnsi="Times New Roman"/>
          <w:lang w:val="en-US"/>
        </w:rPr>
        <w:t>will meet conditions sufficient to cause the loan to be non-performing.</w:t>
      </w:r>
    </w:p>
    <w:p w14:paraId="5C50D662" w14:textId="6D3A659D" w:rsidR="00AE698A" w:rsidRPr="007D770B" w:rsidRDefault="00AE698A" w:rsidP="00AE698A">
      <w:pPr>
        <w:spacing w:before="240" w:line="240" w:lineRule="auto"/>
        <w:ind w:left="0"/>
        <w:rPr>
          <w:rFonts w:ascii="Times New Roman" w:hAnsi="Times New Roman"/>
          <w:lang w:val="en-US"/>
        </w:rPr>
      </w:pPr>
      <w:r w:rsidRPr="007D770B">
        <w:rPr>
          <w:rFonts w:ascii="Times New Roman" w:hAnsi="Times New Roman"/>
          <w:lang w:val="en-US"/>
        </w:rPr>
        <w:lastRenderedPageBreak/>
        <w:t>Once a government grant is recognized, all related contingent events are accounted for in accordance with Chapter 2</w:t>
      </w:r>
      <w:r w:rsidR="0036160F" w:rsidRPr="007D770B">
        <w:rPr>
          <w:rFonts w:ascii="Times New Roman" w:hAnsi="Times New Roman"/>
          <w:lang w:val="en-US"/>
        </w:rPr>
        <w:t>,</w:t>
      </w:r>
      <w:r w:rsidRPr="007D770B">
        <w:rPr>
          <w:rFonts w:ascii="Times New Roman" w:hAnsi="Times New Roman"/>
          <w:lang w:val="en-US"/>
        </w:rPr>
        <w:t xml:space="preserve"> Section 7, Provisions, Contingent Assets and Contingent Liabilities (IAS 37)</w:t>
      </w:r>
      <w:r w:rsidR="0036160F" w:rsidRPr="007D770B">
        <w:rPr>
          <w:rFonts w:ascii="Times New Roman" w:hAnsi="Times New Roman"/>
          <w:lang w:val="en-US"/>
        </w:rPr>
        <w:t>.</w:t>
      </w:r>
    </w:p>
    <w:p w14:paraId="243D48CB" w14:textId="77777777" w:rsidR="00AE698A" w:rsidRPr="007D770B" w:rsidRDefault="00AE698A" w:rsidP="00AE698A">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Recognition of government grants in profit or loss as received would not be consistent with the accrual basis of accounting and therefore is only acceptable when there is no basis for allocating the grant to periods other than the single period in which it is received.</w:t>
      </w:r>
    </w:p>
    <w:p w14:paraId="5E1E4965" w14:textId="77777777" w:rsidR="00AE698A" w:rsidRPr="007D770B" w:rsidRDefault="00AE698A" w:rsidP="00AE698A">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Government grants are recognized as revenue on a systematic basis over as many periods as necessary to match them with the related costs that they are intended to compensate.</w:t>
      </w:r>
    </w:p>
    <w:p w14:paraId="4AF283A1" w14:textId="77777777" w:rsidR="00AE698A" w:rsidRPr="007D770B" w:rsidRDefault="00AE698A" w:rsidP="00AE698A">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Where government grants are received for the principal activity, they are recognized as operating income.</w:t>
      </w:r>
    </w:p>
    <w:p w14:paraId="54B08C75" w14:textId="77777777" w:rsidR="00AE698A" w:rsidRPr="007D770B" w:rsidRDefault="00AE698A" w:rsidP="00AE698A">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Where government grants are received for non-core activities, then they are recognized as other income.</w:t>
      </w:r>
    </w:p>
    <w:p w14:paraId="14093D99" w14:textId="77777777" w:rsidR="00AE698A" w:rsidRPr="007D770B" w:rsidRDefault="00AE698A" w:rsidP="00AE698A">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Grants related to depreciable assets are recognized as income over the periods and in the proportion in which the assets are depreciated.</w:t>
      </w:r>
    </w:p>
    <w:p w14:paraId="418CC8EF" w14:textId="77777777" w:rsidR="00AE698A" w:rsidRPr="007D770B" w:rsidRDefault="00AE698A" w:rsidP="00AE698A">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Grants relating to non-depreciable assets may require the satisfaction of certain performance obligations and will be recognized as income in the periods in which the actual costs of satisfying the obligations are incurred.</w:t>
      </w:r>
    </w:p>
    <w:p w14:paraId="5105550F" w14:textId="77777777" w:rsidR="00AE698A" w:rsidRPr="007D770B" w:rsidRDefault="00AE698A" w:rsidP="00AE698A">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Grants that compensate for past expenditures are recognized in full in the period in which they are received as other income.</w:t>
      </w:r>
    </w:p>
    <w:p w14:paraId="549D114A" w14:textId="5B7E0118" w:rsidR="00AE698A" w:rsidRPr="007D770B" w:rsidRDefault="00AE698A" w:rsidP="00AE698A">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A government grant is not a receipt of resources from the government intended for onward transfer to third parties without the Bank's past or future compliance with certain conditions related to the Bank's operations.</w:t>
      </w:r>
    </w:p>
    <w:p w14:paraId="28AD32DA" w14:textId="77777777" w:rsidR="00AE698A" w:rsidRPr="007D770B" w:rsidRDefault="00AE698A" w:rsidP="00AE698A">
      <w:pPr>
        <w:spacing w:before="240" w:line="240" w:lineRule="auto"/>
        <w:ind w:left="0"/>
        <w:rPr>
          <w:rFonts w:ascii="Times New Roman" w:hAnsi="Times New Roman"/>
          <w:b/>
          <w:caps/>
          <w:lang w:val="en-US"/>
        </w:rPr>
      </w:pPr>
      <w:r w:rsidRPr="007D770B">
        <w:rPr>
          <w:rFonts w:ascii="Times New Roman" w:hAnsi="Times New Roman"/>
          <w:b/>
          <w:lang w:val="en-US"/>
        </w:rPr>
        <w:t xml:space="preserve">Non-cash government subsidies </w:t>
      </w:r>
    </w:p>
    <w:p w14:paraId="1784AF69" w14:textId="4DB27CA1" w:rsidR="00AE698A" w:rsidRPr="007D770B" w:rsidRDefault="00AE698A" w:rsidP="00AE698A">
      <w:pPr>
        <w:spacing w:before="240" w:line="240" w:lineRule="auto"/>
        <w:ind w:left="0"/>
        <w:rPr>
          <w:rFonts w:ascii="Times New Roman" w:hAnsi="Times New Roman"/>
          <w:lang w:val="en-US"/>
        </w:rPr>
      </w:pPr>
      <w:r w:rsidRPr="007D770B">
        <w:rPr>
          <w:rFonts w:ascii="Times New Roman" w:hAnsi="Times New Roman"/>
          <w:lang w:val="en-US"/>
        </w:rPr>
        <w:t xml:space="preserve">A government grant may take the form of a transfer of a non-monetary asset, such as land or other resources, for the </w:t>
      </w:r>
      <w:r w:rsidRPr="007D770B">
        <w:rPr>
          <w:rFonts w:ascii="Times New Roman" w:hAnsi="Times New Roman"/>
          <w:lang w:val="en-US" w:eastAsia="ru-RU"/>
        </w:rPr>
        <w:t>Bank</w:t>
      </w:r>
      <w:r w:rsidR="005D0866" w:rsidRPr="007D770B">
        <w:rPr>
          <w:rFonts w:ascii="Times New Roman" w:hAnsi="Times New Roman"/>
          <w:lang w:val="en-US"/>
        </w:rPr>
        <w:t xml:space="preserve">'s </w:t>
      </w:r>
      <w:r w:rsidRPr="007D770B">
        <w:rPr>
          <w:rFonts w:ascii="Times New Roman" w:hAnsi="Times New Roman"/>
          <w:lang w:val="en-US"/>
        </w:rPr>
        <w:t>use. In these circumstances, the fair value of the non-monetary asset is estimated and both the grant and the asset are carried at that value. Where fair value cannot be reliably measured, an alternative approach is used whereby both the asset and the grant are carried at nominal value.</w:t>
      </w:r>
    </w:p>
    <w:p w14:paraId="584A1D4B" w14:textId="3E13678D" w:rsidR="00AE698A" w:rsidRPr="007D770B" w:rsidRDefault="00AE698A" w:rsidP="00AE698A">
      <w:pPr>
        <w:spacing w:before="240" w:line="240" w:lineRule="auto"/>
        <w:ind w:left="0"/>
        <w:rPr>
          <w:rFonts w:ascii="Times New Roman" w:hAnsi="Times New Roman"/>
          <w:lang w:val="en-US"/>
        </w:rPr>
      </w:pPr>
      <w:r w:rsidRPr="007D770B">
        <w:rPr>
          <w:rFonts w:ascii="Times New Roman" w:hAnsi="Times New Roman"/>
          <w:lang w:val="en-US"/>
        </w:rPr>
        <w:t>Government subsidy may also take the form of a benefit from government borrowings at below market rates. Such loans are recognized and measured in accordance with section 3</w:t>
      </w:r>
      <w:r w:rsidR="0036160F" w:rsidRPr="007D770B">
        <w:rPr>
          <w:rFonts w:ascii="Times New Roman" w:hAnsi="Times New Roman"/>
          <w:lang w:val="en-US"/>
        </w:rPr>
        <w:t xml:space="preserve">, </w:t>
      </w:r>
      <w:r w:rsidRPr="007D770B">
        <w:rPr>
          <w:rFonts w:ascii="Times New Roman" w:hAnsi="Times New Roman"/>
          <w:lang w:val="en-US"/>
        </w:rPr>
        <w:t>Financial assets and liabilities. The amount of the benefit is determined as the difference between the initially recognized present value of the loan and the cash proceeds from the loan.</w:t>
      </w:r>
    </w:p>
    <w:p w14:paraId="2E52B165" w14:textId="77777777" w:rsidR="00AE698A" w:rsidRPr="007D770B" w:rsidRDefault="00AE698A" w:rsidP="00AE698A">
      <w:pPr>
        <w:spacing w:before="240" w:line="240" w:lineRule="auto"/>
        <w:ind w:left="0"/>
        <w:rPr>
          <w:rFonts w:ascii="Times New Roman" w:hAnsi="Times New Roman"/>
          <w:lang w:val="en-US"/>
        </w:rPr>
      </w:pPr>
      <w:r w:rsidRPr="007D770B">
        <w:rPr>
          <w:rFonts w:ascii="Times New Roman" w:hAnsi="Times New Roman"/>
          <w:lang w:val="en-US"/>
        </w:rPr>
        <w:t>In cases where the Government, by providing loans at below-market rates, acts as a Shareholder, the amount of the benefit from the Government's loans at below-market rates is accounted for as a Shareholder's contribution.</w:t>
      </w:r>
    </w:p>
    <w:p w14:paraId="356C3FCA" w14:textId="77777777" w:rsidR="00AE698A" w:rsidRPr="007D770B" w:rsidRDefault="00AE698A" w:rsidP="00AE698A">
      <w:pPr>
        <w:spacing w:before="240" w:line="240" w:lineRule="auto"/>
        <w:ind w:left="0"/>
        <w:rPr>
          <w:rFonts w:ascii="Times New Roman" w:hAnsi="Times New Roman"/>
          <w:b/>
          <w:caps/>
          <w:lang w:val="en-US"/>
        </w:rPr>
      </w:pPr>
      <w:r w:rsidRPr="007D770B">
        <w:rPr>
          <w:rFonts w:ascii="Times New Roman" w:hAnsi="Times New Roman"/>
          <w:b/>
          <w:lang w:val="en-US"/>
        </w:rPr>
        <w:t>Refund of government subsidies</w:t>
      </w:r>
    </w:p>
    <w:p w14:paraId="14D808E5" w14:textId="1F029512" w:rsidR="00AE698A" w:rsidRPr="007D770B" w:rsidRDefault="00AE698A" w:rsidP="00AE698A">
      <w:pPr>
        <w:spacing w:before="240" w:line="240" w:lineRule="auto"/>
        <w:ind w:left="0"/>
        <w:rPr>
          <w:rFonts w:ascii="Times New Roman" w:hAnsi="Times New Roman"/>
          <w:lang w:val="en-US"/>
        </w:rPr>
      </w:pPr>
      <w:r w:rsidRPr="007D770B">
        <w:rPr>
          <w:rFonts w:ascii="Times New Roman" w:hAnsi="Times New Roman"/>
          <w:lang w:val="en-US"/>
        </w:rPr>
        <w:t xml:space="preserve">Government grants to be returned are accounted for as a revision of an accounting estimate (refer to section 2 </w:t>
      </w:r>
      <w:r w:rsidR="005D0866" w:rsidRPr="007D770B">
        <w:rPr>
          <w:rFonts w:ascii="Times New Roman" w:hAnsi="Times New Roman"/>
          <w:lang w:val="en-US"/>
        </w:rPr>
        <w:t>"</w:t>
      </w:r>
      <w:r w:rsidRPr="007D770B">
        <w:rPr>
          <w:rFonts w:ascii="Times New Roman" w:hAnsi="Times New Roman"/>
          <w:lang w:val="en-US"/>
        </w:rPr>
        <w:t>Changes in accounting policies, estimates and errors (IAS 8)</w:t>
      </w:r>
      <w:r w:rsidR="005D0866" w:rsidRPr="007D770B">
        <w:rPr>
          <w:rFonts w:ascii="Times New Roman" w:hAnsi="Times New Roman"/>
          <w:lang w:val="en-US"/>
        </w:rPr>
        <w:t xml:space="preserve">" </w:t>
      </w:r>
      <w:r w:rsidRPr="007D770B">
        <w:rPr>
          <w:rFonts w:ascii="Times New Roman" w:hAnsi="Times New Roman"/>
          <w:lang w:val="en-US"/>
        </w:rPr>
        <w:t xml:space="preserve">in Chapter 1). The refund of a grant relating to income is first offset by the remaining unamortized amount of deferred income recognized in respect of the grant. To the extent that the amount of the excess of the amount returned over such deferred income, or in the absence of deferred income, the return of the grant is immediately recognized as an expense in the period. A refund of a grant related to an asset is recognized by increasing the carrying amount of the asset or decreasing the deferred revenue balance by the amount of the refund. Any additional depreciation accumulated that would have been charged to the date of the refund as an expense in the absence of the grant is recognized immediately as an expense. </w:t>
      </w:r>
    </w:p>
    <w:p w14:paraId="3ED9EADF" w14:textId="77777777" w:rsidR="00AE698A" w:rsidRPr="007D770B" w:rsidRDefault="00AE698A" w:rsidP="00AE698A">
      <w:pPr>
        <w:spacing w:before="240" w:line="240" w:lineRule="auto"/>
        <w:ind w:left="0"/>
        <w:rPr>
          <w:rFonts w:ascii="Times New Roman" w:hAnsi="Times New Roman"/>
          <w:lang w:val="en-US"/>
        </w:rPr>
      </w:pPr>
      <w:r w:rsidRPr="007D770B">
        <w:rPr>
          <w:rFonts w:ascii="Times New Roman" w:hAnsi="Times New Roman"/>
          <w:lang w:val="en-US"/>
        </w:rPr>
        <w:t>Circumstances that led to the return of the subsidy related to the assets may require an additional allocation of the possible impairment to the new carrying amount of the asset.</w:t>
      </w:r>
    </w:p>
    <w:p w14:paraId="491430E6" w14:textId="77777777" w:rsidR="00AE698A" w:rsidRPr="007D770B" w:rsidRDefault="00AE698A" w:rsidP="00AE698A">
      <w:pPr>
        <w:spacing w:before="240" w:line="240" w:lineRule="auto"/>
        <w:ind w:left="0"/>
        <w:rPr>
          <w:rFonts w:ascii="Times New Roman" w:hAnsi="Times New Roman"/>
          <w:b/>
          <w:caps/>
          <w:lang w:val="en-US"/>
        </w:rPr>
      </w:pPr>
      <w:r w:rsidRPr="007D770B">
        <w:rPr>
          <w:rFonts w:ascii="Times New Roman" w:hAnsi="Times New Roman"/>
          <w:b/>
          <w:lang w:val="en-US"/>
        </w:rPr>
        <w:t xml:space="preserve">State aid </w:t>
      </w:r>
    </w:p>
    <w:p w14:paraId="26A4B0C3" w14:textId="7DE639E4" w:rsidR="00AE698A" w:rsidRPr="007D770B" w:rsidRDefault="00AE698A" w:rsidP="00AE698A">
      <w:pPr>
        <w:spacing w:before="240" w:line="240" w:lineRule="auto"/>
        <w:ind w:left="0"/>
        <w:rPr>
          <w:rFonts w:ascii="Times New Roman" w:hAnsi="Times New Roman"/>
          <w:lang w:val="en-US"/>
        </w:rPr>
      </w:pPr>
      <w:r w:rsidRPr="007D770B">
        <w:rPr>
          <w:rFonts w:ascii="Times New Roman" w:hAnsi="Times New Roman"/>
          <w:lang w:val="en-US"/>
        </w:rPr>
        <w:t xml:space="preserve">Excluded from the definition of government grants are those forms of government assistance that cannot be reasonably estimated and transactions with the government that cannot be separated from the </w:t>
      </w:r>
      <w:r w:rsidRPr="007D770B">
        <w:rPr>
          <w:rFonts w:ascii="Times New Roman" w:hAnsi="Times New Roman"/>
          <w:lang w:val="en-US" w:eastAsia="ru-RU"/>
        </w:rPr>
        <w:t xml:space="preserve">Bank's </w:t>
      </w:r>
      <w:r w:rsidRPr="007D770B">
        <w:rPr>
          <w:rFonts w:ascii="Times New Roman" w:hAnsi="Times New Roman"/>
          <w:lang w:val="en-US"/>
        </w:rPr>
        <w:t>normal trading operations.</w:t>
      </w:r>
    </w:p>
    <w:p w14:paraId="171DEE14" w14:textId="16252A1E" w:rsidR="00AE698A" w:rsidRPr="007D770B" w:rsidRDefault="00AE698A" w:rsidP="00AE698A">
      <w:pPr>
        <w:spacing w:before="240" w:line="240" w:lineRule="auto"/>
        <w:ind w:left="0"/>
        <w:rPr>
          <w:rFonts w:ascii="Times New Roman" w:hAnsi="Times New Roman"/>
          <w:lang w:val="en-US"/>
        </w:rPr>
      </w:pPr>
      <w:r w:rsidRPr="007D770B">
        <w:rPr>
          <w:rFonts w:ascii="Times New Roman" w:hAnsi="Times New Roman"/>
          <w:lang w:val="en-US"/>
        </w:rPr>
        <w:t xml:space="preserve">Examples of assistance that cannot be reasonably estimated include free technical and marketing advice. An example of assistance that cannot be separated from the </w:t>
      </w:r>
      <w:r w:rsidRPr="007D770B">
        <w:rPr>
          <w:rFonts w:ascii="Times New Roman" w:hAnsi="Times New Roman"/>
          <w:lang w:val="en-US" w:eastAsia="ru-RU"/>
        </w:rPr>
        <w:t xml:space="preserve">Bank's </w:t>
      </w:r>
      <w:r w:rsidRPr="007D770B">
        <w:rPr>
          <w:rFonts w:ascii="Times New Roman" w:hAnsi="Times New Roman"/>
          <w:lang w:val="en-US"/>
        </w:rPr>
        <w:t xml:space="preserve">normal trading activities is a government procurement policy covering part of the </w:t>
      </w:r>
      <w:r w:rsidRPr="007D770B">
        <w:rPr>
          <w:rFonts w:ascii="Times New Roman" w:hAnsi="Times New Roman"/>
          <w:lang w:val="en-US" w:eastAsia="ru-RU"/>
        </w:rPr>
        <w:t>Bank</w:t>
      </w:r>
      <w:r w:rsidR="005D0866" w:rsidRPr="007D770B">
        <w:rPr>
          <w:rFonts w:ascii="Times New Roman" w:hAnsi="Times New Roman"/>
          <w:lang w:val="en-US"/>
        </w:rPr>
        <w:t xml:space="preserve">'s </w:t>
      </w:r>
      <w:r w:rsidRPr="007D770B">
        <w:rPr>
          <w:rFonts w:ascii="Times New Roman" w:hAnsi="Times New Roman"/>
          <w:lang w:val="en-US"/>
        </w:rPr>
        <w:t xml:space="preserve">specified services. The existence of a benefit may be undisputed, but any attempt to separate trading activities from government activities may be arbitrary. </w:t>
      </w:r>
    </w:p>
    <w:p w14:paraId="72432272" w14:textId="65DB9BCC" w:rsidR="00AE698A" w:rsidRPr="007D770B" w:rsidRDefault="00BC685B" w:rsidP="00AE698A">
      <w:pPr>
        <w:pStyle w:val="3"/>
        <w:rPr>
          <w:caps/>
          <w:lang w:val="en-US"/>
        </w:rPr>
      </w:pPr>
      <w:bookmarkStart w:id="341" w:name="_Toc270001468"/>
      <w:bookmarkStart w:id="342" w:name="_Toc378283468"/>
      <w:bookmarkStart w:id="343" w:name="_Toc168502106"/>
      <w:r w:rsidRPr="007D770B">
        <w:rPr>
          <w:lang w:val="en-US"/>
        </w:rPr>
        <w:lastRenderedPageBreak/>
        <w:t>14-1</w:t>
      </w:r>
      <w:r w:rsidR="00AE698A" w:rsidRPr="007D770B">
        <w:rPr>
          <w:lang w:val="en-US"/>
        </w:rPr>
        <w:t xml:space="preserve">.4 Disclosure of information </w:t>
      </w:r>
      <w:bookmarkEnd w:id="341"/>
      <w:bookmarkEnd w:id="342"/>
      <w:bookmarkEnd w:id="343"/>
    </w:p>
    <w:p w14:paraId="148D5D90" w14:textId="77777777" w:rsidR="00AE698A" w:rsidRPr="007D770B" w:rsidRDefault="00AE698A" w:rsidP="00AE698A">
      <w:pPr>
        <w:spacing w:before="240" w:line="240" w:lineRule="auto"/>
        <w:ind w:left="0"/>
        <w:rPr>
          <w:rFonts w:ascii="Times New Roman" w:hAnsi="Times New Roman"/>
          <w:lang w:val="en-US"/>
        </w:rPr>
      </w:pPr>
      <w:r w:rsidRPr="007D770B">
        <w:rPr>
          <w:rFonts w:ascii="Times New Roman" w:hAnsi="Times New Roman"/>
          <w:lang w:val="en-US"/>
        </w:rPr>
        <w:t xml:space="preserve">The following disclosures should be made in the financial statements: </w:t>
      </w:r>
    </w:p>
    <w:p w14:paraId="0E4B1164" w14:textId="77777777" w:rsidR="00AE698A" w:rsidRPr="007D770B" w:rsidRDefault="00AE698A" w:rsidP="00AE698A">
      <w:pPr>
        <w:numPr>
          <w:ilvl w:val="0"/>
          <w:numId w:val="380"/>
        </w:numPr>
        <w:tabs>
          <w:tab w:val="clear" w:pos="720"/>
          <w:tab w:val="num" w:pos="360"/>
        </w:tabs>
        <w:spacing w:before="240" w:line="240" w:lineRule="auto"/>
        <w:ind w:left="360"/>
        <w:rPr>
          <w:rFonts w:ascii="Times New Roman" w:hAnsi="Times New Roman"/>
          <w:lang w:val="en-US"/>
        </w:rPr>
      </w:pPr>
      <w:r w:rsidRPr="007D770B">
        <w:rPr>
          <w:rFonts w:ascii="Times New Roman" w:hAnsi="Times New Roman"/>
          <w:lang w:val="en-US"/>
        </w:rPr>
        <w:t xml:space="preserve">accounting policies adopted for government grants, including the presentation methods adopted in the financial statements; </w:t>
      </w:r>
    </w:p>
    <w:p w14:paraId="70E6E604" w14:textId="2AB66D5B" w:rsidR="00AE698A" w:rsidRPr="007D770B" w:rsidRDefault="00AE698A" w:rsidP="00AE698A">
      <w:pPr>
        <w:numPr>
          <w:ilvl w:val="0"/>
          <w:numId w:val="380"/>
        </w:numPr>
        <w:tabs>
          <w:tab w:val="clear" w:pos="720"/>
          <w:tab w:val="num" w:pos="360"/>
        </w:tabs>
        <w:spacing w:before="240" w:line="240" w:lineRule="auto"/>
        <w:ind w:left="360"/>
        <w:rPr>
          <w:rFonts w:ascii="Times New Roman" w:hAnsi="Times New Roman"/>
          <w:lang w:val="en-US"/>
        </w:rPr>
      </w:pPr>
      <w:r w:rsidRPr="007D770B">
        <w:rPr>
          <w:rFonts w:ascii="Times New Roman" w:hAnsi="Times New Roman"/>
          <w:lang w:val="en-US"/>
        </w:rPr>
        <w:t xml:space="preserve">the nature and amount of government grants recognized in the financial statements, as well as an indication of other forms of government assistance from which the </w:t>
      </w:r>
      <w:r w:rsidR="005D0866" w:rsidRPr="007D770B">
        <w:rPr>
          <w:rFonts w:ascii="Times New Roman" w:hAnsi="Times New Roman"/>
          <w:lang w:val="en-US"/>
        </w:rPr>
        <w:t xml:space="preserve">Bank </w:t>
      </w:r>
      <w:r w:rsidRPr="007D770B">
        <w:rPr>
          <w:rFonts w:ascii="Times New Roman" w:hAnsi="Times New Roman"/>
          <w:lang w:val="en-US"/>
        </w:rPr>
        <w:t xml:space="preserve">has directly benefited; and </w:t>
      </w:r>
    </w:p>
    <w:p w14:paraId="65132C99" w14:textId="30E74B73" w:rsidR="00AE698A" w:rsidRPr="007D770B" w:rsidRDefault="00AE698A" w:rsidP="00AE698A">
      <w:pPr>
        <w:numPr>
          <w:ilvl w:val="0"/>
          <w:numId w:val="380"/>
        </w:numPr>
        <w:tabs>
          <w:tab w:val="clear" w:pos="720"/>
          <w:tab w:val="num" w:pos="360"/>
        </w:tabs>
        <w:spacing w:before="240" w:line="240" w:lineRule="auto"/>
        <w:ind w:left="360"/>
        <w:rPr>
          <w:rFonts w:ascii="Times New Roman" w:hAnsi="Times New Roman"/>
          <w:lang w:val="en-US"/>
        </w:rPr>
      </w:pPr>
      <w:r w:rsidRPr="007D770B">
        <w:rPr>
          <w:rFonts w:ascii="Times New Roman" w:hAnsi="Times New Roman"/>
          <w:lang w:val="en-US"/>
        </w:rPr>
        <w:t>unfulfilled conditions and other contingent events related to public assistance that has been recognized</w:t>
      </w:r>
      <w:r w:rsidR="00723147" w:rsidRPr="007D770B">
        <w:rPr>
          <w:rFonts w:ascii="Times New Roman" w:hAnsi="Times New Roman"/>
          <w:lang w:val="en-US"/>
        </w:rPr>
        <w:t xml:space="preserve">. </w:t>
      </w:r>
      <w:r w:rsidR="00723147" w:rsidRPr="007D770B">
        <w:rPr>
          <w:rFonts w:ascii="Times New Roman" w:eastAsia="Times New Roman" w:hAnsi="Times New Roman"/>
          <w:i/>
          <w:snapToGrid w:val="0"/>
          <w:color w:val="3366FF"/>
          <w:szCs w:val="22"/>
          <w:lang w:val="en-US" w:eastAsia="ru-RU"/>
        </w:rPr>
        <w:t>(Section 14-1. Government Grants (IAS 20) Chapter 2. General Accounting Principles was introduced by resolution of the Board of Directors dated 31.10.2019 (Minutes No. 13)).</w:t>
      </w:r>
    </w:p>
    <w:p w14:paraId="08D28A41" w14:textId="3B4AF408" w:rsidR="006B0A56" w:rsidRPr="007D770B" w:rsidRDefault="006B0A56" w:rsidP="006B0A56">
      <w:pPr>
        <w:pStyle w:val="21"/>
        <w:tabs>
          <w:tab w:val="clear" w:pos="1134"/>
          <w:tab w:val="left" w:pos="630"/>
        </w:tabs>
        <w:spacing w:before="240" w:after="240"/>
        <w:ind w:left="630" w:firstLine="0"/>
        <w:rPr>
          <w:sz w:val="20"/>
          <w:szCs w:val="20"/>
          <w:lang w:val="en-US"/>
        </w:rPr>
        <w:sectPr w:rsidR="006B0A56" w:rsidRPr="007D770B" w:rsidSect="00290828">
          <w:headerReference w:type="default" r:id="rId73"/>
          <w:headerReference w:type="first" r:id="rId74"/>
          <w:pgSz w:w="11906" w:h="16838"/>
          <w:pgMar w:top="1270" w:right="680" w:bottom="902" w:left="1134" w:header="510" w:footer="403" w:gutter="0"/>
          <w:cols w:space="708"/>
          <w:titlePg/>
          <w:docGrid w:linePitch="360"/>
        </w:sectPr>
      </w:pPr>
    </w:p>
    <w:p w14:paraId="100E88AD" w14:textId="152BEB16" w:rsidR="009E2B77" w:rsidRPr="007D770B" w:rsidRDefault="009E2B77" w:rsidP="008451F4">
      <w:pPr>
        <w:pStyle w:val="10"/>
        <w:pageBreakBefore/>
        <w:spacing w:before="240" w:after="240" w:line="240" w:lineRule="auto"/>
        <w:rPr>
          <w:rFonts w:ascii="Times New Roman" w:hAnsi="Times New Roman"/>
          <w:sz w:val="20"/>
          <w:szCs w:val="20"/>
          <w:lang w:val="en-US"/>
        </w:rPr>
      </w:pPr>
      <w:bookmarkStart w:id="344" w:name="_Toc277340309"/>
      <w:bookmarkStart w:id="345" w:name="_Toc168502107"/>
      <w:r w:rsidRPr="007D770B">
        <w:rPr>
          <w:rFonts w:ascii="Times New Roman" w:hAnsi="Times New Roman"/>
          <w:sz w:val="20"/>
          <w:szCs w:val="20"/>
          <w:lang w:val="en-US"/>
        </w:rPr>
        <w:lastRenderedPageBreak/>
        <w:t>CHAPTER 3. OTHER AREAS OF ACCOUNTING</w:t>
      </w:r>
      <w:bookmarkEnd w:id="344"/>
      <w:bookmarkEnd w:id="345"/>
    </w:p>
    <w:p w14:paraId="189E1D02" w14:textId="5903120F" w:rsidR="009E2B77" w:rsidRPr="007D770B" w:rsidRDefault="009E2B77" w:rsidP="00F96B17">
      <w:pPr>
        <w:pStyle w:val="2"/>
        <w:spacing w:before="240"/>
        <w:jc w:val="both"/>
        <w:rPr>
          <w:rFonts w:ascii="Times New Roman" w:hAnsi="Times New Roman"/>
          <w:sz w:val="20"/>
          <w:szCs w:val="20"/>
          <w:lang w:val="en-US"/>
        </w:rPr>
      </w:pPr>
      <w:bookmarkStart w:id="346" w:name="_Toc277340310"/>
      <w:bookmarkStart w:id="347" w:name="_Toc168502108"/>
      <w:r w:rsidRPr="007D770B">
        <w:rPr>
          <w:rFonts w:ascii="Times New Roman" w:hAnsi="Times New Roman"/>
          <w:sz w:val="20"/>
          <w:szCs w:val="20"/>
          <w:lang w:val="en-US"/>
        </w:rPr>
        <w:t xml:space="preserve">Section 1. Effects of Changes in Foreign Exchange Rates (IAS 21) </w:t>
      </w:r>
      <w:bookmarkEnd w:id="346"/>
      <w:bookmarkEnd w:id="347"/>
    </w:p>
    <w:p w14:paraId="04CB8622" w14:textId="3972EF63" w:rsidR="009E2B77" w:rsidRPr="007D770B" w:rsidRDefault="009E2B77" w:rsidP="00E61D21">
      <w:pPr>
        <w:pStyle w:val="3"/>
        <w:rPr>
          <w:lang w:val="en-US"/>
        </w:rPr>
      </w:pPr>
      <w:bookmarkStart w:id="348" w:name="_Toc249285693"/>
      <w:bookmarkStart w:id="349" w:name="_Toc271279905"/>
      <w:bookmarkStart w:id="350" w:name="_Toc277340311"/>
      <w:bookmarkStart w:id="351" w:name="_Toc168502109"/>
      <w:r w:rsidRPr="007D770B">
        <w:rPr>
          <w:lang w:val="en-US"/>
        </w:rPr>
        <w:t>1.1 General provisions</w:t>
      </w:r>
      <w:bookmarkEnd w:id="348"/>
      <w:bookmarkEnd w:id="349"/>
      <w:bookmarkEnd w:id="350"/>
      <w:bookmarkEnd w:id="351"/>
    </w:p>
    <w:p w14:paraId="0EE586DE" w14:textId="77777777" w:rsidR="009E2B77" w:rsidRPr="007D770B" w:rsidRDefault="009E2B77" w:rsidP="00F96B17">
      <w:pPr>
        <w:pStyle w:val="ABC-paragrahinNotes"/>
        <w:spacing w:before="240"/>
        <w:rPr>
          <w:rFonts w:ascii="Times New Roman" w:hAnsi="Times New Roman"/>
          <w:sz w:val="20"/>
          <w:lang w:val="en-US"/>
        </w:rPr>
      </w:pPr>
      <w:r w:rsidRPr="007D770B">
        <w:rPr>
          <w:rFonts w:ascii="Times New Roman" w:hAnsi="Times New Roman"/>
          <w:sz w:val="20"/>
          <w:lang w:val="en-US"/>
        </w:rPr>
        <w:t xml:space="preserve">The functional currency of the </w:t>
      </w:r>
      <w:r w:rsidR="00F9744B" w:rsidRPr="007D770B">
        <w:rPr>
          <w:rFonts w:ascii="Times New Roman" w:hAnsi="Times New Roman"/>
          <w:sz w:val="20"/>
          <w:lang w:val="en-US"/>
        </w:rPr>
        <w:t xml:space="preserve">Bank </w:t>
      </w:r>
      <w:r w:rsidRPr="007D770B">
        <w:rPr>
          <w:rFonts w:ascii="Times New Roman" w:hAnsi="Times New Roman"/>
          <w:sz w:val="20"/>
          <w:lang w:val="en-US"/>
        </w:rPr>
        <w:t xml:space="preserve">included in </w:t>
      </w:r>
      <w:r w:rsidR="004663AD" w:rsidRPr="007D770B">
        <w:rPr>
          <w:rFonts w:ascii="Times New Roman" w:hAnsi="Times New Roman"/>
          <w:sz w:val="20"/>
          <w:lang w:val="en-US"/>
        </w:rPr>
        <w:t xml:space="preserve">the </w:t>
      </w:r>
      <w:r w:rsidRPr="007D770B">
        <w:rPr>
          <w:rFonts w:ascii="Times New Roman" w:hAnsi="Times New Roman"/>
          <w:sz w:val="20"/>
          <w:lang w:val="en-US"/>
        </w:rPr>
        <w:t xml:space="preserve">financial statements is the </w:t>
      </w:r>
      <w:r w:rsidR="002250EF" w:rsidRPr="007D770B">
        <w:rPr>
          <w:rFonts w:ascii="Times New Roman" w:hAnsi="Times New Roman"/>
          <w:sz w:val="20"/>
          <w:lang w:val="en-US"/>
        </w:rPr>
        <w:t xml:space="preserve">Kazakhstan </w:t>
      </w:r>
      <w:r w:rsidRPr="007D770B">
        <w:rPr>
          <w:rFonts w:ascii="Times New Roman" w:hAnsi="Times New Roman"/>
          <w:sz w:val="20"/>
          <w:lang w:val="en-US"/>
        </w:rPr>
        <w:t>tenge.</w:t>
      </w:r>
    </w:p>
    <w:p w14:paraId="1673B530" w14:textId="3CB71D82" w:rsidR="009E2B77" w:rsidRPr="007D770B" w:rsidRDefault="00D862CE" w:rsidP="00F96B17">
      <w:pPr>
        <w:pStyle w:val="ABC-paragrahinNotes"/>
        <w:spacing w:before="240"/>
        <w:rPr>
          <w:rFonts w:ascii="Times New Roman" w:hAnsi="Times New Roman"/>
          <w:sz w:val="20"/>
          <w:lang w:val="en-US"/>
        </w:rPr>
      </w:pPr>
      <w:r w:rsidRPr="007D770B">
        <w:rPr>
          <w:rFonts w:ascii="Times New Roman" w:hAnsi="Times New Roman"/>
          <w:sz w:val="20"/>
          <w:lang w:val="en-US"/>
        </w:rPr>
        <w:t xml:space="preserve">Assets </w:t>
      </w:r>
      <w:r w:rsidR="009E2B77" w:rsidRPr="007D770B">
        <w:rPr>
          <w:rFonts w:ascii="Times New Roman" w:hAnsi="Times New Roman"/>
          <w:sz w:val="20"/>
          <w:lang w:val="en-US"/>
        </w:rPr>
        <w:t xml:space="preserve">and liabilities are translated into the </w:t>
      </w:r>
      <w:r w:rsidR="00F9744B" w:rsidRPr="007D770B">
        <w:rPr>
          <w:rFonts w:ascii="Times New Roman" w:hAnsi="Times New Roman"/>
          <w:sz w:val="20"/>
          <w:lang w:val="en-US"/>
        </w:rPr>
        <w:t xml:space="preserve">Bank's </w:t>
      </w:r>
      <w:r w:rsidR="009E2B77" w:rsidRPr="007D770B">
        <w:rPr>
          <w:rFonts w:ascii="Times New Roman" w:hAnsi="Times New Roman"/>
          <w:sz w:val="20"/>
          <w:lang w:val="en-US"/>
        </w:rPr>
        <w:t xml:space="preserve">functional currency at the </w:t>
      </w:r>
      <w:r w:rsidR="009978CE" w:rsidRPr="007D770B">
        <w:rPr>
          <w:rFonts w:ascii="Times New Roman" w:hAnsi="Times New Roman"/>
          <w:sz w:val="20"/>
          <w:lang w:val="en-US"/>
        </w:rPr>
        <w:t xml:space="preserve">market exchange rate of </w:t>
      </w:r>
      <w:r w:rsidR="009E2B77" w:rsidRPr="007D770B">
        <w:rPr>
          <w:rFonts w:ascii="Times New Roman" w:hAnsi="Times New Roman"/>
          <w:bCs/>
          <w:sz w:val="20"/>
          <w:lang w:val="en-US" w:eastAsia="en-US"/>
        </w:rPr>
        <w:t>the Kazakhstan Stock Exchange (</w:t>
      </w:r>
      <w:r w:rsidR="00802136" w:rsidRPr="007D770B">
        <w:rPr>
          <w:rFonts w:ascii="Times New Roman" w:hAnsi="Times New Roman"/>
          <w:bCs/>
          <w:sz w:val="20"/>
          <w:lang w:val="en-US" w:eastAsia="en-US"/>
        </w:rPr>
        <w:t>"</w:t>
      </w:r>
      <w:r w:rsidR="009E2B77" w:rsidRPr="007D770B">
        <w:rPr>
          <w:rFonts w:ascii="Times New Roman" w:hAnsi="Times New Roman"/>
          <w:bCs/>
          <w:sz w:val="20"/>
          <w:lang w:val="en-US" w:eastAsia="en-US"/>
        </w:rPr>
        <w:t>KASE</w:t>
      </w:r>
      <w:r w:rsidR="00802136" w:rsidRPr="007D770B">
        <w:rPr>
          <w:rFonts w:ascii="Times New Roman" w:hAnsi="Times New Roman"/>
          <w:bCs/>
          <w:sz w:val="20"/>
          <w:lang w:val="en-US" w:eastAsia="en-US"/>
        </w:rPr>
        <w:t>"</w:t>
      </w:r>
      <w:r w:rsidR="009E2B77" w:rsidRPr="007D770B">
        <w:rPr>
          <w:rFonts w:ascii="Times New Roman" w:hAnsi="Times New Roman"/>
          <w:bCs/>
          <w:sz w:val="20"/>
          <w:lang w:val="en-US" w:eastAsia="en-US"/>
        </w:rPr>
        <w:t xml:space="preserve">) </w:t>
      </w:r>
      <w:r w:rsidR="009E2B77" w:rsidRPr="007D770B">
        <w:rPr>
          <w:rFonts w:ascii="Times New Roman" w:hAnsi="Times New Roman"/>
          <w:sz w:val="20"/>
          <w:lang w:val="en-US"/>
        </w:rPr>
        <w:t xml:space="preserve">at the respective balance sheet dates. Gains and losses resulting from the settlement and translation of assets and liabilities into the </w:t>
      </w:r>
      <w:r w:rsidR="00F9744B" w:rsidRPr="007D770B">
        <w:rPr>
          <w:rFonts w:ascii="Times New Roman" w:hAnsi="Times New Roman"/>
          <w:sz w:val="20"/>
          <w:lang w:val="en-US"/>
        </w:rPr>
        <w:t xml:space="preserve">Bank's </w:t>
      </w:r>
      <w:r w:rsidR="009E2B77" w:rsidRPr="007D770B">
        <w:rPr>
          <w:rFonts w:ascii="Times New Roman" w:hAnsi="Times New Roman"/>
          <w:sz w:val="20"/>
          <w:lang w:val="en-US"/>
        </w:rPr>
        <w:t xml:space="preserve">functional currency at year-end official exchange rates of the KASE are recognized in the </w:t>
      </w:r>
      <w:r w:rsidR="00917A2A" w:rsidRPr="007D770B">
        <w:rPr>
          <w:rFonts w:ascii="Times New Roman" w:hAnsi="Times New Roman"/>
          <w:sz w:val="20"/>
          <w:lang w:val="en-US"/>
        </w:rPr>
        <w:t>statement of profit or loss and other comprehensive income</w:t>
      </w:r>
      <w:r w:rsidR="009E2B77" w:rsidRPr="007D770B">
        <w:rPr>
          <w:rFonts w:ascii="Times New Roman" w:hAnsi="Times New Roman"/>
          <w:sz w:val="20"/>
          <w:lang w:val="en-US"/>
        </w:rPr>
        <w:t xml:space="preserve">. </w:t>
      </w:r>
    </w:p>
    <w:p w14:paraId="6FFAB14D" w14:textId="77777777" w:rsidR="009E2B77" w:rsidRPr="007D770B" w:rsidRDefault="009E2B77" w:rsidP="00F96B17">
      <w:pPr>
        <w:pStyle w:val="ABC-paragrahinNotes"/>
        <w:spacing w:before="240"/>
        <w:rPr>
          <w:rFonts w:ascii="Times New Roman" w:hAnsi="Times New Roman"/>
          <w:sz w:val="20"/>
          <w:lang w:val="en-US"/>
        </w:rPr>
      </w:pPr>
      <w:r w:rsidRPr="007D770B">
        <w:rPr>
          <w:rFonts w:ascii="Times New Roman" w:hAnsi="Times New Roman"/>
          <w:sz w:val="20"/>
          <w:lang w:val="en-US"/>
        </w:rPr>
        <w:t>Non-monetary items of the statement of financial position measured at cost are not translated at year-end exchange rates. Non-monetary items in the statement of financial position measured at fair value in a foreign currency, including equity investments, are translated using the exchange rates at the date when the fair value was determined. The effect of exchange rate fluctuations on changes in the fair value of non-monetary items is recognized in fair value gains or losses.</w:t>
      </w:r>
    </w:p>
    <w:p w14:paraId="7F70C005" w14:textId="0DD901F5" w:rsidR="009E2B77" w:rsidRPr="007D770B" w:rsidRDefault="009E2B77" w:rsidP="00E61D21">
      <w:pPr>
        <w:pStyle w:val="3"/>
        <w:rPr>
          <w:lang w:val="en-US"/>
        </w:rPr>
      </w:pPr>
      <w:bookmarkStart w:id="352" w:name="_Toc249285694"/>
      <w:bookmarkStart w:id="353" w:name="_Toc271279906"/>
      <w:bookmarkStart w:id="354" w:name="_Toc277340312"/>
      <w:bookmarkStart w:id="355" w:name="_Toc168502110"/>
      <w:r w:rsidRPr="007D770B">
        <w:rPr>
          <w:lang w:val="en-US"/>
        </w:rPr>
        <w:t>1.2 Definitions</w:t>
      </w:r>
      <w:bookmarkEnd w:id="352"/>
      <w:bookmarkEnd w:id="353"/>
      <w:bookmarkEnd w:id="354"/>
      <w:bookmarkEnd w:id="355"/>
    </w:p>
    <w:p w14:paraId="23837322" w14:textId="77777777" w:rsidR="009E2B77" w:rsidRPr="007D770B" w:rsidRDefault="009E2B77" w:rsidP="00F96B17">
      <w:pPr>
        <w:spacing w:before="240" w:line="240" w:lineRule="auto"/>
        <w:ind w:left="0"/>
        <w:rPr>
          <w:rFonts w:ascii="Times New Roman" w:hAnsi="Times New Roman"/>
          <w:bCs/>
          <w:lang w:val="en-US"/>
        </w:rPr>
      </w:pPr>
      <w:r w:rsidRPr="007D770B">
        <w:rPr>
          <w:rFonts w:ascii="Times New Roman" w:hAnsi="Times New Roman"/>
          <w:bCs/>
          <w:lang w:val="en-US"/>
        </w:rPr>
        <w:t xml:space="preserve">The </w:t>
      </w:r>
      <w:r w:rsidRPr="007D770B">
        <w:rPr>
          <w:rFonts w:ascii="Times New Roman" w:hAnsi="Times New Roman"/>
          <w:b/>
          <w:bCs/>
          <w:lang w:val="en-US"/>
        </w:rPr>
        <w:t xml:space="preserve">presentation </w:t>
      </w:r>
      <w:r w:rsidRPr="007D770B">
        <w:rPr>
          <w:rFonts w:ascii="Times New Roman" w:hAnsi="Times New Roman"/>
          <w:bCs/>
          <w:lang w:val="en-US"/>
        </w:rPr>
        <w:t xml:space="preserve">currency is the currency used in the presentation of the financial statements </w:t>
      </w:r>
      <w:r w:rsidR="00E07C00" w:rsidRPr="007D770B">
        <w:rPr>
          <w:rFonts w:ascii="Times New Roman" w:hAnsi="Times New Roman"/>
          <w:bCs/>
          <w:lang w:val="en-US"/>
        </w:rPr>
        <w:t xml:space="preserve">- Kazakhstan </w:t>
      </w:r>
      <w:r w:rsidRPr="007D770B">
        <w:rPr>
          <w:rFonts w:ascii="Times New Roman" w:hAnsi="Times New Roman"/>
          <w:bCs/>
          <w:lang w:val="en-US"/>
        </w:rPr>
        <w:t>tenge.</w:t>
      </w:r>
    </w:p>
    <w:p w14:paraId="04E4A7D0" w14:textId="77777777" w:rsidR="009E2B77" w:rsidRPr="007D770B" w:rsidRDefault="009E2B77" w:rsidP="00F96B17">
      <w:pPr>
        <w:spacing w:before="240" w:line="240" w:lineRule="auto"/>
        <w:ind w:left="0"/>
        <w:rPr>
          <w:rFonts w:ascii="Times New Roman" w:hAnsi="Times New Roman"/>
          <w:bCs/>
          <w:lang w:val="en-US"/>
        </w:rPr>
      </w:pPr>
      <w:r w:rsidRPr="007D770B">
        <w:rPr>
          <w:rFonts w:ascii="Times New Roman" w:hAnsi="Times New Roman"/>
          <w:b/>
          <w:bCs/>
          <w:lang w:val="en-US"/>
        </w:rPr>
        <w:t xml:space="preserve">Foreign currency </w:t>
      </w:r>
      <w:r w:rsidRPr="007D770B">
        <w:rPr>
          <w:rFonts w:ascii="Times New Roman" w:hAnsi="Times New Roman"/>
          <w:bCs/>
          <w:lang w:val="en-US"/>
        </w:rPr>
        <w:t xml:space="preserve">is any currency other than the functional currency used in the </w:t>
      </w:r>
      <w:r w:rsidR="00D862CE" w:rsidRPr="007D770B">
        <w:rPr>
          <w:rFonts w:ascii="Times New Roman" w:hAnsi="Times New Roman"/>
          <w:bCs/>
          <w:lang w:val="en-US"/>
        </w:rPr>
        <w:t>Bank</w:t>
      </w:r>
      <w:r w:rsidRPr="007D770B">
        <w:rPr>
          <w:rFonts w:ascii="Times New Roman" w:hAnsi="Times New Roman"/>
          <w:bCs/>
          <w:lang w:val="en-US"/>
        </w:rPr>
        <w:t>.</w:t>
      </w:r>
    </w:p>
    <w:p w14:paraId="53067C7A" w14:textId="7AEB6EFC" w:rsidR="009E2B77" w:rsidRPr="007D770B" w:rsidRDefault="009E2B77" w:rsidP="00F96B17">
      <w:pPr>
        <w:spacing w:before="240" w:line="240" w:lineRule="auto"/>
        <w:ind w:left="0"/>
        <w:rPr>
          <w:rFonts w:ascii="Times New Roman" w:hAnsi="Times New Roman"/>
          <w:bCs/>
          <w:lang w:val="en-US"/>
        </w:rPr>
      </w:pPr>
      <w:r w:rsidRPr="007D770B">
        <w:rPr>
          <w:rFonts w:ascii="Times New Roman" w:hAnsi="Times New Roman"/>
          <w:bCs/>
          <w:lang w:val="en-US"/>
        </w:rPr>
        <w:t xml:space="preserve">The </w:t>
      </w:r>
      <w:r w:rsidRPr="007D770B">
        <w:rPr>
          <w:rFonts w:ascii="Times New Roman" w:hAnsi="Times New Roman"/>
          <w:b/>
          <w:bCs/>
          <w:lang w:val="en-US"/>
        </w:rPr>
        <w:t xml:space="preserve">closing rate </w:t>
      </w:r>
      <w:r w:rsidRPr="007D770B">
        <w:rPr>
          <w:rFonts w:ascii="Times New Roman" w:hAnsi="Times New Roman"/>
          <w:bCs/>
          <w:lang w:val="en-US"/>
        </w:rPr>
        <w:t xml:space="preserve">is the </w:t>
      </w:r>
      <w:r w:rsidR="00725149" w:rsidRPr="007D770B">
        <w:rPr>
          <w:rFonts w:ascii="Times New Roman" w:hAnsi="Times New Roman"/>
          <w:bCs/>
          <w:lang w:val="en-US"/>
        </w:rPr>
        <w:t xml:space="preserve">market exchange </w:t>
      </w:r>
      <w:r w:rsidR="006B64E7" w:rsidRPr="007D770B">
        <w:rPr>
          <w:rFonts w:ascii="Times New Roman" w:hAnsi="Times New Roman"/>
          <w:bCs/>
          <w:lang w:val="en-US"/>
        </w:rPr>
        <w:t xml:space="preserve">rate on the reporting </w:t>
      </w:r>
      <w:r w:rsidR="00725149" w:rsidRPr="007D770B">
        <w:rPr>
          <w:rFonts w:ascii="Times New Roman" w:hAnsi="Times New Roman"/>
          <w:bCs/>
          <w:lang w:val="en-US"/>
        </w:rPr>
        <w:t>date</w:t>
      </w:r>
      <w:r w:rsidR="006B64E7" w:rsidRPr="007D770B">
        <w:rPr>
          <w:rFonts w:ascii="Times New Roman" w:hAnsi="Times New Roman"/>
          <w:bCs/>
          <w:lang w:val="en-US"/>
        </w:rPr>
        <w:t>.</w:t>
      </w:r>
    </w:p>
    <w:p w14:paraId="3AE22AB7" w14:textId="77777777" w:rsidR="009E2B77" w:rsidRPr="007D770B" w:rsidRDefault="009E2B77" w:rsidP="00F96B17">
      <w:pPr>
        <w:spacing w:before="240" w:line="240" w:lineRule="auto"/>
        <w:ind w:left="0"/>
        <w:rPr>
          <w:rFonts w:ascii="Times New Roman" w:hAnsi="Times New Roman"/>
          <w:bCs/>
          <w:lang w:val="en-US"/>
        </w:rPr>
      </w:pPr>
      <w:r w:rsidRPr="007D770B">
        <w:rPr>
          <w:rFonts w:ascii="Times New Roman" w:hAnsi="Times New Roman"/>
          <w:b/>
          <w:bCs/>
          <w:lang w:val="en-US"/>
        </w:rPr>
        <w:t xml:space="preserve">An exchange </w:t>
      </w:r>
      <w:r w:rsidRPr="007D770B">
        <w:rPr>
          <w:rFonts w:ascii="Times New Roman" w:hAnsi="Times New Roman"/>
          <w:bCs/>
          <w:lang w:val="en-US"/>
        </w:rPr>
        <w:t>rate difference is the difference arising from the translation of a certain number of units in one currency into another currency using different exchange rates.</w:t>
      </w:r>
    </w:p>
    <w:p w14:paraId="118D7285" w14:textId="77777777" w:rsidR="009E2B77" w:rsidRPr="002D4EA3" w:rsidRDefault="00736A71" w:rsidP="00F96B17">
      <w:pPr>
        <w:spacing w:before="240" w:line="240" w:lineRule="auto"/>
        <w:ind w:left="0"/>
        <w:rPr>
          <w:rFonts w:ascii="Times New Roman" w:hAnsi="Times New Roman"/>
        </w:rPr>
      </w:pPr>
      <w:r w:rsidRPr="007D770B">
        <w:rPr>
          <w:rFonts w:ascii="Times New Roman" w:hAnsi="Times New Roman"/>
          <w:b/>
          <w:bCs/>
          <w:lang w:val="en-US"/>
        </w:rPr>
        <w:t xml:space="preserve">Monetary </w:t>
      </w:r>
      <w:r w:rsidR="009E2B77" w:rsidRPr="007D770B">
        <w:rPr>
          <w:rFonts w:ascii="Times New Roman" w:hAnsi="Times New Roman"/>
          <w:bCs/>
          <w:lang w:val="en-US"/>
        </w:rPr>
        <w:t xml:space="preserve">items are units of currency on hand and assets and liabilities receivable or payable that are denominated in fixed or determinable numbers of currency units. </w:t>
      </w:r>
      <w:r w:rsidR="009E2B77" w:rsidRPr="002D4EA3">
        <w:rPr>
          <w:rFonts w:ascii="Times New Roman" w:hAnsi="Times New Roman"/>
        </w:rPr>
        <w:t>Examples of monetary items are:</w:t>
      </w:r>
    </w:p>
    <w:p w14:paraId="7A6F0917" w14:textId="77777777" w:rsidR="009E2B77" w:rsidRPr="007D770B" w:rsidRDefault="009E2B77" w:rsidP="00AE698A">
      <w:pPr>
        <w:numPr>
          <w:ilvl w:val="0"/>
          <w:numId w:val="101"/>
        </w:numPr>
        <w:spacing w:before="240" w:line="240" w:lineRule="auto"/>
        <w:rPr>
          <w:rFonts w:ascii="Times New Roman" w:hAnsi="Times New Roman"/>
          <w:lang w:val="en-US"/>
        </w:rPr>
      </w:pPr>
      <w:r w:rsidRPr="007D770B">
        <w:rPr>
          <w:rFonts w:ascii="Times New Roman" w:hAnsi="Times New Roman"/>
          <w:lang w:val="en-US"/>
        </w:rPr>
        <w:t>cash on hand and bank balances;</w:t>
      </w:r>
    </w:p>
    <w:p w14:paraId="10BCC114" w14:textId="77777777" w:rsidR="002E6173" w:rsidRPr="007D770B" w:rsidRDefault="009E2B77" w:rsidP="00AE698A">
      <w:pPr>
        <w:numPr>
          <w:ilvl w:val="0"/>
          <w:numId w:val="101"/>
        </w:numPr>
        <w:spacing w:before="240" w:line="240" w:lineRule="auto"/>
        <w:rPr>
          <w:rFonts w:ascii="Times New Roman" w:hAnsi="Times New Roman"/>
          <w:lang w:val="en-US"/>
        </w:rPr>
      </w:pPr>
      <w:r w:rsidRPr="007D770B">
        <w:rPr>
          <w:rFonts w:ascii="Times New Roman" w:hAnsi="Times New Roman"/>
          <w:lang w:val="en-US"/>
        </w:rPr>
        <w:t xml:space="preserve">funds in settlements with legal entities and individuals, in particular accounts receivable, accounts payable from suppliers and contractors, </w:t>
      </w:r>
    </w:p>
    <w:p w14:paraId="3447CA59" w14:textId="77777777" w:rsidR="002E6173" w:rsidRDefault="009E2B77" w:rsidP="00AE698A">
      <w:pPr>
        <w:numPr>
          <w:ilvl w:val="0"/>
          <w:numId w:val="101"/>
        </w:numPr>
        <w:spacing w:before="240" w:line="240" w:lineRule="auto"/>
        <w:rPr>
          <w:rFonts w:ascii="Times New Roman" w:hAnsi="Times New Roman"/>
        </w:rPr>
      </w:pPr>
      <w:r w:rsidRPr="002D4EA3">
        <w:rPr>
          <w:rFonts w:ascii="Times New Roman" w:hAnsi="Times New Roman"/>
        </w:rPr>
        <w:t>settlements with founders (cash</w:t>
      </w:r>
      <w:r w:rsidR="002E6173">
        <w:rPr>
          <w:rFonts w:ascii="Times New Roman" w:hAnsi="Times New Roman"/>
        </w:rPr>
        <w:t>)</w:t>
      </w:r>
    </w:p>
    <w:p w14:paraId="412A8702" w14:textId="77777777" w:rsidR="009E2B77" w:rsidRPr="007D770B" w:rsidRDefault="009E2B77" w:rsidP="00AE698A">
      <w:pPr>
        <w:numPr>
          <w:ilvl w:val="0"/>
          <w:numId w:val="101"/>
        </w:numPr>
        <w:spacing w:before="240" w:line="240" w:lineRule="auto"/>
        <w:rPr>
          <w:rFonts w:ascii="Times New Roman" w:hAnsi="Times New Roman"/>
          <w:lang w:val="en-US"/>
        </w:rPr>
      </w:pPr>
      <w:r w:rsidRPr="007D770B">
        <w:rPr>
          <w:rFonts w:ascii="Times New Roman" w:hAnsi="Times New Roman"/>
          <w:lang w:val="en-US"/>
        </w:rPr>
        <w:t>settlements with the budget and off-budget funds;</w:t>
      </w:r>
    </w:p>
    <w:p w14:paraId="178A26EE" w14:textId="77777777" w:rsidR="006530D0" w:rsidRDefault="006530D0" w:rsidP="00AE698A">
      <w:pPr>
        <w:numPr>
          <w:ilvl w:val="0"/>
          <w:numId w:val="101"/>
        </w:numPr>
        <w:spacing w:before="240" w:line="240" w:lineRule="auto"/>
        <w:rPr>
          <w:rFonts w:ascii="Times New Roman" w:hAnsi="Times New Roman"/>
        </w:rPr>
      </w:pPr>
      <w:r>
        <w:rPr>
          <w:rFonts w:ascii="Times New Roman" w:hAnsi="Times New Roman"/>
        </w:rPr>
        <w:t>bank deposits;</w:t>
      </w:r>
    </w:p>
    <w:p w14:paraId="2A042BB7" w14:textId="77777777" w:rsidR="006530D0" w:rsidRPr="002D4EA3" w:rsidRDefault="006530D0" w:rsidP="00AE698A">
      <w:pPr>
        <w:numPr>
          <w:ilvl w:val="0"/>
          <w:numId w:val="101"/>
        </w:numPr>
        <w:spacing w:before="240" w:line="240" w:lineRule="auto"/>
        <w:rPr>
          <w:rFonts w:ascii="Times New Roman" w:hAnsi="Times New Roman"/>
        </w:rPr>
      </w:pPr>
      <w:r w:rsidRPr="006530D0">
        <w:rPr>
          <w:rFonts w:ascii="Times New Roman" w:hAnsi="Times New Roman"/>
        </w:rPr>
        <w:t>loans to customers</w:t>
      </w:r>
      <w:r w:rsidR="00D862CE">
        <w:rPr>
          <w:rFonts w:ascii="Times New Roman" w:hAnsi="Times New Roman"/>
        </w:rPr>
        <w:t>.</w:t>
      </w:r>
    </w:p>
    <w:p w14:paraId="7D0DC83E" w14:textId="77777777" w:rsidR="0038440A" w:rsidRPr="007D770B" w:rsidRDefault="00736A71" w:rsidP="00F96B17">
      <w:pPr>
        <w:spacing w:before="240" w:line="240" w:lineRule="auto"/>
        <w:ind w:left="0"/>
        <w:rPr>
          <w:rFonts w:ascii="Times New Roman" w:hAnsi="Times New Roman"/>
          <w:bCs/>
          <w:lang w:val="en-US"/>
        </w:rPr>
      </w:pPr>
      <w:r w:rsidRPr="007D770B">
        <w:rPr>
          <w:rFonts w:ascii="Times New Roman" w:hAnsi="Times New Roman"/>
          <w:b/>
          <w:bCs/>
          <w:lang w:val="en-US"/>
        </w:rPr>
        <w:t xml:space="preserve">Non-monetary </w:t>
      </w:r>
      <w:r w:rsidR="009E2B77" w:rsidRPr="007D770B">
        <w:rPr>
          <w:rFonts w:ascii="Times New Roman" w:hAnsi="Times New Roman"/>
          <w:bCs/>
          <w:lang w:val="en-US"/>
        </w:rPr>
        <w:t xml:space="preserve">items are all items that do not qualify as monetary items and are accounted for at the exchange rate at the date of the transaction, i.e. either the exchange rate used in determining historical cost or the exchange rate at the date of fair value measurement. </w:t>
      </w:r>
      <w:r w:rsidR="00CA0A5A" w:rsidRPr="007D770B">
        <w:rPr>
          <w:rFonts w:ascii="Times New Roman" w:hAnsi="Times New Roman"/>
          <w:bCs/>
          <w:lang w:val="en-US"/>
        </w:rPr>
        <w:t>Non-monetary items measured at fair value in a foreign currency, including equity investments, are translated using the exchange rates at the date when the fair value was measured.</w:t>
      </w:r>
    </w:p>
    <w:p w14:paraId="14C7FEA4" w14:textId="77777777" w:rsidR="009E2B77" w:rsidRPr="007D770B" w:rsidRDefault="009E2B77" w:rsidP="00F96B17">
      <w:pPr>
        <w:spacing w:before="240" w:line="240" w:lineRule="auto"/>
        <w:ind w:left="0"/>
        <w:rPr>
          <w:rFonts w:ascii="Times New Roman" w:hAnsi="Times New Roman"/>
          <w:lang w:val="en-US"/>
        </w:rPr>
      </w:pPr>
      <w:r w:rsidRPr="007D770B">
        <w:rPr>
          <w:rFonts w:ascii="Times New Roman" w:hAnsi="Times New Roman"/>
          <w:lang w:val="en-US"/>
        </w:rPr>
        <w:t>Examples of non-cash items are:</w:t>
      </w:r>
    </w:p>
    <w:p w14:paraId="5780A6D4" w14:textId="77777777" w:rsidR="009E2B77" w:rsidRPr="007D770B" w:rsidRDefault="009E2B77" w:rsidP="00AE698A">
      <w:pPr>
        <w:numPr>
          <w:ilvl w:val="0"/>
          <w:numId w:val="102"/>
        </w:numPr>
        <w:spacing w:before="240" w:line="240" w:lineRule="auto"/>
        <w:rPr>
          <w:rFonts w:ascii="Times New Roman" w:hAnsi="Times New Roman"/>
          <w:lang w:val="en-US"/>
        </w:rPr>
      </w:pPr>
      <w:r w:rsidRPr="007D770B">
        <w:rPr>
          <w:rFonts w:ascii="Times New Roman" w:hAnsi="Times New Roman"/>
          <w:lang w:val="en-US"/>
        </w:rPr>
        <w:t>property, plant and equipment, equipment to be installed, capital investments in progress (construction);</w:t>
      </w:r>
    </w:p>
    <w:p w14:paraId="7D8CF744" w14:textId="77777777" w:rsidR="009E2B77" w:rsidRPr="007D770B" w:rsidRDefault="009E2B77" w:rsidP="00AE698A">
      <w:pPr>
        <w:numPr>
          <w:ilvl w:val="0"/>
          <w:numId w:val="102"/>
        </w:numPr>
        <w:spacing w:before="240" w:line="240" w:lineRule="auto"/>
        <w:rPr>
          <w:rFonts w:ascii="Times New Roman" w:hAnsi="Times New Roman"/>
          <w:lang w:val="en-US"/>
        </w:rPr>
      </w:pPr>
      <w:r w:rsidRPr="007D770B">
        <w:rPr>
          <w:rFonts w:ascii="Times New Roman" w:hAnsi="Times New Roman"/>
          <w:lang w:val="en-US"/>
        </w:rPr>
        <w:t>intangible assets and other assets that have no tangible form;</w:t>
      </w:r>
    </w:p>
    <w:p w14:paraId="23F6ED42" w14:textId="77777777" w:rsidR="009E2B77" w:rsidRPr="002D4EA3" w:rsidRDefault="009E2B77" w:rsidP="00AE698A">
      <w:pPr>
        <w:numPr>
          <w:ilvl w:val="0"/>
          <w:numId w:val="102"/>
        </w:numPr>
        <w:spacing w:before="240" w:line="240" w:lineRule="auto"/>
        <w:rPr>
          <w:rFonts w:ascii="Times New Roman" w:hAnsi="Times New Roman"/>
        </w:rPr>
      </w:pPr>
      <w:r w:rsidRPr="002D4EA3">
        <w:rPr>
          <w:rFonts w:ascii="Times New Roman" w:hAnsi="Times New Roman"/>
        </w:rPr>
        <w:t>supplies;</w:t>
      </w:r>
    </w:p>
    <w:p w14:paraId="52F8B2B3" w14:textId="77777777" w:rsidR="009E2B77" w:rsidRPr="007D770B" w:rsidRDefault="009E2B77" w:rsidP="00AE698A">
      <w:pPr>
        <w:numPr>
          <w:ilvl w:val="0"/>
          <w:numId w:val="102"/>
        </w:numPr>
        <w:spacing w:before="240" w:line="240" w:lineRule="auto"/>
        <w:rPr>
          <w:rFonts w:ascii="Times New Roman" w:hAnsi="Times New Roman"/>
          <w:lang w:val="en-US"/>
        </w:rPr>
      </w:pPr>
      <w:r w:rsidRPr="007D770B">
        <w:rPr>
          <w:rFonts w:ascii="Times New Roman" w:hAnsi="Times New Roman"/>
          <w:lang w:val="en-US"/>
        </w:rPr>
        <w:t>advances given and advances received;</w:t>
      </w:r>
    </w:p>
    <w:p w14:paraId="29EC5FEF" w14:textId="77777777" w:rsidR="009E2B77" w:rsidRPr="002D4EA3" w:rsidRDefault="009E2B77" w:rsidP="00AE698A">
      <w:pPr>
        <w:numPr>
          <w:ilvl w:val="0"/>
          <w:numId w:val="102"/>
        </w:numPr>
        <w:spacing w:before="240" w:line="240" w:lineRule="auto"/>
        <w:rPr>
          <w:rFonts w:ascii="Times New Roman" w:hAnsi="Times New Roman"/>
        </w:rPr>
      </w:pPr>
      <w:r w:rsidRPr="002D4EA3">
        <w:rPr>
          <w:rFonts w:ascii="Times New Roman" w:hAnsi="Times New Roman"/>
        </w:rPr>
        <w:t>deferred expenses and income;</w:t>
      </w:r>
    </w:p>
    <w:p w14:paraId="6C2924AB" w14:textId="77777777" w:rsidR="009E2B77" w:rsidRPr="002D4EA3" w:rsidRDefault="009E2B77" w:rsidP="00AE698A">
      <w:pPr>
        <w:numPr>
          <w:ilvl w:val="0"/>
          <w:numId w:val="102"/>
        </w:numPr>
        <w:spacing w:before="240" w:line="240" w:lineRule="auto"/>
        <w:rPr>
          <w:rFonts w:ascii="Times New Roman" w:hAnsi="Times New Roman"/>
        </w:rPr>
      </w:pPr>
      <w:r w:rsidRPr="002D4EA3">
        <w:rPr>
          <w:rFonts w:ascii="Times New Roman" w:hAnsi="Times New Roman"/>
        </w:rPr>
        <w:lastRenderedPageBreak/>
        <w:t>capital.</w:t>
      </w:r>
    </w:p>
    <w:p w14:paraId="0170B3F4" w14:textId="77777777" w:rsidR="009E2B77" w:rsidRPr="007D770B" w:rsidRDefault="009E2B77" w:rsidP="00F96B17">
      <w:pPr>
        <w:spacing w:before="240" w:line="240" w:lineRule="auto"/>
        <w:ind w:left="0"/>
        <w:rPr>
          <w:rFonts w:ascii="Times New Roman" w:hAnsi="Times New Roman"/>
          <w:bCs/>
          <w:lang w:val="en-US"/>
        </w:rPr>
      </w:pPr>
      <w:r w:rsidRPr="007D770B">
        <w:rPr>
          <w:rFonts w:ascii="Times New Roman" w:hAnsi="Times New Roman"/>
          <w:b/>
          <w:bCs/>
          <w:lang w:val="en-US"/>
        </w:rPr>
        <w:t xml:space="preserve">Exchange rate </w:t>
      </w:r>
      <w:r w:rsidRPr="007D770B">
        <w:rPr>
          <w:rFonts w:ascii="Times New Roman" w:hAnsi="Times New Roman"/>
          <w:bCs/>
          <w:lang w:val="en-US"/>
        </w:rPr>
        <w:t>is the ratio when one currency is exchanged for another.</w:t>
      </w:r>
    </w:p>
    <w:p w14:paraId="5BB4469F" w14:textId="77777777" w:rsidR="009E2B77" w:rsidRPr="007D770B" w:rsidRDefault="009E2B77" w:rsidP="00F96B17">
      <w:pPr>
        <w:spacing w:before="240" w:line="240" w:lineRule="auto"/>
        <w:ind w:left="0"/>
        <w:rPr>
          <w:rFonts w:ascii="Times New Roman" w:hAnsi="Times New Roman"/>
          <w:bCs/>
          <w:lang w:val="en-US"/>
        </w:rPr>
      </w:pPr>
      <w:r w:rsidRPr="007D770B">
        <w:rPr>
          <w:rFonts w:ascii="Times New Roman" w:hAnsi="Times New Roman"/>
          <w:b/>
          <w:bCs/>
          <w:lang w:val="en-US"/>
        </w:rPr>
        <w:t xml:space="preserve">The current exchange rate </w:t>
      </w:r>
      <w:r w:rsidRPr="007D770B">
        <w:rPr>
          <w:rFonts w:ascii="Times New Roman" w:hAnsi="Times New Roman"/>
          <w:bCs/>
          <w:lang w:val="en-US"/>
        </w:rPr>
        <w:t>is the rate of exchange of currencies for immediate delivery.</w:t>
      </w:r>
    </w:p>
    <w:p w14:paraId="2E061755" w14:textId="77777777" w:rsidR="009E2B77" w:rsidRPr="007D770B" w:rsidRDefault="009E2B77" w:rsidP="00F96B17">
      <w:pPr>
        <w:spacing w:before="240" w:line="240" w:lineRule="auto"/>
        <w:ind w:left="0"/>
        <w:rPr>
          <w:rFonts w:ascii="Times New Roman" w:hAnsi="Times New Roman"/>
          <w:bCs/>
          <w:lang w:val="en-US"/>
        </w:rPr>
      </w:pPr>
      <w:r w:rsidRPr="007D770B">
        <w:rPr>
          <w:rFonts w:ascii="Times New Roman" w:hAnsi="Times New Roman"/>
          <w:b/>
          <w:lang w:val="en-US"/>
        </w:rPr>
        <w:t xml:space="preserve">Functional currency </w:t>
      </w:r>
      <w:r w:rsidRPr="007D770B">
        <w:rPr>
          <w:rFonts w:ascii="Times New Roman" w:hAnsi="Times New Roman"/>
          <w:lang w:val="en-US"/>
        </w:rPr>
        <w:t xml:space="preserve">is the </w:t>
      </w:r>
      <w:r w:rsidRPr="007D770B">
        <w:rPr>
          <w:rFonts w:ascii="Times New Roman" w:hAnsi="Times New Roman"/>
          <w:bCs/>
          <w:lang w:val="en-US"/>
        </w:rPr>
        <w:t xml:space="preserve">currency of the primary economic environment in which the </w:t>
      </w:r>
      <w:r w:rsidR="00F9744B" w:rsidRPr="007D770B">
        <w:rPr>
          <w:rFonts w:ascii="Times New Roman" w:hAnsi="Times New Roman"/>
          <w:bCs/>
          <w:lang w:val="en-US"/>
        </w:rPr>
        <w:t xml:space="preserve">Bank </w:t>
      </w:r>
      <w:r w:rsidRPr="007D770B">
        <w:rPr>
          <w:rFonts w:ascii="Times New Roman" w:hAnsi="Times New Roman"/>
          <w:bCs/>
          <w:lang w:val="en-US"/>
        </w:rPr>
        <w:t>operates.</w:t>
      </w:r>
    </w:p>
    <w:p w14:paraId="3AB9E774" w14:textId="77777777" w:rsidR="009E2B77" w:rsidRPr="007D770B" w:rsidRDefault="009E2B77" w:rsidP="00E61D21">
      <w:pPr>
        <w:pStyle w:val="3"/>
        <w:rPr>
          <w:lang w:val="en-US"/>
        </w:rPr>
      </w:pPr>
      <w:bookmarkStart w:id="356" w:name="_Toc277340313"/>
      <w:bookmarkStart w:id="357" w:name="_Toc168502111"/>
      <w:bookmarkStart w:id="358" w:name="_Toc249285695"/>
      <w:bookmarkStart w:id="359" w:name="_Toc271279907"/>
      <w:r w:rsidRPr="007D770B">
        <w:rPr>
          <w:lang w:val="en-US"/>
        </w:rPr>
        <w:t xml:space="preserve">1.3 Accounting Principles </w:t>
      </w:r>
      <w:bookmarkEnd w:id="356"/>
      <w:bookmarkEnd w:id="357"/>
    </w:p>
    <w:p w14:paraId="08F1233D" w14:textId="77777777" w:rsidR="009E2B77" w:rsidRPr="007D770B" w:rsidRDefault="009E2B77" w:rsidP="00F96B17">
      <w:pPr>
        <w:pStyle w:val="afffc"/>
        <w:spacing w:before="240" w:beforeAutospacing="0" w:after="240" w:afterAutospacing="0"/>
        <w:ind w:left="360" w:right="34" w:hanging="360"/>
        <w:jc w:val="both"/>
        <w:rPr>
          <w:rFonts w:ascii="Times New Roman" w:hAnsi="Times New Roman"/>
          <w:snapToGrid w:val="0"/>
          <w:color w:val="auto"/>
          <w:sz w:val="20"/>
          <w:szCs w:val="20"/>
          <w:lang w:eastAsia="ru-RU"/>
        </w:rPr>
      </w:pPr>
      <w:r w:rsidRPr="007D770B">
        <w:rPr>
          <w:rFonts w:ascii="Times New Roman" w:hAnsi="Times New Roman"/>
          <w:snapToGrid w:val="0"/>
          <w:color w:val="auto"/>
          <w:sz w:val="20"/>
          <w:szCs w:val="20"/>
          <w:lang w:eastAsia="ru-RU"/>
        </w:rPr>
        <w:t>This section of the accounting policy should be applied:</w:t>
      </w:r>
    </w:p>
    <w:p w14:paraId="25E18353" w14:textId="415606F4" w:rsidR="009E2B77" w:rsidRPr="007D770B" w:rsidRDefault="009E2B77" w:rsidP="00AE698A">
      <w:pPr>
        <w:pStyle w:val="afffc"/>
        <w:numPr>
          <w:ilvl w:val="0"/>
          <w:numId w:val="103"/>
        </w:numPr>
        <w:tabs>
          <w:tab w:val="left" w:pos="360"/>
        </w:tabs>
        <w:spacing w:before="240" w:beforeAutospacing="0" w:after="240" w:afterAutospacing="0"/>
        <w:ind w:right="34"/>
        <w:jc w:val="both"/>
        <w:rPr>
          <w:rFonts w:ascii="Times New Roman" w:hAnsi="Times New Roman"/>
          <w:snapToGrid w:val="0"/>
          <w:color w:val="auto"/>
          <w:sz w:val="20"/>
          <w:szCs w:val="20"/>
          <w:lang w:eastAsia="ru-RU"/>
        </w:rPr>
      </w:pPr>
      <w:r w:rsidRPr="007D770B">
        <w:rPr>
          <w:rFonts w:ascii="Times New Roman" w:hAnsi="Times New Roman"/>
          <w:snapToGrid w:val="0"/>
          <w:color w:val="auto"/>
          <w:sz w:val="20"/>
          <w:szCs w:val="20"/>
          <w:lang w:eastAsia="ru-RU"/>
        </w:rPr>
        <w:t xml:space="preserve">to record transactions and balances denominated in foreign currencies, except for those derivative transactions and balances that are accounted for in accordance with Chapter 2, Section 3, Financial Assets and Liabilities (IAS 32, </w:t>
      </w:r>
      <w:r w:rsidR="00F931DC" w:rsidRPr="007D770B">
        <w:rPr>
          <w:rFonts w:ascii="Times New Roman" w:hAnsi="Times New Roman"/>
          <w:snapToGrid w:val="0"/>
          <w:color w:val="auto"/>
          <w:sz w:val="20"/>
          <w:szCs w:val="20"/>
          <w:lang w:eastAsia="ru-RU"/>
        </w:rPr>
        <w:t>IFRS 9</w:t>
      </w:r>
      <w:r w:rsidRPr="007D770B">
        <w:rPr>
          <w:rFonts w:ascii="Times New Roman" w:hAnsi="Times New Roman"/>
          <w:snapToGrid w:val="0"/>
          <w:color w:val="auto"/>
          <w:sz w:val="20"/>
          <w:szCs w:val="20"/>
          <w:lang w:eastAsia="ru-RU"/>
        </w:rPr>
        <w:t>, IFRS 7)</w:t>
      </w:r>
      <w:r w:rsidR="00802136" w:rsidRPr="007D770B">
        <w:rPr>
          <w:rFonts w:ascii="Times New Roman" w:hAnsi="Times New Roman"/>
          <w:snapToGrid w:val="0"/>
          <w:color w:val="auto"/>
          <w:sz w:val="20"/>
          <w:szCs w:val="20"/>
          <w:lang w:eastAsia="ru-RU"/>
        </w:rPr>
        <w:t>;</w:t>
      </w:r>
    </w:p>
    <w:p w14:paraId="5777C86A" w14:textId="77777777" w:rsidR="009E2B77" w:rsidRPr="007D770B" w:rsidRDefault="009E2B77" w:rsidP="00AE698A">
      <w:pPr>
        <w:pStyle w:val="aa"/>
        <w:numPr>
          <w:ilvl w:val="0"/>
          <w:numId w:val="103"/>
        </w:numPr>
        <w:tabs>
          <w:tab w:val="left" w:pos="360"/>
          <w:tab w:val="left" w:pos="720"/>
        </w:tabs>
        <w:spacing w:before="240" w:line="240" w:lineRule="auto"/>
        <w:contextualSpacing w:val="0"/>
        <w:rPr>
          <w:snapToGrid w:val="0"/>
          <w:lang w:val="en-US"/>
        </w:rPr>
      </w:pPr>
      <w:r w:rsidRPr="007D770B">
        <w:rPr>
          <w:rFonts w:ascii="Times New Roman" w:hAnsi="Times New Roman"/>
          <w:snapToGrid w:val="0"/>
          <w:lang w:val="en-US" w:eastAsia="ru-RU"/>
        </w:rPr>
        <w:t xml:space="preserve">when translating the </w:t>
      </w:r>
      <w:r w:rsidR="00F9744B" w:rsidRPr="007D770B">
        <w:rPr>
          <w:rFonts w:ascii="Times New Roman" w:hAnsi="Times New Roman"/>
          <w:snapToGrid w:val="0"/>
          <w:lang w:val="en-US" w:eastAsia="ru-RU"/>
        </w:rPr>
        <w:t xml:space="preserve">Bank's </w:t>
      </w:r>
      <w:r w:rsidRPr="007D770B">
        <w:rPr>
          <w:rFonts w:ascii="Times New Roman" w:hAnsi="Times New Roman"/>
          <w:snapToGrid w:val="0"/>
          <w:lang w:val="en-US" w:eastAsia="ru-RU"/>
        </w:rPr>
        <w:t>results and financial position into the presentation currency.</w:t>
      </w:r>
    </w:p>
    <w:p w14:paraId="29506C5E" w14:textId="06F863B4" w:rsidR="009E2B77" w:rsidRPr="007D770B" w:rsidRDefault="009E2B77" w:rsidP="00F96B17">
      <w:pPr>
        <w:spacing w:before="240" w:line="240" w:lineRule="auto"/>
        <w:ind w:left="0"/>
        <w:rPr>
          <w:b/>
          <w:i/>
          <w:lang w:val="en-US"/>
        </w:rPr>
      </w:pPr>
      <w:r w:rsidRPr="007D770B">
        <w:rPr>
          <w:rFonts w:ascii="Times New Roman" w:hAnsi="Times New Roman"/>
          <w:b/>
          <w:i/>
          <w:lang w:val="en-US"/>
        </w:rPr>
        <w:t>Functional and presentation currency</w:t>
      </w:r>
      <w:bookmarkEnd w:id="358"/>
      <w:bookmarkEnd w:id="359"/>
    </w:p>
    <w:p w14:paraId="0D5A0E2B" w14:textId="77777777" w:rsidR="009E2B77" w:rsidRPr="007D770B" w:rsidRDefault="009E2B77" w:rsidP="00D862CE">
      <w:pPr>
        <w:spacing w:before="240" w:line="240" w:lineRule="auto"/>
        <w:ind w:left="0"/>
        <w:rPr>
          <w:rFonts w:ascii="Times New Roman" w:hAnsi="Times New Roman"/>
          <w:lang w:val="en-US"/>
        </w:rPr>
      </w:pPr>
      <w:r w:rsidRPr="007D770B">
        <w:rPr>
          <w:rFonts w:ascii="Times New Roman" w:hAnsi="Times New Roman"/>
          <w:lang w:val="en-US"/>
        </w:rPr>
        <w:t xml:space="preserve">The financial statements reflect the results of operations, financial position and cash flows of the </w:t>
      </w:r>
      <w:r w:rsidR="00F9744B" w:rsidRPr="007D770B">
        <w:rPr>
          <w:rFonts w:ascii="Times New Roman" w:hAnsi="Times New Roman"/>
          <w:lang w:val="en-US"/>
        </w:rPr>
        <w:t xml:space="preserve">Bank. </w:t>
      </w:r>
    </w:p>
    <w:p w14:paraId="52DE4E0E" w14:textId="77777777" w:rsidR="009E2B77" w:rsidRPr="007D770B" w:rsidRDefault="009E2B77" w:rsidP="00F96B17">
      <w:pPr>
        <w:spacing w:before="240" w:line="240" w:lineRule="auto"/>
        <w:ind w:left="0"/>
        <w:rPr>
          <w:rFonts w:ascii="Times New Roman" w:hAnsi="Times New Roman"/>
          <w:lang w:val="en-US"/>
        </w:rPr>
      </w:pPr>
      <w:r w:rsidRPr="007D770B">
        <w:rPr>
          <w:rFonts w:ascii="Times New Roman" w:hAnsi="Times New Roman"/>
          <w:lang w:val="en-US"/>
        </w:rPr>
        <w:t xml:space="preserve">The </w:t>
      </w:r>
      <w:r w:rsidR="00F9744B" w:rsidRPr="007D770B">
        <w:rPr>
          <w:rFonts w:ascii="Times New Roman" w:hAnsi="Times New Roman"/>
          <w:lang w:val="en-US"/>
        </w:rPr>
        <w:t xml:space="preserve">Bank </w:t>
      </w:r>
      <w:r w:rsidRPr="007D770B">
        <w:rPr>
          <w:rFonts w:ascii="Times New Roman" w:hAnsi="Times New Roman"/>
          <w:lang w:val="en-US"/>
        </w:rPr>
        <w:t>can have only one functional currency. The results of all transactions are recorded in the functional currency and subsequently translated into the presentation currency.</w:t>
      </w:r>
    </w:p>
    <w:p w14:paraId="35653F09" w14:textId="675A4F37" w:rsidR="009E2B77" w:rsidRPr="007D770B" w:rsidRDefault="009E2B77" w:rsidP="00E61D21">
      <w:pPr>
        <w:pStyle w:val="3"/>
        <w:rPr>
          <w:lang w:val="en-US"/>
        </w:rPr>
      </w:pPr>
      <w:bookmarkStart w:id="360" w:name="_Toc249285696"/>
      <w:bookmarkStart w:id="361" w:name="_Toc271279908"/>
      <w:bookmarkStart w:id="362" w:name="_Toc277340314"/>
      <w:bookmarkStart w:id="363" w:name="_Toc168502112"/>
      <w:r w:rsidRPr="007D770B">
        <w:rPr>
          <w:lang w:val="en-US"/>
        </w:rPr>
        <w:t>1.4 Disclosure of information</w:t>
      </w:r>
      <w:bookmarkEnd w:id="360"/>
      <w:bookmarkEnd w:id="361"/>
      <w:bookmarkEnd w:id="362"/>
      <w:bookmarkEnd w:id="363"/>
    </w:p>
    <w:p w14:paraId="08300ED8" w14:textId="77777777" w:rsidR="009E2B77" w:rsidRPr="007D770B" w:rsidRDefault="009E2B77" w:rsidP="00F96B17">
      <w:pPr>
        <w:spacing w:before="240" w:line="240" w:lineRule="auto"/>
        <w:ind w:left="0"/>
        <w:rPr>
          <w:rFonts w:ascii="Times New Roman" w:hAnsi="Times New Roman"/>
          <w:lang w:val="en-US"/>
        </w:rPr>
      </w:pPr>
      <w:r w:rsidRPr="007D770B">
        <w:rPr>
          <w:rFonts w:ascii="Times New Roman" w:hAnsi="Times New Roman"/>
          <w:lang w:val="en-US"/>
        </w:rPr>
        <w:t xml:space="preserve">The following information shall be disclosed in the </w:t>
      </w:r>
      <w:r w:rsidR="00F9744B" w:rsidRPr="007D770B">
        <w:rPr>
          <w:rFonts w:ascii="Times New Roman" w:hAnsi="Times New Roman"/>
          <w:lang w:val="en-US"/>
        </w:rPr>
        <w:t xml:space="preserve">Bank's </w:t>
      </w:r>
      <w:r w:rsidRPr="007D770B">
        <w:rPr>
          <w:rFonts w:ascii="Times New Roman" w:hAnsi="Times New Roman"/>
          <w:lang w:val="en-US"/>
        </w:rPr>
        <w:t>financial statements:</w:t>
      </w:r>
    </w:p>
    <w:p w14:paraId="36B62E64" w14:textId="77777777" w:rsidR="009E2B77" w:rsidRPr="007D770B" w:rsidRDefault="00D35282" w:rsidP="00AE698A">
      <w:pPr>
        <w:numPr>
          <w:ilvl w:val="0"/>
          <w:numId w:val="104"/>
        </w:numPr>
        <w:tabs>
          <w:tab w:val="clear" w:pos="360"/>
          <w:tab w:val="num" w:pos="720"/>
        </w:tabs>
        <w:spacing w:before="240" w:line="240" w:lineRule="auto"/>
        <w:ind w:left="720"/>
        <w:rPr>
          <w:rFonts w:ascii="Times New Roman" w:hAnsi="Times New Roman"/>
          <w:lang w:val="en-US"/>
        </w:rPr>
      </w:pPr>
      <w:r w:rsidRPr="007D770B">
        <w:rPr>
          <w:rFonts w:ascii="Times New Roman" w:hAnsi="Times New Roman"/>
          <w:lang w:val="en-US"/>
        </w:rPr>
        <w:t xml:space="preserve">the amount of </w:t>
      </w:r>
      <w:r w:rsidR="009E2B77" w:rsidRPr="007D770B">
        <w:rPr>
          <w:rFonts w:ascii="Times New Roman" w:hAnsi="Times New Roman"/>
          <w:lang w:val="en-US"/>
        </w:rPr>
        <w:t xml:space="preserve">exchange differences </w:t>
      </w:r>
      <w:r w:rsidR="002250EF" w:rsidRPr="007D770B">
        <w:rPr>
          <w:rFonts w:ascii="Times New Roman" w:hAnsi="Times New Roman"/>
          <w:lang w:val="en-US"/>
        </w:rPr>
        <w:t xml:space="preserve">recognized </w:t>
      </w:r>
      <w:r w:rsidR="009E2B77" w:rsidRPr="007D770B">
        <w:rPr>
          <w:rFonts w:ascii="Times New Roman" w:hAnsi="Times New Roman"/>
          <w:lang w:val="en-US"/>
        </w:rPr>
        <w:t>in profit or loss, except for those arising on financial instruments at fair value through profit or loss;</w:t>
      </w:r>
    </w:p>
    <w:p w14:paraId="061E7578" w14:textId="77777777" w:rsidR="009E2B77" w:rsidRPr="007D770B" w:rsidRDefault="009E2B77" w:rsidP="00AE698A">
      <w:pPr>
        <w:numPr>
          <w:ilvl w:val="0"/>
          <w:numId w:val="104"/>
        </w:numPr>
        <w:tabs>
          <w:tab w:val="clear" w:pos="360"/>
          <w:tab w:val="num" w:pos="720"/>
        </w:tabs>
        <w:spacing w:before="240" w:line="240" w:lineRule="auto"/>
        <w:ind w:left="720"/>
        <w:rPr>
          <w:rFonts w:ascii="Times New Roman" w:hAnsi="Times New Roman"/>
          <w:lang w:val="en-US"/>
        </w:rPr>
      </w:pPr>
      <w:r w:rsidRPr="007D770B">
        <w:rPr>
          <w:rFonts w:ascii="Times New Roman" w:hAnsi="Times New Roman"/>
          <w:lang w:val="en-US"/>
        </w:rPr>
        <w:t>net exchange differences recognized in other comprehensive income and classified as a separate component of equity, and a reconciliation of the amount of such exchange differences at the beginning and end of the period.</w:t>
      </w:r>
    </w:p>
    <w:p w14:paraId="598D267A" w14:textId="77777777" w:rsidR="009E2B77" w:rsidRPr="007D770B" w:rsidRDefault="009E2B77" w:rsidP="00F96B17">
      <w:pPr>
        <w:spacing w:before="240" w:line="240" w:lineRule="auto"/>
        <w:ind w:left="0"/>
        <w:rPr>
          <w:rFonts w:ascii="Times New Roman" w:hAnsi="Times New Roman"/>
          <w:lang w:val="en-US"/>
        </w:rPr>
      </w:pPr>
      <w:r w:rsidRPr="007D770B">
        <w:rPr>
          <w:rFonts w:ascii="Times New Roman" w:hAnsi="Times New Roman"/>
          <w:lang w:val="en-US"/>
        </w:rPr>
        <w:t>If the presentation currency differs from the functional currency, this fact should be disclosed and the functional currency and the reasons for using a different presentation currency should be disclosed.</w:t>
      </w:r>
    </w:p>
    <w:p w14:paraId="170A04C4" w14:textId="77777777" w:rsidR="006816CF" w:rsidRPr="007D770B" w:rsidRDefault="006816CF" w:rsidP="00F96B17">
      <w:pPr>
        <w:spacing w:before="240" w:line="240" w:lineRule="auto"/>
        <w:ind w:left="0"/>
        <w:rPr>
          <w:rFonts w:ascii="Times New Roman" w:hAnsi="Times New Roman"/>
          <w:lang w:val="en-US"/>
        </w:rPr>
        <w:sectPr w:rsidR="006816CF" w:rsidRPr="007D770B" w:rsidSect="000610F9">
          <w:headerReference w:type="even" r:id="rId75"/>
          <w:headerReference w:type="default" r:id="rId76"/>
          <w:headerReference w:type="first" r:id="rId77"/>
          <w:pgSz w:w="11906" w:h="16838"/>
          <w:pgMar w:top="1268" w:right="680" w:bottom="900" w:left="1134" w:header="510" w:footer="404" w:gutter="0"/>
          <w:cols w:space="708"/>
          <w:titlePg/>
          <w:docGrid w:linePitch="360"/>
        </w:sectPr>
      </w:pPr>
    </w:p>
    <w:p w14:paraId="7665A300" w14:textId="77777777" w:rsidR="006816CF" w:rsidRPr="007D770B" w:rsidRDefault="006816CF" w:rsidP="00F96B17">
      <w:pPr>
        <w:spacing w:before="240" w:line="240" w:lineRule="auto"/>
        <w:ind w:left="0"/>
        <w:rPr>
          <w:rFonts w:ascii="Times New Roman" w:hAnsi="Times New Roman"/>
          <w:lang w:val="en-US"/>
        </w:rPr>
        <w:sectPr w:rsidR="006816CF" w:rsidRPr="007D770B" w:rsidSect="006816CF">
          <w:type w:val="continuous"/>
          <w:pgSz w:w="11906" w:h="16838"/>
          <w:pgMar w:top="1268" w:right="680" w:bottom="900" w:left="1134" w:header="510" w:footer="404" w:gutter="0"/>
          <w:cols w:space="708"/>
          <w:titlePg/>
          <w:docGrid w:linePitch="360"/>
        </w:sectPr>
      </w:pPr>
    </w:p>
    <w:p w14:paraId="342B2200" w14:textId="77777777" w:rsidR="009E2B77" w:rsidRPr="007D770B" w:rsidRDefault="009E2B77" w:rsidP="008451F4">
      <w:pPr>
        <w:pStyle w:val="2"/>
        <w:pageBreakBefore/>
        <w:spacing w:before="240"/>
        <w:jc w:val="both"/>
        <w:rPr>
          <w:rFonts w:ascii="Times New Roman" w:hAnsi="Times New Roman"/>
          <w:sz w:val="20"/>
          <w:szCs w:val="20"/>
          <w:lang w:val="en-US" w:eastAsia="ru-RU"/>
        </w:rPr>
      </w:pPr>
      <w:bookmarkStart w:id="364" w:name="_Toc277340320"/>
      <w:bookmarkStart w:id="365" w:name="_Toc168502113"/>
      <w:bookmarkStart w:id="366" w:name="_Toc251607801"/>
      <w:bookmarkStart w:id="367" w:name="_Toc271279916"/>
      <w:r w:rsidRPr="007D770B">
        <w:rPr>
          <w:rFonts w:ascii="Times New Roman" w:hAnsi="Times New Roman"/>
          <w:sz w:val="20"/>
          <w:szCs w:val="20"/>
          <w:lang w:val="en-US" w:eastAsia="ru-RU"/>
        </w:rPr>
        <w:lastRenderedPageBreak/>
        <w:t>Section 2: Related parties (IAS 24)</w:t>
      </w:r>
      <w:bookmarkEnd w:id="364"/>
      <w:bookmarkEnd w:id="365"/>
    </w:p>
    <w:p w14:paraId="75C41C29" w14:textId="431965C0" w:rsidR="00551C5D" w:rsidRPr="007D770B" w:rsidRDefault="00551C5D" w:rsidP="00E61D21">
      <w:pPr>
        <w:pStyle w:val="3"/>
        <w:rPr>
          <w:lang w:val="en-US"/>
        </w:rPr>
      </w:pPr>
      <w:bookmarkStart w:id="368" w:name="_Toc277340321"/>
      <w:bookmarkStart w:id="369" w:name="_Toc168502114"/>
      <w:bookmarkEnd w:id="366"/>
      <w:bookmarkEnd w:id="367"/>
      <w:r w:rsidRPr="007D770B">
        <w:rPr>
          <w:lang w:val="en-US"/>
        </w:rPr>
        <w:t>2.1 General provisions</w:t>
      </w:r>
      <w:bookmarkEnd w:id="368"/>
      <w:bookmarkEnd w:id="369"/>
    </w:p>
    <w:p w14:paraId="7F7939A4" w14:textId="77777777" w:rsidR="00551C5D" w:rsidRPr="002D4EA3" w:rsidRDefault="00551C5D" w:rsidP="00551C5D">
      <w:pPr>
        <w:spacing w:before="240" w:line="240" w:lineRule="auto"/>
        <w:ind w:left="0"/>
        <w:rPr>
          <w:rFonts w:ascii="Times New Roman" w:hAnsi="Times New Roman"/>
        </w:rPr>
      </w:pPr>
      <w:r w:rsidRPr="007D770B">
        <w:rPr>
          <w:rFonts w:ascii="Times New Roman" w:hAnsi="Times New Roman"/>
          <w:lang w:val="en-US"/>
        </w:rPr>
        <w:t xml:space="preserve">In the normal course of business, the Bank enters into transactions with related parties. </w:t>
      </w:r>
      <w:r w:rsidRPr="002D4EA3">
        <w:rPr>
          <w:rFonts w:ascii="Times New Roman" w:hAnsi="Times New Roman"/>
        </w:rPr>
        <w:t>This section applies to:</w:t>
      </w:r>
    </w:p>
    <w:p w14:paraId="68A54661" w14:textId="77777777" w:rsidR="00551C5D" w:rsidRPr="007D770B" w:rsidRDefault="00551C5D" w:rsidP="00AE698A">
      <w:pPr>
        <w:numPr>
          <w:ilvl w:val="0"/>
          <w:numId w:val="105"/>
        </w:numPr>
        <w:spacing w:before="240" w:line="240" w:lineRule="auto"/>
        <w:rPr>
          <w:rFonts w:ascii="Times New Roman" w:hAnsi="Times New Roman"/>
          <w:lang w:val="en-US"/>
        </w:rPr>
      </w:pPr>
      <w:r w:rsidRPr="007D770B">
        <w:rPr>
          <w:rFonts w:ascii="Times New Roman" w:hAnsi="Times New Roman"/>
          <w:lang w:val="en-US"/>
        </w:rPr>
        <w:t xml:space="preserve">identification of related party relationships and transactions; </w:t>
      </w:r>
    </w:p>
    <w:p w14:paraId="2789F68B" w14:textId="77777777" w:rsidR="00551C5D" w:rsidRPr="007D770B" w:rsidRDefault="00551C5D" w:rsidP="00AE698A">
      <w:pPr>
        <w:numPr>
          <w:ilvl w:val="0"/>
          <w:numId w:val="105"/>
        </w:numPr>
        <w:spacing w:before="240" w:line="240" w:lineRule="auto"/>
        <w:rPr>
          <w:rFonts w:ascii="Times New Roman" w:hAnsi="Times New Roman"/>
          <w:lang w:val="en-US"/>
        </w:rPr>
      </w:pPr>
      <w:r w:rsidRPr="007D770B">
        <w:rPr>
          <w:rFonts w:ascii="Times New Roman" w:hAnsi="Times New Roman"/>
          <w:lang w:val="en-US"/>
        </w:rPr>
        <w:t xml:space="preserve">identification of outstanding balances between the Bank and related parties; </w:t>
      </w:r>
    </w:p>
    <w:p w14:paraId="72C3FD46" w14:textId="77777777" w:rsidR="00551C5D" w:rsidRPr="007D770B" w:rsidRDefault="00551C5D" w:rsidP="00AE698A">
      <w:pPr>
        <w:numPr>
          <w:ilvl w:val="0"/>
          <w:numId w:val="105"/>
        </w:numPr>
        <w:spacing w:before="240" w:line="240" w:lineRule="auto"/>
        <w:rPr>
          <w:rFonts w:ascii="Times New Roman" w:hAnsi="Times New Roman"/>
          <w:lang w:val="en-US"/>
        </w:rPr>
      </w:pPr>
      <w:r w:rsidRPr="007D770B">
        <w:rPr>
          <w:rFonts w:ascii="Times New Roman" w:hAnsi="Times New Roman"/>
          <w:lang w:val="en-US"/>
        </w:rPr>
        <w:t xml:space="preserve">Identifying the circumstances in which disclosure of articles is required in accordance with the above paragraphs; and </w:t>
      </w:r>
    </w:p>
    <w:p w14:paraId="63D84AE8" w14:textId="77777777" w:rsidR="00551C5D" w:rsidRPr="007D770B" w:rsidRDefault="00551C5D" w:rsidP="00AE698A">
      <w:pPr>
        <w:numPr>
          <w:ilvl w:val="0"/>
          <w:numId w:val="105"/>
        </w:numPr>
        <w:spacing w:before="240" w:line="240" w:lineRule="auto"/>
        <w:rPr>
          <w:rFonts w:ascii="Times New Roman" w:hAnsi="Times New Roman"/>
          <w:lang w:val="en-US"/>
        </w:rPr>
      </w:pPr>
      <w:r w:rsidRPr="007D770B">
        <w:rPr>
          <w:rFonts w:ascii="Times New Roman" w:hAnsi="Times New Roman"/>
          <w:lang w:val="en-US"/>
        </w:rPr>
        <w:t xml:space="preserve">determining the information to be disclosed in respect of such items. </w:t>
      </w:r>
    </w:p>
    <w:p w14:paraId="7BBE9672" w14:textId="25610E8D" w:rsidR="00551C5D" w:rsidRPr="007D770B" w:rsidRDefault="00551C5D" w:rsidP="00E61D21">
      <w:pPr>
        <w:pStyle w:val="3"/>
        <w:rPr>
          <w:lang w:val="en-US"/>
        </w:rPr>
      </w:pPr>
      <w:bookmarkStart w:id="370" w:name="_Toc251607802"/>
      <w:bookmarkStart w:id="371" w:name="_Toc271279917"/>
      <w:bookmarkStart w:id="372" w:name="_Toc277340322"/>
      <w:bookmarkStart w:id="373" w:name="_Toc168502115"/>
      <w:r w:rsidRPr="007D770B">
        <w:rPr>
          <w:lang w:val="en-US"/>
        </w:rPr>
        <w:t>2.2 Definitions</w:t>
      </w:r>
      <w:bookmarkEnd w:id="370"/>
      <w:bookmarkEnd w:id="371"/>
      <w:bookmarkEnd w:id="372"/>
      <w:bookmarkEnd w:id="373"/>
    </w:p>
    <w:p w14:paraId="599E9065" w14:textId="77777777" w:rsidR="00551C5D" w:rsidRPr="007D770B" w:rsidRDefault="00551C5D" w:rsidP="00551C5D">
      <w:pPr>
        <w:spacing w:before="240" w:line="240" w:lineRule="auto"/>
        <w:ind w:left="0"/>
        <w:rPr>
          <w:rFonts w:ascii="Times New Roman" w:hAnsi="Times New Roman"/>
          <w:lang w:val="en-US"/>
        </w:rPr>
      </w:pPr>
      <w:r w:rsidRPr="007D770B">
        <w:rPr>
          <w:rFonts w:ascii="Times New Roman" w:hAnsi="Times New Roman"/>
          <w:lang w:val="en-US"/>
        </w:rPr>
        <w:t>The following terms are used in this section with the meanings indicated:</w:t>
      </w:r>
    </w:p>
    <w:p w14:paraId="33164BA2" w14:textId="77777777" w:rsidR="00551C5D" w:rsidRPr="002D4EA3" w:rsidRDefault="00551C5D" w:rsidP="00551C5D">
      <w:pPr>
        <w:spacing w:before="240" w:line="240" w:lineRule="auto"/>
        <w:ind w:left="0"/>
        <w:rPr>
          <w:rFonts w:ascii="Times New Roman" w:hAnsi="Times New Roman"/>
        </w:rPr>
      </w:pPr>
      <w:r w:rsidRPr="007D770B">
        <w:rPr>
          <w:rFonts w:ascii="Times New Roman" w:hAnsi="Times New Roman"/>
          <w:b/>
          <w:lang w:val="en-US"/>
        </w:rPr>
        <w:t xml:space="preserve">Close relatives </w:t>
      </w:r>
      <w:r w:rsidRPr="007D770B">
        <w:rPr>
          <w:rFonts w:ascii="Times New Roman" w:hAnsi="Times New Roman"/>
          <w:lang w:val="en-US"/>
        </w:rPr>
        <w:t xml:space="preserve">are those family members of an individual who are expected to be able to influence or be influenced by that individual in their dealings with the Bank. </w:t>
      </w:r>
      <w:r w:rsidRPr="002D4EA3">
        <w:rPr>
          <w:rFonts w:ascii="Times New Roman" w:hAnsi="Times New Roman"/>
        </w:rPr>
        <w:t xml:space="preserve">These may include: </w:t>
      </w:r>
    </w:p>
    <w:p w14:paraId="796050A0" w14:textId="77777777" w:rsidR="00551C5D" w:rsidRPr="007D770B" w:rsidRDefault="00551C5D" w:rsidP="00AE698A">
      <w:pPr>
        <w:numPr>
          <w:ilvl w:val="0"/>
          <w:numId w:val="106"/>
        </w:numPr>
        <w:tabs>
          <w:tab w:val="num" w:pos="720"/>
        </w:tabs>
        <w:spacing w:before="240" w:line="240" w:lineRule="auto"/>
        <w:ind w:left="900" w:hanging="540"/>
        <w:rPr>
          <w:rFonts w:ascii="Times New Roman" w:hAnsi="Times New Roman"/>
          <w:lang w:val="en-US"/>
        </w:rPr>
      </w:pPr>
      <w:r w:rsidRPr="007D770B">
        <w:rPr>
          <w:rFonts w:ascii="Times New Roman" w:hAnsi="Times New Roman"/>
          <w:lang w:val="en-US"/>
        </w:rPr>
        <w:t>spouse or common-law spouse and children of such person;</w:t>
      </w:r>
    </w:p>
    <w:p w14:paraId="7F0214F7" w14:textId="77777777" w:rsidR="00551C5D" w:rsidRPr="007D770B" w:rsidRDefault="00551C5D" w:rsidP="00AE698A">
      <w:pPr>
        <w:numPr>
          <w:ilvl w:val="0"/>
          <w:numId w:val="106"/>
        </w:numPr>
        <w:tabs>
          <w:tab w:val="num" w:pos="720"/>
        </w:tabs>
        <w:spacing w:before="240" w:line="240" w:lineRule="auto"/>
        <w:ind w:left="900" w:hanging="540"/>
        <w:rPr>
          <w:rFonts w:ascii="Times New Roman" w:hAnsi="Times New Roman"/>
          <w:lang w:val="en-US"/>
        </w:rPr>
      </w:pPr>
      <w:r w:rsidRPr="007D770B">
        <w:rPr>
          <w:rFonts w:ascii="Times New Roman" w:hAnsi="Times New Roman"/>
          <w:lang w:val="en-US"/>
        </w:rPr>
        <w:t>Children of such person's spouse or common-law spouse;</w:t>
      </w:r>
    </w:p>
    <w:p w14:paraId="0DEB37E7" w14:textId="77777777" w:rsidR="00551C5D" w:rsidRPr="007D770B" w:rsidRDefault="00551C5D" w:rsidP="00AE698A">
      <w:pPr>
        <w:numPr>
          <w:ilvl w:val="0"/>
          <w:numId w:val="106"/>
        </w:numPr>
        <w:tabs>
          <w:tab w:val="num" w:pos="720"/>
        </w:tabs>
        <w:spacing w:before="240" w:line="240" w:lineRule="auto"/>
        <w:ind w:left="900" w:hanging="540"/>
        <w:rPr>
          <w:rFonts w:ascii="Times New Roman" w:hAnsi="Times New Roman"/>
          <w:lang w:val="en-US"/>
        </w:rPr>
      </w:pPr>
      <w:r w:rsidRPr="007D770B">
        <w:rPr>
          <w:rFonts w:ascii="Times New Roman" w:hAnsi="Times New Roman"/>
          <w:lang w:val="en-US"/>
        </w:rPr>
        <w:t>Dependents of an individual, spouse, or common-law spouse of such individual.</w:t>
      </w:r>
    </w:p>
    <w:p w14:paraId="13CC4940" w14:textId="77777777" w:rsidR="00551C5D" w:rsidRPr="007D770B" w:rsidRDefault="00551C5D" w:rsidP="00551C5D">
      <w:pPr>
        <w:spacing w:before="240" w:line="240" w:lineRule="auto"/>
        <w:ind w:left="0"/>
        <w:rPr>
          <w:rFonts w:ascii="Times New Roman" w:hAnsi="Times New Roman"/>
          <w:strike/>
          <w:lang w:val="en-US"/>
        </w:rPr>
      </w:pPr>
      <w:r w:rsidRPr="007D770B">
        <w:rPr>
          <w:rFonts w:ascii="Times New Roman" w:hAnsi="Times New Roman"/>
          <w:b/>
          <w:lang w:val="en-US"/>
        </w:rPr>
        <w:t xml:space="preserve">The state is </w:t>
      </w:r>
      <w:r w:rsidRPr="007D770B">
        <w:rPr>
          <w:rFonts w:ascii="Times New Roman" w:hAnsi="Times New Roman"/>
          <w:lang w:val="en-US"/>
        </w:rPr>
        <w:t>the actual government and state agencies</w:t>
      </w:r>
      <w:r w:rsidRPr="007D770B">
        <w:rPr>
          <w:rFonts w:ascii="Times New Roman" w:hAnsi="Times New Roman"/>
          <w:strike/>
          <w:lang w:val="en-US"/>
        </w:rPr>
        <w:t xml:space="preserve">.  </w:t>
      </w:r>
    </w:p>
    <w:p w14:paraId="1F22D5CC" w14:textId="77777777" w:rsidR="00551C5D" w:rsidRPr="007D770B" w:rsidRDefault="00551C5D" w:rsidP="00551C5D">
      <w:pPr>
        <w:spacing w:before="240" w:line="240" w:lineRule="auto"/>
        <w:ind w:left="0"/>
        <w:rPr>
          <w:rFonts w:ascii="Times New Roman" w:hAnsi="Times New Roman"/>
          <w:lang w:val="en-US"/>
        </w:rPr>
      </w:pPr>
      <w:r w:rsidRPr="007D770B">
        <w:rPr>
          <w:rFonts w:ascii="Times New Roman" w:hAnsi="Times New Roman"/>
          <w:b/>
          <w:lang w:val="en-US"/>
        </w:rPr>
        <w:t xml:space="preserve">Key management personnel </w:t>
      </w:r>
      <w:r w:rsidRPr="007D770B">
        <w:rPr>
          <w:rFonts w:ascii="Times New Roman" w:hAnsi="Times New Roman"/>
          <w:lang w:val="en-US"/>
        </w:rPr>
        <w:t xml:space="preserve">are those persons having authority and responsibility for planning, directing and controlling the activities of the Bank, including any director of the Bank (member of the Board of Directors). </w:t>
      </w:r>
    </w:p>
    <w:p w14:paraId="1670B9C5" w14:textId="71285D9A" w:rsidR="00551C5D" w:rsidRPr="002D4EA3" w:rsidRDefault="00551C5D" w:rsidP="00551C5D">
      <w:pPr>
        <w:spacing w:before="240" w:line="240" w:lineRule="auto"/>
        <w:ind w:left="0"/>
        <w:rPr>
          <w:rFonts w:ascii="Times New Roman" w:hAnsi="Times New Roman"/>
        </w:rPr>
      </w:pPr>
      <w:r w:rsidRPr="007D770B">
        <w:rPr>
          <w:rFonts w:ascii="Times New Roman" w:hAnsi="Times New Roman"/>
          <w:b/>
          <w:lang w:val="en-US"/>
        </w:rPr>
        <w:t xml:space="preserve">Compensation includes </w:t>
      </w:r>
      <w:r w:rsidRPr="007D770B">
        <w:rPr>
          <w:rFonts w:ascii="Times New Roman" w:hAnsi="Times New Roman"/>
          <w:lang w:val="en-US"/>
        </w:rPr>
        <w:t xml:space="preserve">all employee benefits (as </w:t>
      </w:r>
      <w:r w:rsidR="006B64E7" w:rsidRPr="007D770B">
        <w:rPr>
          <w:rFonts w:ascii="Times New Roman" w:hAnsi="Times New Roman"/>
          <w:lang w:val="en-US"/>
        </w:rPr>
        <w:t xml:space="preserve">defined in </w:t>
      </w:r>
      <w:r w:rsidRPr="007D770B">
        <w:rPr>
          <w:rFonts w:ascii="Times New Roman" w:hAnsi="Times New Roman"/>
          <w:lang w:val="en-US"/>
        </w:rPr>
        <w:t xml:space="preserve">Section 8 </w:t>
      </w:r>
      <w:r w:rsidR="00802136" w:rsidRPr="007D770B">
        <w:rPr>
          <w:rFonts w:ascii="Times New Roman" w:hAnsi="Times New Roman"/>
          <w:lang w:val="en-US"/>
        </w:rPr>
        <w:t>"</w:t>
      </w:r>
      <w:r w:rsidRPr="007D770B">
        <w:rPr>
          <w:rFonts w:ascii="Times New Roman" w:hAnsi="Times New Roman"/>
          <w:lang w:val="en-US"/>
        </w:rPr>
        <w:t>Employee Benefits (IAS 19)</w:t>
      </w:r>
      <w:r w:rsidR="00802136" w:rsidRPr="007D770B">
        <w:rPr>
          <w:rFonts w:ascii="Times New Roman" w:hAnsi="Times New Roman"/>
          <w:lang w:val="en-US"/>
        </w:rPr>
        <w:t xml:space="preserve">" </w:t>
      </w:r>
      <w:r w:rsidRPr="007D770B">
        <w:rPr>
          <w:rFonts w:ascii="Times New Roman" w:hAnsi="Times New Roman"/>
          <w:lang w:val="en-US"/>
        </w:rPr>
        <w:t xml:space="preserve">in Chapter 2). Employee benefits are any form of compensation paid, payable or provided by or on behalf of the </w:t>
      </w:r>
      <w:r w:rsidR="006B64E7" w:rsidRPr="007D770B">
        <w:rPr>
          <w:rFonts w:ascii="Times New Roman" w:hAnsi="Times New Roman"/>
          <w:lang w:val="en-US"/>
        </w:rPr>
        <w:t xml:space="preserve">Bank </w:t>
      </w:r>
      <w:r w:rsidRPr="007D770B">
        <w:rPr>
          <w:rFonts w:ascii="Times New Roman" w:hAnsi="Times New Roman"/>
          <w:lang w:val="en-US"/>
        </w:rPr>
        <w:t xml:space="preserve">in return for services rendered. </w:t>
      </w:r>
      <w:r w:rsidRPr="002D4EA3">
        <w:rPr>
          <w:rFonts w:ascii="Times New Roman" w:hAnsi="Times New Roman"/>
        </w:rPr>
        <w:t xml:space="preserve">Compensation includes: </w:t>
      </w:r>
    </w:p>
    <w:p w14:paraId="7D93790E" w14:textId="04B401C8" w:rsidR="00551C5D" w:rsidRPr="007D770B" w:rsidRDefault="00551C5D" w:rsidP="00AE698A">
      <w:pPr>
        <w:numPr>
          <w:ilvl w:val="0"/>
          <w:numId w:val="107"/>
        </w:numPr>
        <w:tabs>
          <w:tab w:val="num" w:pos="720"/>
        </w:tabs>
        <w:spacing w:before="240" w:line="240" w:lineRule="auto"/>
        <w:ind w:left="720"/>
        <w:rPr>
          <w:rFonts w:ascii="Times New Roman" w:hAnsi="Times New Roman"/>
          <w:lang w:val="en-US"/>
        </w:rPr>
      </w:pPr>
      <w:r w:rsidRPr="007D770B">
        <w:rPr>
          <w:rFonts w:ascii="Times New Roman" w:hAnsi="Times New Roman"/>
          <w:lang w:val="en-US"/>
        </w:rPr>
        <w:t xml:space="preserve">short-term employee benefits such as wages and social security contributions, paid annual leave and paid </w:t>
      </w:r>
      <w:r w:rsidR="006B64E7" w:rsidRPr="007D770B">
        <w:rPr>
          <w:rFonts w:ascii="Times New Roman" w:hAnsi="Times New Roman"/>
          <w:lang w:val="en-US"/>
        </w:rPr>
        <w:t xml:space="preserve">sick </w:t>
      </w:r>
      <w:r w:rsidRPr="007D770B">
        <w:rPr>
          <w:rFonts w:ascii="Times New Roman" w:hAnsi="Times New Roman"/>
          <w:lang w:val="en-US"/>
        </w:rPr>
        <w:t>time</w:t>
      </w:r>
      <w:r w:rsidR="006B64E7" w:rsidRPr="007D770B">
        <w:rPr>
          <w:rFonts w:ascii="Times New Roman" w:hAnsi="Times New Roman"/>
          <w:lang w:val="en-US"/>
        </w:rPr>
        <w:t xml:space="preserve">, bonuses </w:t>
      </w:r>
      <w:r w:rsidRPr="007D770B">
        <w:rPr>
          <w:rFonts w:ascii="Times New Roman" w:hAnsi="Times New Roman"/>
          <w:lang w:val="en-US"/>
        </w:rPr>
        <w:t xml:space="preserve">(if paid within twelve months after the period end), and non-cash benefits (such as health care, housing and motor vehicles and free or subsidized </w:t>
      </w:r>
      <w:r w:rsidR="006B64E7" w:rsidRPr="007D770B">
        <w:rPr>
          <w:rFonts w:ascii="Times New Roman" w:hAnsi="Times New Roman"/>
          <w:lang w:val="en-US"/>
        </w:rPr>
        <w:t xml:space="preserve">goods, </w:t>
      </w:r>
      <w:r w:rsidRPr="007D770B">
        <w:rPr>
          <w:rFonts w:ascii="Times New Roman" w:hAnsi="Times New Roman"/>
          <w:lang w:val="en-US"/>
        </w:rPr>
        <w:t xml:space="preserve">or services) for currently employed employees; </w:t>
      </w:r>
    </w:p>
    <w:p w14:paraId="1D97FAA9" w14:textId="77777777" w:rsidR="00551C5D" w:rsidRPr="007D770B" w:rsidRDefault="00551C5D" w:rsidP="00AE698A">
      <w:pPr>
        <w:numPr>
          <w:ilvl w:val="0"/>
          <w:numId w:val="107"/>
        </w:numPr>
        <w:tabs>
          <w:tab w:val="num" w:pos="720"/>
        </w:tabs>
        <w:spacing w:before="240" w:line="240" w:lineRule="auto"/>
        <w:ind w:left="720"/>
        <w:rPr>
          <w:rFonts w:ascii="Times New Roman" w:hAnsi="Times New Roman"/>
          <w:lang w:val="en-US"/>
        </w:rPr>
      </w:pPr>
      <w:r w:rsidRPr="007D770B">
        <w:rPr>
          <w:rFonts w:ascii="Times New Roman" w:hAnsi="Times New Roman"/>
          <w:lang w:val="en-US"/>
        </w:rPr>
        <w:t>post-employment benefits, such as lump sum payments upon retirement, other post-retirement benefits, life insurance and post-employment medical care;</w:t>
      </w:r>
    </w:p>
    <w:p w14:paraId="6A77E083" w14:textId="21800DCE" w:rsidR="00551C5D" w:rsidRPr="007D770B" w:rsidRDefault="00551C5D" w:rsidP="00AE698A">
      <w:pPr>
        <w:numPr>
          <w:ilvl w:val="0"/>
          <w:numId w:val="107"/>
        </w:numPr>
        <w:tabs>
          <w:tab w:val="num" w:pos="720"/>
        </w:tabs>
        <w:spacing w:before="240" w:line="240" w:lineRule="auto"/>
        <w:ind w:left="720"/>
        <w:rPr>
          <w:rFonts w:ascii="Times New Roman" w:hAnsi="Times New Roman"/>
          <w:lang w:val="en-US"/>
        </w:rPr>
      </w:pPr>
      <w:r w:rsidRPr="007D770B">
        <w:rPr>
          <w:rFonts w:ascii="Times New Roman" w:hAnsi="Times New Roman"/>
          <w:lang w:val="en-US"/>
        </w:rPr>
        <w:t>other long-term employee benefits, including paid vacation for long-serving employees</w:t>
      </w:r>
      <w:r w:rsidR="006B64E7" w:rsidRPr="007D770B">
        <w:rPr>
          <w:rFonts w:ascii="Times New Roman" w:hAnsi="Times New Roman"/>
          <w:lang w:val="en-US"/>
        </w:rPr>
        <w:t xml:space="preserve">, anniversaries </w:t>
      </w:r>
      <w:r w:rsidRPr="007D770B">
        <w:rPr>
          <w:rFonts w:ascii="Times New Roman" w:hAnsi="Times New Roman"/>
          <w:lang w:val="en-US"/>
        </w:rPr>
        <w:t xml:space="preserve">or other long-term benefits, long-term disability benefits, and profit sharing, bonuses and deferred compensation if these benefits are paid more than twelve months after the end of the period; </w:t>
      </w:r>
    </w:p>
    <w:p w14:paraId="13ECE77F" w14:textId="67D7E8A9" w:rsidR="00551C5D" w:rsidRPr="007D770B" w:rsidRDefault="00551C5D" w:rsidP="006455A8">
      <w:pPr>
        <w:tabs>
          <w:tab w:val="left" w:pos="360"/>
        </w:tabs>
        <w:spacing w:before="240" w:after="0" w:line="240" w:lineRule="auto"/>
        <w:ind w:left="0"/>
        <w:rPr>
          <w:rFonts w:ascii="Times New Roman" w:hAnsi="Times New Roman"/>
          <w:lang w:val="en-US"/>
        </w:rPr>
      </w:pPr>
      <w:r w:rsidRPr="007D770B">
        <w:rPr>
          <w:rFonts w:ascii="Times New Roman" w:hAnsi="Times New Roman"/>
          <w:b/>
          <w:lang w:val="en-US"/>
        </w:rPr>
        <w:t xml:space="preserve">Control, joint control and significant influence </w:t>
      </w:r>
      <w:r w:rsidRPr="007D770B">
        <w:rPr>
          <w:rFonts w:ascii="Times New Roman" w:hAnsi="Times New Roman"/>
          <w:lang w:val="en-US"/>
        </w:rPr>
        <w:t xml:space="preserve">have the same meanings as in </w:t>
      </w:r>
      <w:r w:rsidR="00F1231F" w:rsidRPr="007D770B">
        <w:rPr>
          <w:rFonts w:ascii="Times New Roman" w:hAnsi="Times New Roman"/>
          <w:lang w:val="en-US"/>
        </w:rPr>
        <w:t xml:space="preserve">IFRS 10 </w:t>
      </w:r>
      <w:r w:rsidR="00802136" w:rsidRPr="007D770B">
        <w:rPr>
          <w:rFonts w:ascii="Times New Roman" w:hAnsi="Times New Roman"/>
          <w:lang w:val="en-US"/>
        </w:rPr>
        <w:t>"</w:t>
      </w:r>
      <w:r w:rsidRPr="007D770B">
        <w:rPr>
          <w:rFonts w:ascii="Times New Roman" w:hAnsi="Times New Roman"/>
          <w:lang w:val="en-US"/>
        </w:rPr>
        <w:t>Preparation of Consolidated Financial Statements</w:t>
      </w:r>
      <w:r w:rsidR="00802136" w:rsidRPr="007D770B">
        <w:rPr>
          <w:rFonts w:ascii="Times New Roman" w:hAnsi="Times New Roman"/>
          <w:lang w:val="en-US"/>
        </w:rPr>
        <w:t>"</w:t>
      </w:r>
    </w:p>
    <w:p w14:paraId="2B470FDA" w14:textId="2E23CC77" w:rsidR="006455A8" w:rsidRPr="007D770B" w:rsidRDefault="006455A8" w:rsidP="006455A8">
      <w:pPr>
        <w:tabs>
          <w:tab w:val="left" w:pos="360"/>
        </w:tabs>
        <w:spacing w:line="240" w:lineRule="auto"/>
        <w:ind w:left="0"/>
        <w:rPr>
          <w:rFonts w:ascii="Times New Roman" w:eastAsia="Times New Roman" w:hAnsi="Times New Roman"/>
          <w:i/>
          <w:snapToGrid w:val="0"/>
          <w:color w:val="3366FF"/>
          <w:szCs w:val="22"/>
          <w:lang w:val="en-US" w:eastAsia="ru-RU"/>
        </w:rPr>
      </w:pPr>
      <w:r w:rsidRPr="007D770B">
        <w:rPr>
          <w:rFonts w:ascii="Times New Roman" w:eastAsia="Times New Roman" w:hAnsi="Times New Roman"/>
          <w:i/>
          <w:snapToGrid w:val="0"/>
          <w:color w:val="3366FF"/>
          <w:szCs w:val="22"/>
          <w:lang w:val="en-US" w:eastAsia="ru-RU"/>
        </w:rPr>
        <w:t>(The twelfth paragraph of item 2.2. "</w:t>
      </w:r>
      <w:r w:rsidR="00551C5D" w:rsidRPr="007D770B">
        <w:rPr>
          <w:rFonts w:ascii="Times New Roman" w:eastAsia="Times New Roman" w:hAnsi="Times New Roman"/>
          <w:i/>
          <w:snapToGrid w:val="0"/>
          <w:color w:val="3366FF"/>
          <w:szCs w:val="22"/>
          <w:lang w:val="en-US" w:eastAsia="ru-RU"/>
        </w:rPr>
        <w:t>Definition</w:t>
      </w:r>
      <w:r w:rsidRPr="007D770B">
        <w:rPr>
          <w:rFonts w:ascii="Times New Roman" w:eastAsia="Times New Roman" w:hAnsi="Times New Roman"/>
          <w:i/>
          <w:snapToGrid w:val="0"/>
          <w:color w:val="3366FF"/>
          <w:szCs w:val="22"/>
          <w:lang w:val="en-US" w:eastAsia="ru-RU"/>
        </w:rPr>
        <w:t xml:space="preserve">" was amended by the decision of the Board of Directors dated </w:t>
      </w:r>
      <w:r w:rsidR="003E67EC" w:rsidRPr="007D770B">
        <w:rPr>
          <w:rFonts w:ascii="Times New Roman" w:eastAsia="Times New Roman" w:hAnsi="Times New Roman"/>
          <w:i/>
          <w:snapToGrid w:val="0"/>
          <w:color w:val="3366FF"/>
          <w:szCs w:val="22"/>
          <w:lang w:val="en-US" w:eastAsia="ru-RU"/>
        </w:rPr>
        <w:t>31</w:t>
      </w:r>
      <w:r w:rsidRPr="007D770B">
        <w:rPr>
          <w:rFonts w:ascii="Times New Roman" w:eastAsia="Times New Roman" w:hAnsi="Times New Roman"/>
          <w:i/>
          <w:snapToGrid w:val="0"/>
          <w:color w:val="3366FF"/>
          <w:szCs w:val="22"/>
          <w:lang w:val="en-US" w:eastAsia="ru-RU"/>
        </w:rPr>
        <w:t>.</w:t>
      </w:r>
      <w:r w:rsidR="003E67EC" w:rsidRPr="007D770B">
        <w:rPr>
          <w:rFonts w:ascii="Times New Roman" w:eastAsia="Times New Roman" w:hAnsi="Times New Roman"/>
          <w:i/>
          <w:snapToGrid w:val="0"/>
          <w:color w:val="3366FF"/>
          <w:szCs w:val="22"/>
          <w:lang w:val="en-US" w:eastAsia="ru-RU"/>
        </w:rPr>
        <w:t>10</w:t>
      </w:r>
      <w:r w:rsidRPr="007D770B">
        <w:rPr>
          <w:rFonts w:ascii="Times New Roman" w:eastAsia="Times New Roman" w:hAnsi="Times New Roman"/>
          <w:i/>
          <w:snapToGrid w:val="0"/>
          <w:color w:val="3366FF"/>
          <w:szCs w:val="22"/>
          <w:lang w:val="en-US" w:eastAsia="ru-RU"/>
        </w:rPr>
        <w:t xml:space="preserve">.2019 (Minutes No. </w:t>
      </w:r>
      <w:r w:rsidR="003E67EC" w:rsidRPr="007D770B">
        <w:rPr>
          <w:rFonts w:ascii="Times New Roman" w:eastAsia="Times New Roman" w:hAnsi="Times New Roman"/>
          <w:i/>
          <w:snapToGrid w:val="0"/>
          <w:color w:val="3366FF"/>
          <w:szCs w:val="22"/>
          <w:lang w:val="en-US" w:eastAsia="ru-RU"/>
        </w:rPr>
        <w:t>13</w:t>
      </w:r>
      <w:r w:rsidRPr="007D770B">
        <w:rPr>
          <w:rFonts w:ascii="Times New Roman" w:eastAsia="Times New Roman" w:hAnsi="Times New Roman"/>
          <w:i/>
          <w:snapToGrid w:val="0"/>
          <w:color w:val="3366FF"/>
          <w:szCs w:val="22"/>
          <w:lang w:val="en-US" w:eastAsia="ru-RU"/>
        </w:rPr>
        <w:t>)</w:t>
      </w:r>
    </w:p>
    <w:p w14:paraId="0279A7D1" w14:textId="77777777" w:rsidR="00551C5D" w:rsidRPr="007D770B" w:rsidRDefault="00551C5D" w:rsidP="00551C5D">
      <w:pPr>
        <w:tabs>
          <w:tab w:val="left" w:pos="360"/>
        </w:tabs>
        <w:spacing w:before="240" w:line="240" w:lineRule="auto"/>
        <w:ind w:left="0"/>
        <w:rPr>
          <w:rFonts w:ascii="Times New Roman" w:hAnsi="Times New Roman"/>
          <w:lang w:val="en-US"/>
        </w:rPr>
      </w:pPr>
      <w:r w:rsidRPr="007D770B">
        <w:rPr>
          <w:rFonts w:ascii="Times New Roman" w:hAnsi="Times New Roman"/>
          <w:b/>
          <w:lang w:val="en-US"/>
        </w:rPr>
        <w:t xml:space="preserve">A related party transaction </w:t>
      </w:r>
      <w:r w:rsidRPr="007D770B">
        <w:rPr>
          <w:rFonts w:ascii="Times New Roman" w:hAnsi="Times New Roman"/>
          <w:lang w:val="en-US"/>
        </w:rPr>
        <w:t xml:space="preserve">is a transfer of resources, services or obligations between related parties, irrespective of the fees charged. </w:t>
      </w:r>
    </w:p>
    <w:p w14:paraId="1027A4A4" w14:textId="77777777" w:rsidR="00551C5D" w:rsidRPr="007D770B" w:rsidRDefault="00551C5D" w:rsidP="00551C5D">
      <w:pPr>
        <w:spacing w:before="240" w:line="240" w:lineRule="auto"/>
        <w:ind w:left="0"/>
        <w:rPr>
          <w:rFonts w:ascii="Times New Roman" w:hAnsi="Times New Roman"/>
          <w:lang w:val="en-US"/>
        </w:rPr>
      </w:pPr>
      <w:r w:rsidRPr="007D770B">
        <w:rPr>
          <w:rFonts w:ascii="Times New Roman" w:hAnsi="Times New Roman"/>
          <w:b/>
          <w:lang w:val="en-US"/>
        </w:rPr>
        <w:t xml:space="preserve">An entity is government-related </w:t>
      </w:r>
      <w:r w:rsidRPr="007D770B">
        <w:rPr>
          <w:rFonts w:ascii="Times New Roman" w:hAnsi="Times New Roman"/>
          <w:lang w:val="en-US"/>
        </w:rPr>
        <w:t>if the entity is controlled or jointly controlled by it, or the government has significant influence over the entity.</w:t>
      </w:r>
    </w:p>
    <w:p w14:paraId="5BE3E565" w14:textId="77777777" w:rsidR="00551C5D" w:rsidRPr="007D770B" w:rsidRDefault="00551C5D" w:rsidP="00551C5D">
      <w:pPr>
        <w:tabs>
          <w:tab w:val="left" w:pos="360"/>
        </w:tabs>
        <w:spacing w:before="240" w:line="240" w:lineRule="auto"/>
        <w:ind w:left="0"/>
        <w:rPr>
          <w:rFonts w:ascii="Times New Roman" w:hAnsi="Times New Roman"/>
          <w:lang w:val="en-US"/>
        </w:rPr>
      </w:pPr>
      <w:r w:rsidRPr="007D770B">
        <w:rPr>
          <w:rFonts w:ascii="Times New Roman" w:hAnsi="Times New Roman"/>
          <w:b/>
          <w:lang w:val="en-US"/>
        </w:rPr>
        <w:t xml:space="preserve">A related party of the </w:t>
      </w:r>
      <w:r w:rsidRPr="007D770B">
        <w:rPr>
          <w:rFonts w:ascii="Times New Roman" w:hAnsi="Times New Roman"/>
          <w:lang w:val="en-US"/>
        </w:rPr>
        <w:t>Bank is:</w:t>
      </w:r>
    </w:p>
    <w:p w14:paraId="50E43EEA" w14:textId="77777777" w:rsidR="00551C5D" w:rsidRPr="007D770B" w:rsidRDefault="00551C5D" w:rsidP="00AE698A">
      <w:pPr>
        <w:numPr>
          <w:ilvl w:val="0"/>
          <w:numId w:val="108"/>
        </w:numPr>
        <w:spacing w:before="240" w:line="240" w:lineRule="auto"/>
        <w:rPr>
          <w:rFonts w:ascii="Times New Roman" w:hAnsi="Times New Roman"/>
          <w:lang w:val="en-US"/>
        </w:rPr>
      </w:pPr>
      <w:r w:rsidRPr="007D770B">
        <w:rPr>
          <w:rFonts w:ascii="Times New Roman" w:hAnsi="Times New Roman"/>
          <w:lang w:val="en-US"/>
        </w:rPr>
        <w:t>An individual who is a key management personnel and his/her close relatives</w:t>
      </w:r>
    </w:p>
    <w:p w14:paraId="5F4E6E13" w14:textId="77777777" w:rsidR="00551C5D" w:rsidRPr="007D770B" w:rsidRDefault="00551C5D" w:rsidP="00AE698A">
      <w:pPr>
        <w:numPr>
          <w:ilvl w:val="0"/>
          <w:numId w:val="108"/>
        </w:numPr>
        <w:spacing w:before="240" w:line="240" w:lineRule="auto"/>
        <w:rPr>
          <w:rFonts w:ascii="Times New Roman" w:hAnsi="Times New Roman"/>
          <w:lang w:val="en-US"/>
        </w:rPr>
      </w:pPr>
      <w:r w:rsidRPr="007D770B">
        <w:rPr>
          <w:rFonts w:ascii="Times New Roman" w:hAnsi="Times New Roman"/>
          <w:lang w:val="en-US"/>
        </w:rPr>
        <w:lastRenderedPageBreak/>
        <w:t>Parent organization (shareholder of the Bank)</w:t>
      </w:r>
    </w:p>
    <w:p w14:paraId="5EE1AB4A" w14:textId="77777777" w:rsidR="00551C5D" w:rsidRPr="009F63BB" w:rsidRDefault="00551C5D" w:rsidP="00AE698A">
      <w:pPr>
        <w:numPr>
          <w:ilvl w:val="0"/>
          <w:numId w:val="108"/>
        </w:numPr>
        <w:spacing w:before="240" w:line="240" w:lineRule="auto"/>
        <w:rPr>
          <w:rFonts w:ascii="Times New Roman" w:hAnsi="Times New Roman"/>
        </w:rPr>
      </w:pPr>
      <w:r w:rsidRPr="009F63BB">
        <w:rPr>
          <w:rFonts w:ascii="Times New Roman" w:hAnsi="Times New Roman"/>
        </w:rPr>
        <w:t>State-related organizations</w:t>
      </w:r>
    </w:p>
    <w:p w14:paraId="12750E4D" w14:textId="77777777" w:rsidR="00551C5D" w:rsidRPr="007D770B" w:rsidRDefault="00551C5D" w:rsidP="00AE698A">
      <w:pPr>
        <w:numPr>
          <w:ilvl w:val="0"/>
          <w:numId w:val="108"/>
        </w:numPr>
        <w:spacing w:before="240" w:line="240" w:lineRule="auto"/>
        <w:rPr>
          <w:rFonts w:ascii="Times New Roman" w:hAnsi="Times New Roman"/>
          <w:lang w:val="en-US"/>
        </w:rPr>
      </w:pPr>
      <w:r w:rsidRPr="007D770B">
        <w:rPr>
          <w:rFonts w:ascii="Times New Roman" w:hAnsi="Times New Roman"/>
          <w:lang w:val="en-US"/>
        </w:rPr>
        <w:t>Subsidiaries of the Parent organization (shareholder of the Bank)</w:t>
      </w:r>
    </w:p>
    <w:p w14:paraId="2FB26056" w14:textId="77777777" w:rsidR="00551C5D" w:rsidRPr="007D770B" w:rsidRDefault="00551C5D" w:rsidP="00AE698A">
      <w:pPr>
        <w:numPr>
          <w:ilvl w:val="0"/>
          <w:numId w:val="108"/>
        </w:numPr>
        <w:spacing w:before="240" w:line="240" w:lineRule="auto"/>
        <w:rPr>
          <w:rFonts w:ascii="Times New Roman" w:hAnsi="Times New Roman"/>
          <w:lang w:val="en-US"/>
        </w:rPr>
      </w:pPr>
      <w:r w:rsidRPr="007D770B">
        <w:rPr>
          <w:rFonts w:ascii="Times New Roman" w:hAnsi="Times New Roman"/>
          <w:lang w:val="en-US"/>
        </w:rPr>
        <w:t>Associates and their subsidiaries of the Parent organization (shareholder of the Bank)</w:t>
      </w:r>
    </w:p>
    <w:p w14:paraId="69269E34" w14:textId="77777777" w:rsidR="00551C5D" w:rsidRPr="007D770B" w:rsidRDefault="00551C5D" w:rsidP="00AE698A">
      <w:pPr>
        <w:numPr>
          <w:ilvl w:val="0"/>
          <w:numId w:val="108"/>
        </w:numPr>
        <w:spacing w:before="240" w:line="240" w:lineRule="auto"/>
        <w:rPr>
          <w:rFonts w:ascii="Times New Roman" w:hAnsi="Times New Roman"/>
          <w:lang w:val="en-US"/>
        </w:rPr>
      </w:pPr>
      <w:r w:rsidRPr="007D770B">
        <w:rPr>
          <w:rFonts w:ascii="Times New Roman" w:hAnsi="Times New Roman"/>
          <w:lang w:val="en-US"/>
        </w:rPr>
        <w:t>Joint ventures and their subsidiaries of the Parent organization (shareholder of the Bank)</w:t>
      </w:r>
    </w:p>
    <w:p w14:paraId="09901E5D" w14:textId="77777777" w:rsidR="00551C5D" w:rsidRPr="007D770B" w:rsidRDefault="00551C5D" w:rsidP="00AE698A">
      <w:pPr>
        <w:numPr>
          <w:ilvl w:val="0"/>
          <w:numId w:val="108"/>
        </w:numPr>
        <w:spacing w:before="240" w:line="240" w:lineRule="auto"/>
        <w:rPr>
          <w:rFonts w:ascii="Times New Roman" w:hAnsi="Times New Roman"/>
          <w:lang w:val="en-US"/>
        </w:rPr>
      </w:pPr>
      <w:r w:rsidRPr="007D770B">
        <w:rPr>
          <w:rFonts w:ascii="Times New Roman" w:hAnsi="Times New Roman"/>
          <w:lang w:val="en-US"/>
        </w:rPr>
        <w:t xml:space="preserve">Entities controlled or jointly controlled by an individual who is a key management personnel and his close relatives of the Parent organization (shareholder of the Bank). </w:t>
      </w:r>
    </w:p>
    <w:p w14:paraId="78E997B8" w14:textId="77777777" w:rsidR="00551C5D" w:rsidRPr="007D770B" w:rsidRDefault="00551C5D" w:rsidP="00551C5D">
      <w:pPr>
        <w:spacing w:before="240" w:line="240" w:lineRule="auto"/>
        <w:ind w:left="0"/>
        <w:rPr>
          <w:rFonts w:ascii="Times New Roman" w:hAnsi="Times New Roman"/>
          <w:lang w:val="en-US"/>
        </w:rPr>
      </w:pPr>
      <w:r w:rsidRPr="007D770B">
        <w:rPr>
          <w:rFonts w:ascii="Times New Roman" w:hAnsi="Times New Roman"/>
          <w:lang w:val="en-US"/>
        </w:rPr>
        <w:t>In considering any related party relationship, attention should be directed to the substance of the relationship, not merely the legal form.</w:t>
      </w:r>
    </w:p>
    <w:p w14:paraId="346E680E" w14:textId="221B98AC" w:rsidR="00551C5D" w:rsidRPr="007D770B" w:rsidRDefault="00551C5D" w:rsidP="00E61D21">
      <w:pPr>
        <w:pStyle w:val="3"/>
        <w:rPr>
          <w:lang w:val="en-US"/>
        </w:rPr>
      </w:pPr>
      <w:bookmarkStart w:id="374" w:name="_Toc251607803"/>
      <w:bookmarkStart w:id="375" w:name="_Toc271279918"/>
      <w:bookmarkStart w:id="376" w:name="_Toc277340323"/>
      <w:bookmarkStart w:id="377" w:name="_Toc168502116"/>
      <w:r w:rsidRPr="007D770B">
        <w:rPr>
          <w:lang w:val="en-US"/>
        </w:rPr>
        <w:t xml:space="preserve">2.3 Disclosure of information </w:t>
      </w:r>
      <w:bookmarkEnd w:id="374"/>
      <w:bookmarkEnd w:id="375"/>
      <w:bookmarkEnd w:id="376"/>
      <w:bookmarkEnd w:id="377"/>
    </w:p>
    <w:p w14:paraId="0A9A9E75" w14:textId="77777777" w:rsidR="00551C5D" w:rsidRPr="007D770B" w:rsidRDefault="00551C5D" w:rsidP="00551C5D">
      <w:pPr>
        <w:spacing w:before="240" w:line="240" w:lineRule="auto"/>
        <w:ind w:left="0"/>
        <w:rPr>
          <w:rFonts w:ascii="Times New Roman" w:hAnsi="Times New Roman"/>
          <w:lang w:val="en-US"/>
        </w:rPr>
      </w:pPr>
      <w:r w:rsidRPr="007D770B">
        <w:rPr>
          <w:rFonts w:ascii="Times New Roman" w:hAnsi="Times New Roman"/>
          <w:lang w:val="en-US"/>
        </w:rPr>
        <w:t xml:space="preserve">Relationships between the Bank and shareholders must be disclosed on a mandatory basis, irrespective of whether there have been transactions between these related parties. The Bank is obliged to disclose the name of the ultimate controlling party. </w:t>
      </w:r>
    </w:p>
    <w:p w14:paraId="68BD98E9" w14:textId="77777777" w:rsidR="00551C5D" w:rsidRPr="007D770B" w:rsidRDefault="00551C5D" w:rsidP="00551C5D">
      <w:pPr>
        <w:spacing w:before="240" w:line="240" w:lineRule="auto"/>
        <w:ind w:left="0"/>
        <w:rPr>
          <w:rFonts w:ascii="Times New Roman" w:hAnsi="Times New Roman"/>
          <w:lang w:val="en-US"/>
        </w:rPr>
      </w:pPr>
      <w:r w:rsidRPr="007D770B">
        <w:rPr>
          <w:rFonts w:ascii="Times New Roman" w:hAnsi="Times New Roman"/>
          <w:lang w:val="en-US"/>
        </w:rPr>
        <w:t xml:space="preserve">The financial statements disclose the remuneration paid to key management personnel in aggregate and for each of the following categories: </w:t>
      </w:r>
    </w:p>
    <w:p w14:paraId="4CA01B81" w14:textId="77777777" w:rsidR="00551C5D" w:rsidRPr="002D4EA3" w:rsidRDefault="00551C5D" w:rsidP="00AE698A">
      <w:pPr>
        <w:numPr>
          <w:ilvl w:val="0"/>
          <w:numId w:val="109"/>
        </w:numPr>
        <w:spacing w:before="240" w:line="240" w:lineRule="auto"/>
        <w:rPr>
          <w:rFonts w:ascii="Times New Roman" w:hAnsi="Times New Roman"/>
        </w:rPr>
      </w:pPr>
      <w:r w:rsidRPr="002D4EA3">
        <w:rPr>
          <w:rFonts w:ascii="Times New Roman" w:hAnsi="Times New Roman"/>
        </w:rPr>
        <w:t xml:space="preserve">short-term employee benefits; </w:t>
      </w:r>
    </w:p>
    <w:p w14:paraId="354BFD2E" w14:textId="77777777" w:rsidR="00551C5D" w:rsidRPr="002D4EA3" w:rsidRDefault="00551C5D" w:rsidP="00AE698A">
      <w:pPr>
        <w:numPr>
          <w:ilvl w:val="0"/>
          <w:numId w:val="109"/>
        </w:numPr>
        <w:spacing w:before="240" w:line="240" w:lineRule="auto"/>
        <w:rPr>
          <w:rFonts w:ascii="Times New Roman" w:hAnsi="Times New Roman"/>
        </w:rPr>
      </w:pPr>
      <w:r w:rsidRPr="002D4EA3">
        <w:rPr>
          <w:rFonts w:ascii="Times New Roman" w:hAnsi="Times New Roman"/>
        </w:rPr>
        <w:t>other long-term incentives</w:t>
      </w:r>
    </w:p>
    <w:p w14:paraId="3F3C94F8" w14:textId="77777777" w:rsidR="00551C5D" w:rsidRPr="002D4EA3" w:rsidRDefault="00551C5D" w:rsidP="00C04E96">
      <w:pPr>
        <w:spacing w:before="240" w:line="240" w:lineRule="auto"/>
        <w:ind w:left="720"/>
        <w:rPr>
          <w:rFonts w:ascii="Times New Roman" w:hAnsi="Times New Roman"/>
        </w:rPr>
      </w:pPr>
    </w:p>
    <w:p w14:paraId="122BBDF8" w14:textId="77777777" w:rsidR="00551C5D" w:rsidRPr="002D4EA3" w:rsidRDefault="00551C5D" w:rsidP="00551C5D">
      <w:pPr>
        <w:spacing w:before="240" w:line="240" w:lineRule="auto"/>
        <w:ind w:left="0"/>
        <w:rPr>
          <w:rFonts w:ascii="Times New Roman" w:hAnsi="Times New Roman"/>
        </w:rPr>
      </w:pPr>
      <w:r w:rsidRPr="007D770B">
        <w:rPr>
          <w:rFonts w:ascii="Times New Roman" w:hAnsi="Times New Roman"/>
          <w:lang w:val="en-US"/>
        </w:rPr>
        <w:t xml:space="preserve">If related parties entered into transactions with related parties during the periods presented, the Bank is required to disclose the nature of the related party relationships and information about the transactions, outstanding balances and commitments to perform that is relevant to an understanding of the potential effect of those relationships on the financial statements. </w:t>
      </w:r>
      <w:r w:rsidRPr="002D4EA3">
        <w:rPr>
          <w:rFonts w:ascii="Times New Roman" w:hAnsi="Times New Roman"/>
        </w:rPr>
        <w:t xml:space="preserve">At least the following information should be disclosed: </w:t>
      </w:r>
    </w:p>
    <w:p w14:paraId="33239EB3" w14:textId="77777777" w:rsidR="00551C5D" w:rsidRPr="007D770B" w:rsidRDefault="00551C5D" w:rsidP="00AE698A">
      <w:pPr>
        <w:numPr>
          <w:ilvl w:val="0"/>
          <w:numId w:val="110"/>
        </w:numPr>
        <w:tabs>
          <w:tab w:val="num" w:pos="720"/>
        </w:tabs>
        <w:spacing w:before="240" w:line="240" w:lineRule="auto"/>
        <w:ind w:left="720"/>
        <w:rPr>
          <w:rFonts w:ascii="Times New Roman" w:hAnsi="Times New Roman"/>
          <w:lang w:val="en-US"/>
        </w:rPr>
      </w:pPr>
      <w:r w:rsidRPr="007D770B">
        <w:rPr>
          <w:rFonts w:ascii="Times New Roman" w:hAnsi="Times New Roman"/>
          <w:lang w:val="en-US"/>
        </w:rPr>
        <w:t xml:space="preserve">the amount of transactions performed; </w:t>
      </w:r>
    </w:p>
    <w:p w14:paraId="788BF711" w14:textId="77777777" w:rsidR="00551C5D" w:rsidRPr="007D770B" w:rsidRDefault="00551C5D" w:rsidP="00AE698A">
      <w:pPr>
        <w:numPr>
          <w:ilvl w:val="0"/>
          <w:numId w:val="110"/>
        </w:numPr>
        <w:tabs>
          <w:tab w:val="num" w:pos="720"/>
        </w:tabs>
        <w:spacing w:before="240" w:line="240" w:lineRule="auto"/>
        <w:ind w:left="720"/>
        <w:rPr>
          <w:rFonts w:ascii="Times New Roman" w:hAnsi="Times New Roman"/>
          <w:lang w:val="en-US"/>
        </w:rPr>
      </w:pPr>
      <w:r w:rsidRPr="007D770B">
        <w:rPr>
          <w:rFonts w:ascii="Times New Roman" w:hAnsi="Times New Roman"/>
          <w:lang w:val="en-US"/>
        </w:rPr>
        <w:t xml:space="preserve">the amount of outstanding balances, including performance obligations, and: </w:t>
      </w:r>
    </w:p>
    <w:p w14:paraId="2C92304D" w14:textId="77777777" w:rsidR="00551C5D" w:rsidRPr="007D770B" w:rsidRDefault="00551C5D" w:rsidP="00AE698A">
      <w:pPr>
        <w:numPr>
          <w:ilvl w:val="1"/>
          <w:numId w:val="111"/>
        </w:numPr>
        <w:spacing w:before="240" w:line="240" w:lineRule="auto"/>
        <w:rPr>
          <w:rFonts w:ascii="Times New Roman" w:hAnsi="Times New Roman"/>
          <w:lang w:val="en-US"/>
        </w:rPr>
      </w:pPr>
      <w:r w:rsidRPr="007D770B">
        <w:rPr>
          <w:rFonts w:ascii="Times New Roman" w:hAnsi="Times New Roman"/>
          <w:lang w:val="en-US"/>
        </w:rPr>
        <w:t>related terms, including the security and nature of the consideration provided in settlements; and</w:t>
      </w:r>
    </w:p>
    <w:p w14:paraId="7F53CDD0" w14:textId="77777777" w:rsidR="00551C5D" w:rsidRPr="007D770B" w:rsidRDefault="00551C5D" w:rsidP="00AE698A">
      <w:pPr>
        <w:numPr>
          <w:ilvl w:val="1"/>
          <w:numId w:val="111"/>
        </w:numPr>
        <w:spacing w:before="240" w:line="240" w:lineRule="auto"/>
        <w:rPr>
          <w:rFonts w:ascii="Times New Roman" w:hAnsi="Times New Roman"/>
          <w:lang w:val="en-US"/>
        </w:rPr>
      </w:pPr>
      <w:r w:rsidRPr="007D770B">
        <w:rPr>
          <w:rFonts w:ascii="Times New Roman" w:hAnsi="Times New Roman"/>
          <w:lang w:val="en-US"/>
        </w:rPr>
        <w:t xml:space="preserve">details of any warranties given or received; </w:t>
      </w:r>
    </w:p>
    <w:p w14:paraId="4D0BAE94" w14:textId="77777777" w:rsidR="00551C5D" w:rsidRPr="007D770B" w:rsidRDefault="00551C5D" w:rsidP="00AE698A">
      <w:pPr>
        <w:numPr>
          <w:ilvl w:val="0"/>
          <w:numId w:val="112"/>
        </w:numPr>
        <w:tabs>
          <w:tab w:val="num" w:pos="720"/>
        </w:tabs>
        <w:spacing w:before="240" w:line="240" w:lineRule="auto"/>
        <w:ind w:left="720"/>
        <w:rPr>
          <w:rFonts w:ascii="Times New Roman" w:hAnsi="Times New Roman"/>
          <w:lang w:val="en-US"/>
        </w:rPr>
      </w:pPr>
      <w:r w:rsidRPr="007D770B">
        <w:rPr>
          <w:rFonts w:ascii="Times New Roman" w:hAnsi="Times New Roman"/>
          <w:lang w:val="en-US"/>
        </w:rPr>
        <w:t xml:space="preserve">allowances for doubtful debts related to the amount of outstanding balances; and </w:t>
      </w:r>
    </w:p>
    <w:p w14:paraId="54355415" w14:textId="77777777" w:rsidR="00551C5D" w:rsidRPr="007D770B" w:rsidRDefault="00551C5D" w:rsidP="00AE698A">
      <w:pPr>
        <w:numPr>
          <w:ilvl w:val="0"/>
          <w:numId w:val="112"/>
        </w:numPr>
        <w:tabs>
          <w:tab w:val="num" w:pos="720"/>
        </w:tabs>
        <w:spacing w:before="240" w:line="240" w:lineRule="auto"/>
        <w:ind w:left="720"/>
        <w:rPr>
          <w:rFonts w:ascii="Times New Roman" w:hAnsi="Times New Roman"/>
          <w:lang w:val="en-US"/>
        </w:rPr>
      </w:pPr>
      <w:r w:rsidRPr="007D770B">
        <w:rPr>
          <w:rFonts w:ascii="Times New Roman" w:hAnsi="Times New Roman"/>
          <w:lang w:val="en-US"/>
        </w:rPr>
        <w:t xml:space="preserve">expense recognized during the period in respect of bad or doubtful debts due from related parties. </w:t>
      </w:r>
    </w:p>
    <w:p w14:paraId="1CE78E2F" w14:textId="77777777" w:rsidR="00551C5D" w:rsidRPr="007D770B" w:rsidRDefault="00551C5D" w:rsidP="00551C5D">
      <w:pPr>
        <w:spacing w:before="240" w:line="240" w:lineRule="auto"/>
        <w:ind w:left="0"/>
        <w:rPr>
          <w:rFonts w:ascii="Times New Roman" w:hAnsi="Times New Roman"/>
          <w:lang w:val="en-US"/>
        </w:rPr>
      </w:pPr>
      <w:r w:rsidRPr="007D770B">
        <w:rPr>
          <w:rFonts w:ascii="Times New Roman" w:hAnsi="Times New Roman"/>
          <w:lang w:val="en-US"/>
        </w:rPr>
        <w:t xml:space="preserve">Information should be disclosed separately for each of the categories listed below: </w:t>
      </w:r>
    </w:p>
    <w:p w14:paraId="7A4671C5" w14:textId="77777777" w:rsidR="00551C5D" w:rsidRPr="007D770B" w:rsidRDefault="00551C5D" w:rsidP="00AE698A">
      <w:pPr>
        <w:numPr>
          <w:ilvl w:val="0"/>
          <w:numId w:val="113"/>
        </w:numPr>
        <w:tabs>
          <w:tab w:val="num" w:pos="720"/>
        </w:tabs>
        <w:spacing w:before="240" w:line="240" w:lineRule="auto"/>
        <w:ind w:left="720"/>
        <w:rPr>
          <w:rFonts w:ascii="Times New Roman" w:hAnsi="Times New Roman"/>
          <w:lang w:val="en-US"/>
        </w:rPr>
      </w:pPr>
      <w:r w:rsidRPr="007D770B">
        <w:rPr>
          <w:rFonts w:ascii="Times New Roman" w:hAnsi="Times New Roman"/>
          <w:lang w:val="en-US"/>
        </w:rPr>
        <w:t>parent organization (shareholder of the Bank)</w:t>
      </w:r>
    </w:p>
    <w:p w14:paraId="7B878474" w14:textId="77777777" w:rsidR="00551C5D" w:rsidRPr="007D770B" w:rsidRDefault="00551C5D" w:rsidP="00AE698A">
      <w:pPr>
        <w:numPr>
          <w:ilvl w:val="0"/>
          <w:numId w:val="113"/>
        </w:numPr>
        <w:tabs>
          <w:tab w:val="num" w:pos="720"/>
        </w:tabs>
        <w:spacing w:before="240" w:line="240" w:lineRule="auto"/>
        <w:ind w:left="720"/>
        <w:rPr>
          <w:rFonts w:ascii="Times New Roman" w:hAnsi="Times New Roman"/>
          <w:lang w:val="en-US"/>
        </w:rPr>
      </w:pPr>
      <w:r w:rsidRPr="007D770B">
        <w:rPr>
          <w:rFonts w:ascii="Times New Roman" w:hAnsi="Times New Roman"/>
          <w:lang w:val="en-US"/>
        </w:rPr>
        <w:t xml:space="preserve">key management personnel of the Bank or its parent company; </w:t>
      </w:r>
    </w:p>
    <w:p w14:paraId="18F159F1" w14:textId="77777777" w:rsidR="00551C5D" w:rsidRPr="002D4EA3" w:rsidRDefault="00551C5D" w:rsidP="00AE698A">
      <w:pPr>
        <w:numPr>
          <w:ilvl w:val="0"/>
          <w:numId w:val="113"/>
        </w:numPr>
        <w:tabs>
          <w:tab w:val="num" w:pos="720"/>
        </w:tabs>
        <w:spacing w:before="240" w:line="240" w:lineRule="auto"/>
        <w:ind w:left="720"/>
        <w:rPr>
          <w:rFonts w:ascii="Times New Roman" w:hAnsi="Times New Roman"/>
        </w:rPr>
      </w:pPr>
      <w:r w:rsidRPr="002D4EA3">
        <w:rPr>
          <w:rFonts w:ascii="Times New Roman" w:hAnsi="Times New Roman"/>
        </w:rPr>
        <w:t xml:space="preserve">other related parties. </w:t>
      </w:r>
    </w:p>
    <w:p w14:paraId="7E143981" w14:textId="77777777" w:rsidR="00551C5D" w:rsidRPr="007D770B" w:rsidRDefault="00551C5D" w:rsidP="00551C5D">
      <w:pPr>
        <w:spacing w:before="240" w:line="240" w:lineRule="auto"/>
        <w:ind w:left="0"/>
        <w:rPr>
          <w:rFonts w:ascii="Times New Roman" w:hAnsi="Times New Roman"/>
          <w:lang w:val="en-US"/>
        </w:rPr>
      </w:pPr>
      <w:r w:rsidRPr="007D770B">
        <w:rPr>
          <w:rFonts w:ascii="Times New Roman" w:hAnsi="Times New Roman"/>
          <w:lang w:val="en-US"/>
        </w:rPr>
        <w:t>The following are examples of transactions that are required to be disclosed if they are with a related party:</w:t>
      </w:r>
    </w:p>
    <w:p w14:paraId="68EF0A97" w14:textId="77777777" w:rsidR="00551C5D" w:rsidRPr="002D4EA3" w:rsidRDefault="00551C5D" w:rsidP="00AE698A">
      <w:pPr>
        <w:numPr>
          <w:ilvl w:val="0"/>
          <w:numId w:val="113"/>
        </w:numPr>
        <w:tabs>
          <w:tab w:val="num" w:pos="720"/>
        </w:tabs>
        <w:spacing w:before="240" w:line="240" w:lineRule="auto"/>
        <w:ind w:left="720"/>
        <w:rPr>
          <w:rFonts w:ascii="Times New Roman" w:hAnsi="Times New Roman"/>
        </w:rPr>
      </w:pPr>
      <w:r w:rsidRPr="002D4EA3">
        <w:rPr>
          <w:rFonts w:ascii="Times New Roman" w:hAnsi="Times New Roman"/>
        </w:rPr>
        <w:t>trading securities;</w:t>
      </w:r>
    </w:p>
    <w:p w14:paraId="35761F18" w14:textId="77777777" w:rsidR="00551C5D" w:rsidRPr="007D770B" w:rsidRDefault="00551C5D" w:rsidP="00AE698A">
      <w:pPr>
        <w:numPr>
          <w:ilvl w:val="0"/>
          <w:numId w:val="113"/>
        </w:numPr>
        <w:tabs>
          <w:tab w:val="num" w:pos="720"/>
        </w:tabs>
        <w:spacing w:before="240" w:line="240" w:lineRule="auto"/>
        <w:ind w:left="720"/>
        <w:rPr>
          <w:rFonts w:ascii="Times New Roman" w:hAnsi="Times New Roman"/>
          <w:lang w:val="en-US"/>
        </w:rPr>
      </w:pPr>
      <w:r w:rsidRPr="007D770B">
        <w:rPr>
          <w:rFonts w:ascii="Times New Roman" w:hAnsi="Times New Roman"/>
          <w:lang w:val="en-US"/>
        </w:rPr>
        <w:t>available-for-sale investment securities;</w:t>
      </w:r>
    </w:p>
    <w:p w14:paraId="0F93A633" w14:textId="77777777" w:rsidR="00551C5D" w:rsidRPr="007D770B" w:rsidRDefault="00551C5D" w:rsidP="00AE698A">
      <w:pPr>
        <w:numPr>
          <w:ilvl w:val="0"/>
          <w:numId w:val="113"/>
        </w:numPr>
        <w:tabs>
          <w:tab w:val="num" w:pos="720"/>
        </w:tabs>
        <w:spacing w:before="240" w:line="240" w:lineRule="auto"/>
        <w:ind w:left="720"/>
        <w:rPr>
          <w:rFonts w:ascii="Times New Roman" w:hAnsi="Times New Roman"/>
          <w:lang w:val="en-US"/>
        </w:rPr>
      </w:pPr>
      <w:r w:rsidRPr="007D770B">
        <w:rPr>
          <w:rFonts w:ascii="Times New Roman" w:hAnsi="Times New Roman"/>
          <w:lang w:val="en-US"/>
        </w:rPr>
        <w:t>investment securities held to maturity;</w:t>
      </w:r>
    </w:p>
    <w:p w14:paraId="2E5BBB22" w14:textId="77777777" w:rsidR="00551C5D" w:rsidRPr="002D4EA3" w:rsidRDefault="00551C5D" w:rsidP="00AE698A">
      <w:pPr>
        <w:numPr>
          <w:ilvl w:val="0"/>
          <w:numId w:val="113"/>
        </w:numPr>
        <w:tabs>
          <w:tab w:val="num" w:pos="720"/>
        </w:tabs>
        <w:spacing w:before="240" w:line="240" w:lineRule="auto"/>
        <w:ind w:left="720"/>
        <w:rPr>
          <w:rFonts w:ascii="Times New Roman" w:hAnsi="Times New Roman"/>
        </w:rPr>
      </w:pPr>
      <w:r w:rsidRPr="002D4EA3">
        <w:rPr>
          <w:rFonts w:ascii="Times New Roman" w:hAnsi="Times New Roman"/>
        </w:rPr>
        <w:lastRenderedPageBreak/>
        <w:t>receivables under repurchase agreements;</w:t>
      </w:r>
    </w:p>
    <w:p w14:paraId="1026E192" w14:textId="77777777" w:rsidR="00551C5D" w:rsidRPr="002D4EA3" w:rsidRDefault="00551C5D" w:rsidP="00AE698A">
      <w:pPr>
        <w:numPr>
          <w:ilvl w:val="0"/>
          <w:numId w:val="113"/>
        </w:numPr>
        <w:tabs>
          <w:tab w:val="num" w:pos="720"/>
        </w:tabs>
        <w:spacing w:before="240" w:line="240" w:lineRule="auto"/>
        <w:ind w:left="720"/>
        <w:rPr>
          <w:rFonts w:ascii="Times New Roman" w:hAnsi="Times New Roman"/>
        </w:rPr>
      </w:pPr>
      <w:r w:rsidRPr="002D4EA3">
        <w:rPr>
          <w:rFonts w:ascii="Times New Roman" w:hAnsi="Times New Roman"/>
        </w:rPr>
        <w:t>funds in banks;</w:t>
      </w:r>
    </w:p>
    <w:p w14:paraId="3EA845D4" w14:textId="77777777" w:rsidR="00551C5D" w:rsidRPr="002D4EA3" w:rsidRDefault="00551C5D" w:rsidP="00AE698A">
      <w:pPr>
        <w:numPr>
          <w:ilvl w:val="0"/>
          <w:numId w:val="113"/>
        </w:numPr>
        <w:tabs>
          <w:tab w:val="num" w:pos="720"/>
        </w:tabs>
        <w:spacing w:before="240" w:line="240" w:lineRule="auto"/>
        <w:ind w:left="720"/>
        <w:rPr>
          <w:rFonts w:ascii="Times New Roman" w:hAnsi="Times New Roman"/>
        </w:rPr>
      </w:pPr>
      <w:r w:rsidRPr="002D4EA3">
        <w:rPr>
          <w:rFonts w:ascii="Times New Roman" w:hAnsi="Times New Roman"/>
        </w:rPr>
        <w:t>interest income and expense;</w:t>
      </w:r>
    </w:p>
    <w:p w14:paraId="588B9ACC" w14:textId="77777777" w:rsidR="00551C5D" w:rsidRPr="007D770B" w:rsidRDefault="00551C5D" w:rsidP="00AE698A">
      <w:pPr>
        <w:numPr>
          <w:ilvl w:val="0"/>
          <w:numId w:val="113"/>
        </w:numPr>
        <w:tabs>
          <w:tab w:val="num" w:pos="720"/>
        </w:tabs>
        <w:spacing w:before="240" w:line="240" w:lineRule="auto"/>
        <w:ind w:left="720"/>
        <w:rPr>
          <w:rFonts w:ascii="Times New Roman" w:hAnsi="Times New Roman"/>
          <w:lang w:val="en-US"/>
        </w:rPr>
      </w:pPr>
      <w:r w:rsidRPr="007D770B">
        <w:rPr>
          <w:rFonts w:ascii="Times New Roman" w:hAnsi="Times New Roman"/>
          <w:lang w:val="en-US"/>
        </w:rPr>
        <w:t>fee and commission income and expense;</w:t>
      </w:r>
    </w:p>
    <w:p w14:paraId="7EBE7A91" w14:textId="77777777" w:rsidR="00551C5D" w:rsidRPr="002D4EA3" w:rsidRDefault="00551C5D" w:rsidP="00AE698A">
      <w:pPr>
        <w:numPr>
          <w:ilvl w:val="0"/>
          <w:numId w:val="113"/>
        </w:numPr>
        <w:tabs>
          <w:tab w:val="num" w:pos="720"/>
        </w:tabs>
        <w:spacing w:before="240" w:line="240" w:lineRule="auto"/>
        <w:ind w:left="720"/>
        <w:rPr>
          <w:rFonts w:ascii="Times New Roman" w:hAnsi="Times New Roman"/>
        </w:rPr>
      </w:pPr>
      <w:r w:rsidRPr="002D4EA3">
        <w:rPr>
          <w:rFonts w:ascii="Times New Roman" w:hAnsi="Times New Roman"/>
        </w:rPr>
        <w:t>dividends;</w:t>
      </w:r>
    </w:p>
    <w:p w14:paraId="6C71138B" w14:textId="77777777" w:rsidR="00551C5D" w:rsidRPr="007D770B" w:rsidRDefault="00551C5D" w:rsidP="00AE698A">
      <w:pPr>
        <w:numPr>
          <w:ilvl w:val="0"/>
          <w:numId w:val="113"/>
        </w:numPr>
        <w:tabs>
          <w:tab w:val="num" w:pos="720"/>
        </w:tabs>
        <w:spacing w:before="240" w:line="240" w:lineRule="auto"/>
        <w:ind w:left="720"/>
        <w:rPr>
          <w:rFonts w:ascii="Times New Roman" w:hAnsi="Times New Roman"/>
          <w:lang w:val="en-US"/>
        </w:rPr>
      </w:pPr>
      <w:r w:rsidRPr="007D770B">
        <w:rPr>
          <w:rFonts w:ascii="Times New Roman" w:hAnsi="Times New Roman"/>
          <w:lang w:val="en-US"/>
        </w:rPr>
        <w:t xml:space="preserve">the purchase or sale of goods; </w:t>
      </w:r>
    </w:p>
    <w:p w14:paraId="4907B9E6" w14:textId="77777777" w:rsidR="00551C5D" w:rsidRPr="007D770B" w:rsidRDefault="00551C5D" w:rsidP="00AE698A">
      <w:pPr>
        <w:numPr>
          <w:ilvl w:val="0"/>
          <w:numId w:val="113"/>
        </w:numPr>
        <w:tabs>
          <w:tab w:val="num" w:pos="720"/>
        </w:tabs>
        <w:spacing w:before="240" w:line="240" w:lineRule="auto"/>
        <w:ind w:left="720"/>
        <w:rPr>
          <w:rFonts w:ascii="Times New Roman" w:hAnsi="Times New Roman"/>
          <w:lang w:val="en-US"/>
        </w:rPr>
      </w:pPr>
      <w:r w:rsidRPr="007D770B">
        <w:rPr>
          <w:rFonts w:ascii="Times New Roman" w:hAnsi="Times New Roman"/>
          <w:lang w:val="en-US"/>
        </w:rPr>
        <w:t xml:space="preserve">the purchase or sale of property and other assets; </w:t>
      </w:r>
    </w:p>
    <w:p w14:paraId="487396E1" w14:textId="77777777" w:rsidR="00551C5D" w:rsidRPr="002D4EA3" w:rsidRDefault="00551C5D" w:rsidP="00AE698A">
      <w:pPr>
        <w:numPr>
          <w:ilvl w:val="0"/>
          <w:numId w:val="113"/>
        </w:numPr>
        <w:tabs>
          <w:tab w:val="num" w:pos="720"/>
        </w:tabs>
        <w:spacing w:before="240" w:line="240" w:lineRule="auto"/>
        <w:ind w:left="720"/>
        <w:rPr>
          <w:rFonts w:ascii="Times New Roman" w:hAnsi="Times New Roman"/>
        </w:rPr>
      </w:pPr>
      <w:r w:rsidRPr="002D4EA3">
        <w:rPr>
          <w:rFonts w:ascii="Times New Roman" w:hAnsi="Times New Roman"/>
        </w:rPr>
        <w:t xml:space="preserve">rendering or receiving services; </w:t>
      </w:r>
    </w:p>
    <w:p w14:paraId="157005EA" w14:textId="77777777" w:rsidR="00551C5D" w:rsidRPr="002D4EA3" w:rsidRDefault="00551C5D" w:rsidP="00AE698A">
      <w:pPr>
        <w:numPr>
          <w:ilvl w:val="0"/>
          <w:numId w:val="113"/>
        </w:numPr>
        <w:tabs>
          <w:tab w:val="num" w:pos="720"/>
        </w:tabs>
        <w:spacing w:before="240" w:line="240" w:lineRule="auto"/>
        <w:ind w:left="720"/>
        <w:rPr>
          <w:rFonts w:ascii="Times New Roman" w:hAnsi="Times New Roman"/>
        </w:rPr>
      </w:pPr>
      <w:r w:rsidRPr="002D4EA3">
        <w:rPr>
          <w:rFonts w:ascii="Times New Roman" w:hAnsi="Times New Roman"/>
        </w:rPr>
        <w:t xml:space="preserve">rent; </w:t>
      </w:r>
    </w:p>
    <w:p w14:paraId="059FA320" w14:textId="77777777" w:rsidR="00551C5D" w:rsidRPr="007D770B" w:rsidRDefault="00551C5D" w:rsidP="00AE698A">
      <w:pPr>
        <w:numPr>
          <w:ilvl w:val="0"/>
          <w:numId w:val="113"/>
        </w:numPr>
        <w:tabs>
          <w:tab w:val="num" w:pos="720"/>
        </w:tabs>
        <w:spacing w:before="240" w:line="240" w:lineRule="auto"/>
        <w:ind w:left="720"/>
        <w:rPr>
          <w:rFonts w:ascii="Times New Roman" w:hAnsi="Times New Roman"/>
          <w:lang w:val="en-US"/>
        </w:rPr>
      </w:pPr>
      <w:r w:rsidRPr="007D770B">
        <w:rPr>
          <w:rFonts w:ascii="Times New Roman" w:hAnsi="Times New Roman"/>
          <w:lang w:val="en-US"/>
        </w:rPr>
        <w:t>transfers under financial arrangements (including loans and equity contributions in cash or in kind);</w:t>
      </w:r>
    </w:p>
    <w:p w14:paraId="5841B02E" w14:textId="77777777" w:rsidR="00551C5D" w:rsidRPr="007D770B" w:rsidRDefault="00551C5D" w:rsidP="00AE698A">
      <w:pPr>
        <w:numPr>
          <w:ilvl w:val="0"/>
          <w:numId w:val="113"/>
        </w:numPr>
        <w:tabs>
          <w:tab w:val="num" w:pos="720"/>
        </w:tabs>
        <w:spacing w:before="240" w:line="240" w:lineRule="auto"/>
        <w:ind w:left="720"/>
        <w:rPr>
          <w:rFonts w:ascii="Times New Roman" w:hAnsi="Times New Roman"/>
          <w:lang w:val="en-US"/>
        </w:rPr>
      </w:pPr>
      <w:r w:rsidRPr="007D770B">
        <w:rPr>
          <w:rFonts w:ascii="Times New Roman" w:hAnsi="Times New Roman"/>
          <w:lang w:val="en-US"/>
        </w:rPr>
        <w:t>Obligations to take action in the event that a specified event does or does not occur in the future, including contracts in progress (recognized and unrecognized);</w:t>
      </w:r>
    </w:p>
    <w:p w14:paraId="6B10BF55" w14:textId="77777777" w:rsidR="00551C5D" w:rsidRPr="002D4EA3" w:rsidRDefault="00551C5D" w:rsidP="00AE698A">
      <w:pPr>
        <w:numPr>
          <w:ilvl w:val="0"/>
          <w:numId w:val="113"/>
        </w:numPr>
        <w:tabs>
          <w:tab w:val="num" w:pos="720"/>
        </w:tabs>
        <w:spacing w:before="240" w:line="240" w:lineRule="auto"/>
        <w:ind w:left="720"/>
        <w:rPr>
          <w:rFonts w:ascii="Times New Roman" w:hAnsi="Times New Roman"/>
        </w:rPr>
      </w:pPr>
      <w:r w:rsidRPr="002D4EA3">
        <w:rPr>
          <w:rFonts w:ascii="Times New Roman" w:hAnsi="Times New Roman"/>
        </w:rPr>
        <w:t>Other.</w:t>
      </w:r>
    </w:p>
    <w:p w14:paraId="7C890BEC" w14:textId="77777777" w:rsidR="00551C5D" w:rsidRPr="007D770B" w:rsidRDefault="00551C5D" w:rsidP="00551C5D">
      <w:pPr>
        <w:spacing w:before="240" w:line="240" w:lineRule="auto"/>
        <w:ind w:left="0"/>
        <w:rPr>
          <w:rFonts w:ascii="Times New Roman" w:hAnsi="Times New Roman"/>
          <w:lang w:val="en-US"/>
        </w:rPr>
      </w:pPr>
      <w:r w:rsidRPr="007D770B">
        <w:rPr>
          <w:rFonts w:ascii="Times New Roman" w:hAnsi="Times New Roman"/>
          <w:lang w:val="en-US"/>
        </w:rPr>
        <w:t>Transactions between related parties are disclosed on terms equivalent to those prevailing in arm's length transactions only when such fact is confirmed.</w:t>
      </w:r>
    </w:p>
    <w:p w14:paraId="309B5A3E" w14:textId="77777777" w:rsidR="00551C5D" w:rsidRPr="007D770B" w:rsidRDefault="00551C5D" w:rsidP="00551C5D">
      <w:pPr>
        <w:spacing w:before="240" w:line="240" w:lineRule="auto"/>
        <w:ind w:left="0"/>
        <w:rPr>
          <w:rFonts w:ascii="Times New Roman" w:hAnsi="Times New Roman"/>
          <w:lang w:val="en-US"/>
        </w:rPr>
      </w:pPr>
      <w:r w:rsidRPr="007D770B">
        <w:rPr>
          <w:rFonts w:ascii="Times New Roman" w:hAnsi="Times New Roman"/>
          <w:lang w:val="en-US"/>
        </w:rPr>
        <w:t>Items that are similar in nature may be disclosed in aggregate, unless separate disclosure is necessary to understand the effect of transactions between related parties on the entity's financial statements.</w:t>
      </w:r>
    </w:p>
    <w:p w14:paraId="52E1B997" w14:textId="77777777" w:rsidR="00551C5D" w:rsidRPr="007D770B" w:rsidRDefault="00551C5D" w:rsidP="00551C5D">
      <w:pPr>
        <w:tabs>
          <w:tab w:val="left" w:pos="-5310"/>
        </w:tabs>
        <w:spacing w:before="240" w:line="240" w:lineRule="auto"/>
        <w:ind w:left="0"/>
        <w:rPr>
          <w:rFonts w:ascii="Times New Roman" w:hAnsi="Times New Roman"/>
          <w:lang w:val="en-US"/>
        </w:rPr>
      </w:pPr>
      <w:r w:rsidRPr="007D770B">
        <w:rPr>
          <w:rFonts w:ascii="Times New Roman" w:hAnsi="Times New Roman"/>
          <w:lang w:val="en-US"/>
        </w:rPr>
        <w:t>Transactions with the government and government-related entities are disclosed only for individually significant transactions. For other transactions with the government and government-related entities that are significant in the aggregate, qualitative or quantitative disclosures are required. Judgment is used to determine the level of detail to be disclosed in respect of these transactions, as well as an assessment of the closeness of the relationship and other factors.</w:t>
      </w:r>
    </w:p>
    <w:p w14:paraId="3899B11E" w14:textId="77777777" w:rsidR="00551C5D" w:rsidRPr="007D770B" w:rsidRDefault="00551C5D" w:rsidP="00551C5D">
      <w:pPr>
        <w:tabs>
          <w:tab w:val="left" w:pos="-5310"/>
        </w:tabs>
        <w:spacing w:before="240" w:line="240" w:lineRule="auto"/>
        <w:ind w:left="0"/>
        <w:rPr>
          <w:rFonts w:ascii="Times New Roman" w:hAnsi="Times New Roman"/>
          <w:b/>
          <w:lang w:val="en-US"/>
        </w:rPr>
      </w:pPr>
      <w:r w:rsidRPr="007D770B">
        <w:rPr>
          <w:rFonts w:ascii="Times New Roman" w:hAnsi="Times New Roman"/>
          <w:b/>
          <w:lang w:val="en-US"/>
        </w:rPr>
        <w:t>Liberation</w:t>
      </w:r>
    </w:p>
    <w:p w14:paraId="7B2CAEE0" w14:textId="77777777" w:rsidR="00551C5D" w:rsidRPr="007D770B" w:rsidRDefault="00551C5D" w:rsidP="00551C5D">
      <w:pPr>
        <w:tabs>
          <w:tab w:val="left" w:pos="-5310"/>
        </w:tabs>
        <w:spacing w:before="240" w:line="240" w:lineRule="auto"/>
        <w:ind w:left="0"/>
        <w:rPr>
          <w:rFonts w:ascii="Times New Roman" w:hAnsi="Times New Roman"/>
          <w:lang w:val="en-US"/>
        </w:rPr>
      </w:pPr>
      <w:r w:rsidRPr="007D770B">
        <w:rPr>
          <w:rFonts w:ascii="Times New Roman" w:hAnsi="Times New Roman"/>
          <w:lang w:val="en-US"/>
        </w:rPr>
        <w:t xml:space="preserve">The Bank may benefit from the exemption from the disclosure requirements set out above as the related party relationships are conditional on the government having control and significant influence over the Bank. </w:t>
      </w:r>
    </w:p>
    <w:p w14:paraId="7C3DC58D" w14:textId="77777777" w:rsidR="00551C5D" w:rsidRPr="007D770B" w:rsidRDefault="00551C5D" w:rsidP="00551C5D">
      <w:pPr>
        <w:tabs>
          <w:tab w:val="left" w:pos="-5310"/>
        </w:tabs>
        <w:spacing w:before="240" w:line="240" w:lineRule="auto"/>
        <w:ind w:left="0"/>
        <w:rPr>
          <w:rFonts w:ascii="Times New Roman" w:hAnsi="Times New Roman"/>
          <w:lang w:val="en-US"/>
        </w:rPr>
      </w:pPr>
      <w:r w:rsidRPr="007D770B">
        <w:rPr>
          <w:rFonts w:ascii="Times New Roman" w:hAnsi="Times New Roman"/>
          <w:lang w:val="en-US"/>
        </w:rPr>
        <w:t xml:space="preserve">If the Bank applies the exemption from the disclosure requirements set out above, it must disclose the following information about the transactions and balances of such transactions: </w:t>
      </w:r>
    </w:p>
    <w:p w14:paraId="68D0ADED" w14:textId="77777777" w:rsidR="00551C5D" w:rsidRPr="007D770B" w:rsidRDefault="00551C5D" w:rsidP="00AE698A">
      <w:pPr>
        <w:numPr>
          <w:ilvl w:val="0"/>
          <w:numId w:val="236"/>
        </w:numPr>
        <w:tabs>
          <w:tab w:val="left" w:pos="-5310"/>
        </w:tabs>
        <w:spacing w:before="240" w:line="240" w:lineRule="auto"/>
        <w:rPr>
          <w:rFonts w:ascii="Times New Roman" w:hAnsi="Times New Roman"/>
          <w:lang w:val="en-US"/>
        </w:rPr>
      </w:pPr>
      <w:r w:rsidRPr="007D770B">
        <w:rPr>
          <w:rFonts w:ascii="Times New Roman" w:hAnsi="Times New Roman"/>
          <w:lang w:val="en-US"/>
        </w:rPr>
        <w:t xml:space="preserve">the government and the nature of its relationship with the Bank (i.e. whether it controls, jointly controls or significantly influences); </w:t>
      </w:r>
    </w:p>
    <w:p w14:paraId="28AD591B" w14:textId="77777777" w:rsidR="00551C5D" w:rsidRPr="007D770B" w:rsidRDefault="00551C5D" w:rsidP="00AE698A">
      <w:pPr>
        <w:numPr>
          <w:ilvl w:val="0"/>
          <w:numId w:val="236"/>
        </w:numPr>
        <w:tabs>
          <w:tab w:val="left" w:pos="-5310"/>
        </w:tabs>
        <w:spacing w:before="240" w:line="240" w:lineRule="auto"/>
        <w:rPr>
          <w:rFonts w:ascii="Times New Roman" w:hAnsi="Times New Roman"/>
          <w:lang w:val="en-US"/>
        </w:rPr>
      </w:pPr>
      <w:r w:rsidRPr="007D770B">
        <w:rPr>
          <w:rFonts w:ascii="Times New Roman" w:hAnsi="Times New Roman"/>
          <w:lang w:val="en-US"/>
        </w:rPr>
        <w:t xml:space="preserve">disclosure of sufficient detail to enable users of the Bank's financial statements to understand the effect of transactions with related parties on the financial statements: </w:t>
      </w:r>
    </w:p>
    <w:p w14:paraId="1D402BE4" w14:textId="77777777" w:rsidR="00551C5D" w:rsidRPr="007D770B" w:rsidRDefault="00551C5D" w:rsidP="00AE698A">
      <w:pPr>
        <w:numPr>
          <w:ilvl w:val="0"/>
          <w:numId w:val="237"/>
        </w:numPr>
        <w:tabs>
          <w:tab w:val="left" w:pos="-5310"/>
        </w:tabs>
        <w:spacing w:before="240" w:line="240" w:lineRule="auto"/>
        <w:ind w:left="1080"/>
        <w:rPr>
          <w:rFonts w:ascii="Times New Roman" w:hAnsi="Times New Roman"/>
          <w:lang w:val="en-US"/>
        </w:rPr>
      </w:pPr>
      <w:r w:rsidRPr="007D770B">
        <w:rPr>
          <w:rFonts w:ascii="Times New Roman" w:hAnsi="Times New Roman"/>
          <w:lang w:val="en-US"/>
        </w:rPr>
        <w:t xml:space="preserve">the nature and amount of each transaction, which is significant in itself; and </w:t>
      </w:r>
    </w:p>
    <w:p w14:paraId="41E07D74" w14:textId="77777777" w:rsidR="00551C5D" w:rsidRPr="007D770B" w:rsidRDefault="00551C5D" w:rsidP="00AE698A">
      <w:pPr>
        <w:numPr>
          <w:ilvl w:val="0"/>
          <w:numId w:val="237"/>
        </w:numPr>
        <w:tabs>
          <w:tab w:val="left" w:pos="-5310"/>
        </w:tabs>
        <w:spacing w:before="240" w:line="240" w:lineRule="auto"/>
        <w:ind w:left="1080"/>
        <w:rPr>
          <w:rFonts w:ascii="Times New Roman" w:hAnsi="Times New Roman"/>
          <w:lang w:val="en-US"/>
        </w:rPr>
      </w:pPr>
      <w:r w:rsidRPr="007D770B">
        <w:rPr>
          <w:rFonts w:ascii="Times New Roman" w:hAnsi="Times New Roman"/>
          <w:lang w:val="en-US"/>
        </w:rPr>
        <w:t xml:space="preserve">For other operations that are significant in aggregate rather than individually, qualitative or quantitative measures of their scale. </w:t>
      </w:r>
    </w:p>
    <w:p w14:paraId="5C39AABF" w14:textId="77777777" w:rsidR="00551C5D" w:rsidRPr="007D770B" w:rsidRDefault="00551C5D" w:rsidP="00551C5D">
      <w:pPr>
        <w:tabs>
          <w:tab w:val="left" w:pos="-5310"/>
        </w:tabs>
        <w:spacing w:before="240" w:line="240" w:lineRule="auto"/>
        <w:ind w:left="0"/>
        <w:rPr>
          <w:rFonts w:ascii="Times New Roman" w:hAnsi="Times New Roman"/>
          <w:lang w:val="en-US"/>
        </w:rPr>
      </w:pPr>
      <w:r w:rsidRPr="007D770B">
        <w:rPr>
          <w:rFonts w:ascii="Times New Roman" w:hAnsi="Times New Roman"/>
          <w:lang w:val="en-US"/>
        </w:rPr>
        <w:t xml:space="preserve">When using its judgment to determine the level of detail of disclosure, the Bank should consider the closeness of the related party relationship and other factors relevant to determining the level of significance of the transaction, such as: </w:t>
      </w:r>
    </w:p>
    <w:p w14:paraId="2B5858E6" w14:textId="77777777" w:rsidR="00551C5D" w:rsidRPr="007D770B" w:rsidRDefault="00551C5D" w:rsidP="00AE698A">
      <w:pPr>
        <w:numPr>
          <w:ilvl w:val="0"/>
          <w:numId w:val="238"/>
        </w:numPr>
        <w:tabs>
          <w:tab w:val="left" w:pos="-5310"/>
        </w:tabs>
        <w:spacing w:before="240" w:line="240" w:lineRule="auto"/>
        <w:rPr>
          <w:rFonts w:ascii="Times New Roman" w:hAnsi="Times New Roman"/>
          <w:lang w:val="en-US"/>
        </w:rPr>
      </w:pPr>
      <w:r w:rsidRPr="007D770B">
        <w:rPr>
          <w:rFonts w:ascii="Times New Roman" w:hAnsi="Times New Roman"/>
          <w:lang w:val="en-US"/>
        </w:rPr>
        <w:t xml:space="preserve">whether the operation is significant in scope; </w:t>
      </w:r>
    </w:p>
    <w:p w14:paraId="77573E87" w14:textId="77777777" w:rsidR="00551C5D" w:rsidRPr="007D770B" w:rsidRDefault="00551C5D" w:rsidP="00AE698A">
      <w:pPr>
        <w:numPr>
          <w:ilvl w:val="0"/>
          <w:numId w:val="238"/>
        </w:numPr>
        <w:tabs>
          <w:tab w:val="left" w:pos="-5310"/>
        </w:tabs>
        <w:spacing w:before="240" w:line="240" w:lineRule="auto"/>
        <w:rPr>
          <w:rFonts w:ascii="Times New Roman" w:hAnsi="Times New Roman"/>
          <w:lang w:val="en-US"/>
        </w:rPr>
      </w:pPr>
      <w:r w:rsidRPr="007D770B">
        <w:rPr>
          <w:rFonts w:ascii="Times New Roman" w:hAnsi="Times New Roman"/>
          <w:lang w:val="en-US"/>
        </w:rPr>
        <w:t xml:space="preserve">whether the transaction was conducted on non-market terms; </w:t>
      </w:r>
    </w:p>
    <w:p w14:paraId="6906AC1D" w14:textId="77777777" w:rsidR="00551C5D" w:rsidRPr="007D770B" w:rsidRDefault="00551C5D" w:rsidP="00AE698A">
      <w:pPr>
        <w:numPr>
          <w:ilvl w:val="0"/>
          <w:numId w:val="238"/>
        </w:numPr>
        <w:tabs>
          <w:tab w:val="left" w:pos="-5310"/>
        </w:tabs>
        <w:spacing w:before="240" w:line="240" w:lineRule="auto"/>
        <w:rPr>
          <w:rFonts w:ascii="Times New Roman" w:hAnsi="Times New Roman"/>
          <w:lang w:val="en-US"/>
        </w:rPr>
      </w:pPr>
      <w:r w:rsidRPr="007D770B">
        <w:rPr>
          <w:rFonts w:ascii="Times New Roman" w:hAnsi="Times New Roman"/>
          <w:lang w:val="en-US"/>
        </w:rPr>
        <w:lastRenderedPageBreak/>
        <w:t xml:space="preserve">Whether the transaction goes beyond normal day-to-day activities, such as buying and selling companies; </w:t>
      </w:r>
    </w:p>
    <w:p w14:paraId="4005C41B" w14:textId="77777777" w:rsidR="00551C5D" w:rsidRPr="007D770B" w:rsidRDefault="00551C5D" w:rsidP="00AE698A">
      <w:pPr>
        <w:numPr>
          <w:ilvl w:val="0"/>
          <w:numId w:val="238"/>
        </w:numPr>
        <w:tabs>
          <w:tab w:val="left" w:pos="-5310"/>
        </w:tabs>
        <w:spacing w:before="240" w:line="240" w:lineRule="auto"/>
        <w:rPr>
          <w:rFonts w:ascii="Times New Roman" w:hAnsi="Times New Roman"/>
          <w:lang w:val="en-US"/>
        </w:rPr>
      </w:pPr>
      <w:r w:rsidRPr="007D770B">
        <w:rPr>
          <w:rFonts w:ascii="Times New Roman" w:hAnsi="Times New Roman"/>
          <w:lang w:val="en-US"/>
        </w:rPr>
        <w:t xml:space="preserve">whether the transaction has been disclosed to regulatory or supervisory authorities; </w:t>
      </w:r>
    </w:p>
    <w:p w14:paraId="3841050B" w14:textId="77777777" w:rsidR="00551C5D" w:rsidRPr="007D770B" w:rsidRDefault="00551C5D" w:rsidP="00AE698A">
      <w:pPr>
        <w:numPr>
          <w:ilvl w:val="0"/>
          <w:numId w:val="238"/>
        </w:numPr>
        <w:tabs>
          <w:tab w:val="left" w:pos="-5310"/>
        </w:tabs>
        <w:spacing w:before="240" w:line="240" w:lineRule="auto"/>
        <w:rPr>
          <w:rFonts w:ascii="Times New Roman" w:hAnsi="Times New Roman"/>
          <w:lang w:val="en-US"/>
        </w:rPr>
      </w:pPr>
      <w:r w:rsidRPr="007D770B">
        <w:rPr>
          <w:rFonts w:ascii="Times New Roman" w:hAnsi="Times New Roman"/>
          <w:lang w:val="en-US"/>
        </w:rPr>
        <w:t xml:space="preserve">whether senior management was informed of the operation; </w:t>
      </w:r>
    </w:p>
    <w:p w14:paraId="316B4A8B" w14:textId="77777777" w:rsidR="00551C5D" w:rsidRPr="007D770B" w:rsidRDefault="00551C5D" w:rsidP="00AE698A">
      <w:pPr>
        <w:numPr>
          <w:ilvl w:val="0"/>
          <w:numId w:val="238"/>
        </w:numPr>
        <w:tabs>
          <w:tab w:val="left" w:pos="-5310"/>
        </w:tabs>
        <w:spacing w:before="240" w:line="240" w:lineRule="auto"/>
        <w:rPr>
          <w:rFonts w:ascii="Times New Roman" w:hAnsi="Times New Roman"/>
          <w:lang w:val="en-US"/>
        </w:rPr>
      </w:pPr>
      <w:r w:rsidRPr="007D770B">
        <w:rPr>
          <w:rFonts w:ascii="Times New Roman" w:hAnsi="Times New Roman"/>
          <w:lang w:val="en-US"/>
        </w:rPr>
        <w:t>whether shareholder approval has been obtained for the transaction.</w:t>
      </w:r>
    </w:p>
    <w:p w14:paraId="7C177E46" w14:textId="77777777" w:rsidR="006816CF" w:rsidRPr="007D770B" w:rsidRDefault="006816CF" w:rsidP="006816CF">
      <w:pPr>
        <w:tabs>
          <w:tab w:val="left" w:pos="-5310"/>
        </w:tabs>
        <w:spacing w:before="240" w:line="240" w:lineRule="auto"/>
        <w:ind w:left="360"/>
        <w:rPr>
          <w:rFonts w:ascii="Times New Roman" w:hAnsi="Times New Roman"/>
          <w:lang w:val="en-US"/>
        </w:rPr>
      </w:pPr>
    </w:p>
    <w:p w14:paraId="2C544415" w14:textId="77777777" w:rsidR="00551C5D" w:rsidRPr="007D770B" w:rsidRDefault="00551C5D" w:rsidP="00F96B17">
      <w:pPr>
        <w:tabs>
          <w:tab w:val="left" w:pos="-5310"/>
        </w:tabs>
        <w:spacing w:before="240" w:line="240" w:lineRule="auto"/>
        <w:ind w:left="0"/>
        <w:rPr>
          <w:rFonts w:ascii="Times New Roman" w:hAnsi="Times New Roman"/>
          <w:lang w:val="en-US"/>
        </w:rPr>
        <w:sectPr w:rsidR="00551C5D" w:rsidRPr="007D770B" w:rsidSect="006816CF">
          <w:headerReference w:type="even" r:id="rId78"/>
          <w:headerReference w:type="default" r:id="rId79"/>
          <w:headerReference w:type="first" r:id="rId80"/>
          <w:pgSz w:w="11906" w:h="16838"/>
          <w:pgMar w:top="1268" w:right="680" w:bottom="900" w:left="1134" w:header="510" w:footer="404" w:gutter="0"/>
          <w:cols w:space="708"/>
          <w:titlePg/>
          <w:docGrid w:linePitch="360"/>
        </w:sectPr>
      </w:pPr>
    </w:p>
    <w:p w14:paraId="495FC9C7" w14:textId="77777777" w:rsidR="00DE508A" w:rsidRPr="007D770B" w:rsidRDefault="00DE508A" w:rsidP="00DE508A">
      <w:pPr>
        <w:pStyle w:val="2"/>
        <w:pageBreakBefore/>
        <w:spacing w:before="240"/>
        <w:jc w:val="both"/>
        <w:rPr>
          <w:rFonts w:ascii="Times New Roman" w:hAnsi="Times New Roman"/>
          <w:szCs w:val="20"/>
          <w:lang w:val="en-US"/>
        </w:rPr>
      </w:pPr>
      <w:bookmarkStart w:id="378" w:name="_Toc248730854"/>
      <w:bookmarkStart w:id="379" w:name="_Toc271032567"/>
      <w:bookmarkStart w:id="380" w:name="_Toc277340324"/>
      <w:bookmarkStart w:id="381" w:name="_Toc378283520"/>
      <w:bookmarkStart w:id="382" w:name="_Toc168502117"/>
      <w:bookmarkStart w:id="383" w:name="_Toc271279923"/>
      <w:bookmarkStart w:id="384" w:name="_Toc277340329"/>
      <w:r w:rsidRPr="007D770B">
        <w:rPr>
          <w:rFonts w:ascii="Times New Roman" w:hAnsi="Times New Roman"/>
          <w:szCs w:val="20"/>
          <w:lang w:val="en-US"/>
        </w:rPr>
        <w:lastRenderedPageBreak/>
        <w:t xml:space="preserve">Section 2-1. </w:t>
      </w:r>
      <w:bookmarkEnd w:id="378"/>
      <w:r w:rsidRPr="007D770B">
        <w:rPr>
          <w:rFonts w:ascii="Times New Roman" w:hAnsi="Times New Roman"/>
          <w:szCs w:val="20"/>
          <w:lang w:val="en-US"/>
        </w:rPr>
        <w:t>Operating segments (IFRS 8)</w:t>
      </w:r>
      <w:bookmarkEnd w:id="379"/>
      <w:bookmarkEnd w:id="380"/>
      <w:bookmarkEnd w:id="381"/>
      <w:bookmarkEnd w:id="382"/>
    </w:p>
    <w:p w14:paraId="7ACCB22D" w14:textId="77777777" w:rsidR="00DE508A" w:rsidRPr="007D770B" w:rsidRDefault="00DE508A" w:rsidP="00E61D21">
      <w:pPr>
        <w:pStyle w:val="3"/>
        <w:rPr>
          <w:lang w:val="en-US"/>
        </w:rPr>
      </w:pPr>
      <w:bookmarkStart w:id="385" w:name="_Toc248730855"/>
      <w:bookmarkStart w:id="386" w:name="_Toc271032568"/>
      <w:bookmarkStart w:id="387" w:name="_Toc277340325"/>
      <w:bookmarkStart w:id="388" w:name="_Toc378283521"/>
      <w:bookmarkStart w:id="389" w:name="_Toc168502118"/>
      <w:r w:rsidRPr="007D770B">
        <w:rPr>
          <w:lang w:val="en-US"/>
        </w:rPr>
        <w:t>3.1 General provisions</w:t>
      </w:r>
      <w:bookmarkEnd w:id="385"/>
      <w:bookmarkEnd w:id="386"/>
      <w:bookmarkEnd w:id="387"/>
      <w:bookmarkEnd w:id="388"/>
      <w:bookmarkEnd w:id="389"/>
    </w:p>
    <w:p w14:paraId="19DC7537" w14:textId="77777777" w:rsidR="00DE508A" w:rsidRPr="007D770B" w:rsidRDefault="00DE508A" w:rsidP="00DE508A">
      <w:pPr>
        <w:spacing w:before="240" w:line="240" w:lineRule="auto"/>
        <w:ind w:left="0"/>
        <w:rPr>
          <w:rFonts w:ascii="Times New Roman" w:hAnsi="Times New Roman"/>
          <w:lang w:val="en-US"/>
        </w:rPr>
      </w:pPr>
      <w:r w:rsidRPr="007D770B">
        <w:rPr>
          <w:rFonts w:ascii="Times New Roman" w:hAnsi="Times New Roman"/>
          <w:lang w:val="en-US"/>
        </w:rPr>
        <w:t xml:space="preserve">This section of the Accounting Policy governs the Bank's presentation of segment reporting information in the annual financial statements and in the full version of the interim financial statements. It also establishes requirements for related disclosures about services, geographical areas and major customers. This section of the Accounting Policy requires the Bank to present financial and descriptive information about its reportable segments. </w:t>
      </w:r>
    </w:p>
    <w:p w14:paraId="3989850A" w14:textId="77777777" w:rsidR="00DE508A" w:rsidRPr="007D770B" w:rsidRDefault="00DE508A" w:rsidP="00DE508A">
      <w:pPr>
        <w:spacing w:before="240" w:line="240" w:lineRule="auto"/>
        <w:ind w:left="0"/>
        <w:rPr>
          <w:rFonts w:ascii="Times New Roman" w:hAnsi="Times New Roman"/>
          <w:lang w:val="en-US"/>
        </w:rPr>
      </w:pPr>
      <w:r w:rsidRPr="007D770B">
        <w:rPr>
          <w:rFonts w:ascii="Times New Roman" w:hAnsi="Times New Roman"/>
          <w:lang w:val="en-US"/>
        </w:rPr>
        <w:t>Reportable segments are operating segments or aggregated operating segments that meet certain criteria.</w:t>
      </w:r>
    </w:p>
    <w:p w14:paraId="6BC1A41A" w14:textId="77777777" w:rsidR="00DE508A" w:rsidRPr="007D770B" w:rsidRDefault="00DE508A" w:rsidP="00DE508A">
      <w:pPr>
        <w:spacing w:before="240" w:line="240" w:lineRule="auto"/>
        <w:ind w:left="0"/>
        <w:rPr>
          <w:rFonts w:ascii="Times New Roman" w:hAnsi="Times New Roman"/>
          <w:lang w:val="en-US"/>
        </w:rPr>
      </w:pPr>
      <w:r w:rsidRPr="007D770B">
        <w:rPr>
          <w:rFonts w:ascii="Times New Roman" w:hAnsi="Times New Roman"/>
          <w:lang w:val="en-US"/>
        </w:rPr>
        <w:t xml:space="preserve">Generally, financial information is required to be reported on the same basis as that used internally to evaluate the performance of the operating segments and make decisions about resources to be allocated to them. </w:t>
      </w:r>
    </w:p>
    <w:p w14:paraId="7EC1609E" w14:textId="77777777" w:rsidR="00DE508A" w:rsidRPr="007D770B" w:rsidRDefault="00DE508A" w:rsidP="00DE508A">
      <w:pPr>
        <w:spacing w:before="240" w:line="240" w:lineRule="auto"/>
        <w:ind w:left="0"/>
        <w:rPr>
          <w:rFonts w:ascii="Times New Roman" w:hAnsi="Times New Roman"/>
          <w:lang w:val="en-US"/>
        </w:rPr>
      </w:pPr>
      <w:r w:rsidRPr="007D770B">
        <w:rPr>
          <w:rFonts w:ascii="Times New Roman" w:hAnsi="Times New Roman"/>
          <w:lang w:val="en-US"/>
        </w:rPr>
        <w:t>The Bank reports measures of profit or loss for each reportable segment. The Bank also reports the assets and liabilities of each reportable segment and specific items of expense and income for each reportable segment if such measures are regularly provided to the chief operating decision maker.</w:t>
      </w:r>
    </w:p>
    <w:p w14:paraId="5BA4923F" w14:textId="77777777" w:rsidR="00DE508A" w:rsidRPr="007D770B" w:rsidRDefault="00DE508A" w:rsidP="00DE508A">
      <w:pPr>
        <w:spacing w:before="240" w:line="240" w:lineRule="auto"/>
        <w:ind w:left="0"/>
        <w:rPr>
          <w:rFonts w:ascii="Times New Roman" w:hAnsi="Times New Roman"/>
          <w:lang w:val="en-US"/>
        </w:rPr>
      </w:pPr>
      <w:r w:rsidRPr="007D770B">
        <w:rPr>
          <w:rFonts w:ascii="Times New Roman" w:hAnsi="Times New Roman"/>
          <w:lang w:val="en-US"/>
        </w:rPr>
        <w:t>Reconciliation of reportable segment total revenue, total profit or loss, total assets, total liabilities (unless such liabilities are regularly provided to the chief operating decision maker) and other aggregate amounts (for each material item) disclosed for reportable segments to the corresponding amounts in the Bank's financial statements is required.</w:t>
      </w:r>
    </w:p>
    <w:p w14:paraId="538B56AC" w14:textId="77777777" w:rsidR="00DE508A" w:rsidRPr="007D770B" w:rsidRDefault="00DE508A" w:rsidP="00DE508A">
      <w:pPr>
        <w:spacing w:before="240" w:line="240" w:lineRule="auto"/>
        <w:ind w:left="0"/>
        <w:rPr>
          <w:rFonts w:ascii="Times New Roman" w:hAnsi="Times New Roman"/>
          <w:lang w:val="en-US"/>
        </w:rPr>
      </w:pPr>
      <w:r w:rsidRPr="007D770B">
        <w:rPr>
          <w:rFonts w:ascii="Times New Roman" w:hAnsi="Times New Roman"/>
          <w:lang w:val="en-US"/>
        </w:rPr>
        <w:t>The Bank presents information about income generated from operations, countries in which it generates income and holds assets, and major customers, irrespective of whether this information is used by management in making operational decisions. However, the Bank does not present information that is not prepared for internal use if the required information is not available and the cost of preparing it would be excessive.</w:t>
      </w:r>
    </w:p>
    <w:p w14:paraId="2388F1E2" w14:textId="77777777" w:rsidR="00DE508A" w:rsidRPr="007D770B" w:rsidRDefault="00DE508A" w:rsidP="00DE508A">
      <w:pPr>
        <w:spacing w:before="240" w:line="240" w:lineRule="auto"/>
        <w:ind w:left="0"/>
        <w:rPr>
          <w:rFonts w:ascii="Times New Roman" w:hAnsi="Times New Roman"/>
          <w:lang w:val="en-US"/>
        </w:rPr>
      </w:pPr>
      <w:r w:rsidRPr="007D770B">
        <w:rPr>
          <w:rFonts w:ascii="Times New Roman" w:hAnsi="Times New Roman"/>
          <w:lang w:val="en-US"/>
        </w:rPr>
        <w:t>The Bank also presents information of a descriptive nature: the way in which operating segments are identified, the products and services provided by the segments, the difference in measurement used in the presentation of segment information and in the preparation of the Bank's financial statements, and changes in the measurement of segment performance from period to period.</w:t>
      </w:r>
    </w:p>
    <w:p w14:paraId="57B42612" w14:textId="77777777" w:rsidR="00DE508A" w:rsidRPr="007D770B" w:rsidRDefault="00DE508A" w:rsidP="00DE508A">
      <w:pPr>
        <w:spacing w:before="240" w:line="240" w:lineRule="auto"/>
        <w:ind w:left="0"/>
        <w:rPr>
          <w:rFonts w:ascii="Times New Roman" w:hAnsi="Times New Roman"/>
          <w:lang w:val="en-US"/>
        </w:rPr>
      </w:pPr>
      <w:r w:rsidRPr="007D770B">
        <w:rPr>
          <w:rFonts w:ascii="Times New Roman" w:hAnsi="Times New Roman"/>
          <w:lang w:val="en-US"/>
        </w:rPr>
        <w:t>In identifying segments, the Bank bases its decisions about components on information about the components that management uses to make operating decisions.</w:t>
      </w:r>
    </w:p>
    <w:p w14:paraId="35255882" w14:textId="77777777" w:rsidR="00DE508A" w:rsidRPr="007D770B" w:rsidRDefault="00DE508A" w:rsidP="00DE508A">
      <w:pPr>
        <w:spacing w:before="240" w:line="240" w:lineRule="auto"/>
        <w:ind w:left="0"/>
        <w:rPr>
          <w:rFonts w:ascii="Times New Roman" w:hAnsi="Times New Roman"/>
          <w:lang w:val="en-US"/>
        </w:rPr>
      </w:pPr>
      <w:r w:rsidRPr="007D770B">
        <w:rPr>
          <w:rFonts w:ascii="Times New Roman" w:hAnsi="Times New Roman"/>
          <w:lang w:val="en-US"/>
        </w:rPr>
        <w:t>The Bank identifies operating segments based on internal reporting that is regularly reviewed by the Bank's chief operating decision maker to allocate resources to the segment and assess its performance.</w:t>
      </w:r>
    </w:p>
    <w:p w14:paraId="74C13024" w14:textId="77777777" w:rsidR="00DE508A" w:rsidRPr="007D770B" w:rsidRDefault="00DE508A" w:rsidP="00DE508A">
      <w:pPr>
        <w:spacing w:before="240" w:line="240" w:lineRule="auto"/>
        <w:ind w:left="0"/>
        <w:rPr>
          <w:rFonts w:ascii="Times New Roman" w:hAnsi="Times New Roman"/>
          <w:lang w:val="en-US"/>
        </w:rPr>
      </w:pPr>
      <w:r w:rsidRPr="007D770B">
        <w:rPr>
          <w:rFonts w:ascii="Times New Roman" w:hAnsi="Times New Roman"/>
          <w:lang w:val="en-US"/>
        </w:rPr>
        <w:t>The Bank discloses the following information in its financial statements:</w:t>
      </w:r>
    </w:p>
    <w:p w14:paraId="3260C8C5" w14:textId="77777777" w:rsidR="00DE508A" w:rsidRPr="007D770B" w:rsidRDefault="00DE508A" w:rsidP="00AE698A">
      <w:pPr>
        <w:numPr>
          <w:ilvl w:val="0"/>
          <w:numId w:val="344"/>
        </w:numPr>
        <w:spacing w:before="240" w:line="240" w:lineRule="auto"/>
        <w:rPr>
          <w:rFonts w:ascii="Times New Roman" w:hAnsi="Times New Roman"/>
          <w:lang w:val="en-US"/>
        </w:rPr>
      </w:pPr>
      <w:r w:rsidRPr="007D770B">
        <w:rPr>
          <w:rFonts w:ascii="Times New Roman" w:hAnsi="Times New Roman"/>
          <w:lang w:val="en-US"/>
        </w:rPr>
        <w:t>factors considered in identifying the Bank's operating segments, including organizational structure;</w:t>
      </w:r>
    </w:p>
    <w:p w14:paraId="4602F26D" w14:textId="77777777" w:rsidR="00DE508A" w:rsidRPr="007D770B" w:rsidRDefault="00DE508A" w:rsidP="00AE698A">
      <w:pPr>
        <w:numPr>
          <w:ilvl w:val="0"/>
          <w:numId w:val="344"/>
        </w:numPr>
        <w:spacing w:before="240" w:line="240" w:lineRule="auto"/>
        <w:rPr>
          <w:rFonts w:ascii="Times New Roman" w:hAnsi="Times New Roman"/>
          <w:lang w:val="en-US"/>
        </w:rPr>
      </w:pPr>
      <w:r w:rsidRPr="007D770B">
        <w:rPr>
          <w:rFonts w:ascii="Times New Roman" w:hAnsi="Times New Roman"/>
          <w:lang w:val="en-US"/>
        </w:rPr>
        <w:t>types of services from which each reportable segment derives its revenues.</w:t>
      </w:r>
    </w:p>
    <w:p w14:paraId="7A1B16A9" w14:textId="77777777" w:rsidR="00DE508A" w:rsidRPr="007D770B" w:rsidRDefault="00DE508A" w:rsidP="00DE508A">
      <w:pPr>
        <w:spacing w:before="240" w:line="240" w:lineRule="auto"/>
        <w:ind w:left="0"/>
        <w:rPr>
          <w:rFonts w:ascii="Times New Roman" w:hAnsi="Times New Roman"/>
          <w:lang w:val="en-US"/>
        </w:rPr>
      </w:pPr>
      <w:r w:rsidRPr="007D770B">
        <w:rPr>
          <w:rFonts w:ascii="Times New Roman" w:hAnsi="Times New Roman"/>
          <w:lang w:val="en-US"/>
        </w:rPr>
        <w:t>Key principle: The Bank discloses information in a manner that enables users of the financial statements to evaluate the specific nature, financial performance and economic environment of the Bank's operations.</w:t>
      </w:r>
    </w:p>
    <w:p w14:paraId="7C415424" w14:textId="77777777" w:rsidR="00DE508A" w:rsidRPr="007D770B" w:rsidRDefault="00DE508A" w:rsidP="00DE508A">
      <w:pPr>
        <w:spacing w:before="240" w:line="240" w:lineRule="auto"/>
        <w:ind w:left="0"/>
        <w:rPr>
          <w:rFonts w:ascii="Times New Roman" w:hAnsi="Times New Roman"/>
          <w:lang w:val="en-US"/>
        </w:rPr>
      </w:pPr>
      <w:r w:rsidRPr="007D770B">
        <w:rPr>
          <w:rFonts w:ascii="Times New Roman" w:hAnsi="Times New Roman"/>
          <w:lang w:val="en-US"/>
        </w:rPr>
        <w:t>For management purposes, the Bank presents reportable segments based on their organizational structure.</w:t>
      </w:r>
    </w:p>
    <w:p w14:paraId="7145E7EE" w14:textId="77777777" w:rsidR="00DE508A" w:rsidRPr="007D770B" w:rsidRDefault="00DE508A" w:rsidP="00DE508A">
      <w:pPr>
        <w:spacing w:before="240" w:line="240" w:lineRule="auto"/>
        <w:ind w:left="0"/>
        <w:rPr>
          <w:rFonts w:ascii="Times New Roman" w:hAnsi="Times New Roman"/>
          <w:lang w:val="en-US"/>
        </w:rPr>
      </w:pPr>
      <w:r w:rsidRPr="007D770B">
        <w:rPr>
          <w:rFonts w:ascii="Times New Roman" w:hAnsi="Times New Roman"/>
          <w:lang w:val="en-US"/>
        </w:rPr>
        <w:t xml:space="preserve">Management monitors the operating results of each of its business units separately for the purpose of making decisions about resources to be allocated and assessing performance. Segment performance is evaluated based on operating profit or loss in the consolidated financial statements. </w:t>
      </w:r>
    </w:p>
    <w:p w14:paraId="21DF833C" w14:textId="77777777" w:rsidR="00DE508A" w:rsidRPr="007D770B" w:rsidRDefault="00DE508A" w:rsidP="00DE508A">
      <w:pPr>
        <w:spacing w:before="240" w:line="240" w:lineRule="auto"/>
        <w:ind w:left="0"/>
        <w:rPr>
          <w:rFonts w:ascii="Times New Roman" w:hAnsi="Times New Roman"/>
          <w:lang w:val="en-US"/>
        </w:rPr>
      </w:pPr>
      <w:r w:rsidRPr="007D770B">
        <w:rPr>
          <w:rFonts w:ascii="Times New Roman" w:hAnsi="Times New Roman"/>
          <w:lang w:val="en-US"/>
        </w:rPr>
        <w:t xml:space="preserve">Transactions between operating segments are priced on an arm's length basis, similar to transactions with third parties. </w:t>
      </w:r>
    </w:p>
    <w:p w14:paraId="16BA4C52" w14:textId="77777777" w:rsidR="00DE508A" w:rsidRPr="007D770B" w:rsidRDefault="00DE508A" w:rsidP="00E61D21">
      <w:pPr>
        <w:pStyle w:val="3"/>
        <w:rPr>
          <w:lang w:val="en-US"/>
        </w:rPr>
      </w:pPr>
      <w:bookmarkStart w:id="390" w:name="_Toc248730856"/>
      <w:bookmarkStart w:id="391" w:name="_Toc271032569"/>
      <w:bookmarkStart w:id="392" w:name="_Toc277340326"/>
      <w:bookmarkStart w:id="393" w:name="_Toc378283522"/>
      <w:bookmarkStart w:id="394" w:name="_Toc168502119"/>
      <w:r w:rsidRPr="007D770B">
        <w:rPr>
          <w:lang w:val="en-US"/>
        </w:rPr>
        <w:t>3.2 Definitions</w:t>
      </w:r>
      <w:bookmarkEnd w:id="390"/>
      <w:bookmarkEnd w:id="391"/>
      <w:bookmarkEnd w:id="392"/>
      <w:bookmarkEnd w:id="393"/>
      <w:bookmarkEnd w:id="394"/>
    </w:p>
    <w:p w14:paraId="040EB01F" w14:textId="77777777" w:rsidR="00DE508A" w:rsidRPr="007D770B" w:rsidRDefault="00DE508A" w:rsidP="00DE508A">
      <w:pPr>
        <w:spacing w:before="240" w:line="240" w:lineRule="auto"/>
        <w:ind w:left="0"/>
        <w:rPr>
          <w:rFonts w:ascii="Times New Roman" w:hAnsi="Times New Roman"/>
          <w:lang w:val="en-US"/>
        </w:rPr>
      </w:pPr>
      <w:r w:rsidRPr="007D770B">
        <w:rPr>
          <w:rFonts w:ascii="Times New Roman" w:hAnsi="Times New Roman"/>
          <w:b/>
          <w:lang w:val="en-US"/>
        </w:rPr>
        <w:t xml:space="preserve">The operating segment </w:t>
      </w:r>
      <w:r w:rsidRPr="007D770B">
        <w:rPr>
          <w:rFonts w:ascii="Times New Roman" w:hAnsi="Times New Roman"/>
          <w:lang w:val="en-US"/>
        </w:rPr>
        <w:t>is a component of the Bank:</w:t>
      </w:r>
    </w:p>
    <w:p w14:paraId="42874FEE" w14:textId="3EA25F7F" w:rsidR="00DE508A" w:rsidRPr="007D770B" w:rsidRDefault="00DE508A" w:rsidP="00AE698A">
      <w:pPr>
        <w:numPr>
          <w:ilvl w:val="0"/>
          <w:numId w:val="328"/>
        </w:numPr>
        <w:spacing w:before="240" w:line="240" w:lineRule="auto"/>
        <w:rPr>
          <w:rFonts w:ascii="Times New Roman" w:hAnsi="Times New Roman"/>
          <w:lang w:val="en-US"/>
        </w:rPr>
      </w:pPr>
      <w:r w:rsidRPr="007D770B">
        <w:rPr>
          <w:rFonts w:ascii="Times New Roman" w:hAnsi="Times New Roman"/>
          <w:lang w:val="en-US"/>
        </w:rPr>
        <w:t xml:space="preserve">that is engaged in activities from which it may earn revenues and incur expenses (including revenues and expenses relating to transactions with other components of the </w:t>
      </w:r>
      <w:r w:rsidR="00AE5865" w:rsidRPr="007D770B">
        <w:rPr>
          <w:rFonts w:ascii="Times New Roman" w:hAnsi="Times New Roman"/>
          <w:lang w:val="en-US"/>
        </w:rPr>
        <w:t xml:space="preserve">same entity </w:t>
      </w:r>
      <w:r w:rsidRPr="007D770B">
        <w:rPr>
          <w:rFonts w:ascii="Times New Roman" w:hAnsi="Times New Roman"/>
          <w:lang w:val="en-US"/>
        </w:rPr>
        <w:t>consolidated in the Bank);</w:t>
      </w:r>
    </w:p>
    <w:p w14:paraId="5C123FEA" w14:textId="77777777" w:rsidR="00DE508A" w:rsidRPr="007D770B" w:rsidRDefault="00DE508A" w:rsidP="00AE698A">
      <w:pPr>
        <w:numPr>
          <w:ilvl w:val="0"/>
          <w:numId w:val="328"/>
        </w:numPr>
        <w:spacing w:before="240" w:line="240" w:lineRule="auto"/>
        <w:rPr>
          <w:rFonts w:ascii="Times New Roman" w:hAnsi="Times New Roman"/>
          <w:lang w:val="en-US"/>
        </w:rPr>
      </w:pPr>
      <w:r w:rsidRPr="007D770B">
        <w:rPr>
          <w:rFonts w:ascii="Times New Roman" w:hAnsi="Times New Roman"/>
          <w:lang w:val="en-US"/>
        </w:rPr>
        <w:lastRenderedPageBreak/>
        <w:t>whose operating results are regularly reviewed by the head of the entity consolidated into the Bank, who makes operational decisions about resources to be allocated to the component and assesses its performance;</w:t>
      </w:r>
    </w:p>
    <w:p w14:paraId="432AE7C6" w14:textId="77777777" w:rsidR="00DE508A" w:rsidRPr="007D770B" w:rsidRDefault="00DE508A" w:rsidP="00AE698A">
      <w:pPr>
        <w:numPr>
          <w:ilvl w:val="0"/>
          <w:numId w:val="328"/>
        </w:numPr>
        <w:spacing w:before="240" w:line="240" w:lineRule="auto"/>
        <w:rPr>
          <w:rFonts w:ascii="Times New Roman" w:hAnsi="Times New Roman"/>
          <w:lang w:val="en-US"/>
        </w:rPr>
      </w:pPr>
      <w:r w:rsidRPr="007D770B">
        <w:rPr>
          <w:rFonts w:ascii="Times New Roman" w:hAnsi="Times New Roman"/>
          <w:lang w:val="en-US"/>
        </w:rPr>
        <w:t>for which separate financial information is available.</w:t>
      </w:r>
    </w:p>
    <w:p w14:paraId="600A62C1" w14:textId="77777777" w:rsidR="00DE508A" w:rsidRPr="007D770B" w:rsidRDefault="00DE508A" w:rsidP="00DE508A">
      <w:pPr>
        <w:spacing w:before="240" w:line="240" w:lineRule="auto"/>
        <w:ind w:left="0"/>
        <w:rPr>
          <w:rFonts w:ascii="Times New Roman" w:hAnsi="Times New Roman"/>
          <w:lang w:val="en-US"/>
        </w:rPr>
      </w:pPr>
      <w:r w:rsidRPr="007D770B">
        <w:rPr>
          <w:rFonts w:ascii="Times New Roman" w:eastAsia="Times New Roman" w:hAnsi="Times New Roman"/>
          <w:b/>
          <w:lang w:val="en-US"/>
        </w:rPr>
        <w:t xml:space="preserve">A reportable segment </w:t>
      </w:r>
      <w:r w:rsidRPr="007D770B">
        <w:rPr>
          <w:rFonts w:ascii="Times New Roman" w:hAnsi="Times New Roman"/>
          <w:lang w:val="en-US"/>
        </w:rPr>
        <w:t xml:space="preserve">is </w:t>
      </w:r>
      <w:r w:rsidRPr="007D770B">
        <w:rPr>
          <w:rFonts w:ascii="Times New Roman" w:eastAsia="Times New Roman" w:hAnsi="Times New Roman"/>
          <w:lang w:val="en-US"/>
        </w:rPr>
        <w:t xml:space="preserve">an </w:t>
      </w:r>
      <w:r w:rsidRPr="007D770B">
        <w:rPr>
          <w:rFonts w:ascii="Times New Roman" w:hAnsi="Times New Roman"/>
          <w:lang w:val="en-US"/>
        </w:rPr>
        <w:t xml:space="preserve">operating segment or aggregated operating segments determined </w:t>
      </w:r>
      <w:r w:rsidRPr="007D770B">
        <w:rPr>
          <w:rFonts w:ascii="Times New Roman" w:eastAsia="Times New Roman" w:hAnsi="Times New Roman"/>
          <w:lang w:val="en-US"/>
        </w:rPr>
        <w:t>based on the criteria for segment identification and aggregation for which the Bank presents segment information</w:t>
      </w:r>
      <w:r w:rsidRPr="007D770B">
        <w:rPr>
          <w:rFonts w:ascii="Times New Roman" w:hAnsi="Times New Roman"/>
          <w:lang w:val="en-US"/>
        </w:rPr>
        <w:t>.</w:t>
      </w:r>
    </w:p>
    <w:p w14:paraId="097B7F6D" w14:textId="77777777" w:rsidR="00DE508A" w:rsidRPr="007D770B" w:rsidRDefault="00DE508A" w:rsidP="00DE508A">
      <w:pPr>
        <w:spacing w:before="240" w:line="240" w:lineRule="auto"/>
        <w:ind w:left="0"/>
        <w:rPr>
          <w:rFonts w:ascii="Times New Roman" w:hAnsi="Times New Roman"/>
          <w:lang w:val="en-US"/>
        </w:rPr>
      </w:pPr>
      <w:r w:rsidRPr="007D770B">
        <w:rPr>
          <w:rFonts w:ascii="Times New Roman" w:hAnsi="Times New Roman"/>
          <w:b/>
          <w:lang w:val="en-US"/>
        </w:rPr>
        <w:t xml:space="preserve">Chief operating decision maker </w:t>
      </w:r>
      <w:r w:rsidRPr="007D770B">
        <w:rPr>
          <w:rFonts w:ascii="Times New Roman" w:hAnsi="Times New Roman"/>
          <w:lang w:val="en-US"/>
        </w:rPr>
        <w:t>- designates the function that is responsible for allocating resources to and assessing the performance of the Bank's operating segments.</w:t>
      </w:r>
    </w:p>
    <w:p w14:paraId="61D42EFE" w14:textId="77777777" w:rsidR="00DE508A" w:rsidRPr="007D770B" w:rsidRDefault="00DE508A" w:rsidP="00E61D21">
      <w:pPr>
        <w:pStyle w:val="3"/>
        <w:rPr>
          <w:lang w:val="en-US"/>
        </w:rPr>
      </w:pPr>
      <w:bookmarkStart w:id="395" w:name="_Toc277340327"/>
      <w:bookmarkStart w:id="396" w:name="_Toc378283523"/>
      <w:bookmarkStart w:id="397" w:name="_Toc168502120"/>
      <w:r w:rsidRPr="007D770B">
        <w:rPr>
          <w:lang w:val="en-US"/>
        </w:rPr>
        <w:t>3.3 Definition of segments</w:t>
      </w:r>
      <w:bookmarkEnd w:id="395"/>
      <w:bookmarkEnd w:id="396"/>
      <w:bookmarkEnd w:id="397"/>
    </w:p>
    <w:p w14:paraId="241BC188" w14:textId="77777777" w:rsidR="00DE508A" w:rsidRPr="007D770B" w:rsidRDefault="00DE508A" w:rsidP="00DE508A">
      <w:pPr>
        <w:spacing w:before="240" w:line="240" w:lineRule="auto"/>
        <w:ind w:left="0"/>
        <w:rPr>
          <w:lang w:val="en-US"/>
        </w:rPr>
      </w:pPr>
      <w:r w:rsidRPr="007D770B">
        <w:rPr>
          <w:rFonts w:ascii="Times New Roman" w:hAnsi="Times New Roman"/>
          <w:b/>
          <w:lang w:val="en-US"/>
        </w:rPr>
        <w:t>Operating segments</w:t>
      </w:r>
    </w:p>
    <w:p w14:paraId="57DC5087" w14:textId="77777777" w:rsidR="00DE508A" w:rsidRPr="007D770B" w:rsidRDefault="00DE508A" w:rsidP="00DE508A">
      <w:pPr>
        <w:spacing w:before="240" w:line="240" w:lineRule="auto"/>
        <w:ind w:left="0"/>
        <w:rPr>
          <w:rFonts w:ascii="Times New Roman" w:hAnsi="Times New Roman"/>
          <w:lang w:val="en-US"/>
        </w:rPr>
      </w:pPr>
      <w:r w:rsidRPr="007D770B">
        <w:rPr>
          <w:rFonts w:ascii="Times New Roman" w:hAnsi="Times New Roman"/>
          <w:lang w:val="en-US"/>
        </w:rPr>
        <w:t>An operating segment may engage in activities from which revenue is not yet expected to be realized.</w:t>
      </w:r>
    </w:p>
    <w:p w14:paraId="3A0A27E1" w14:textId="77777777" w:rsidR="00DE508A" w:rsidRPr="007D770B" w:rsidRDefault="00DE508A" w:rsidP="00DE508A">
      <w:pPr>
        <w:spacing w:before="240" w:line="240" w:lineRule="auto"/>
        <w:ind w:left="0"/>
        <w:rPr>
          <w:rFonts w:ascii="Times New Roman" w:hAnsi="Times New Roman"/>
          <w:lang w:val="en-US"/>
        </w:rPr>
      </w:pPr>
      <w:r w:rsidRPr="007D770B">
        <w:rPr>
          <w:rFonts w:ascii="Times New Roman" w:hAnsi="Times New Roman"/>
          <w:lang w:val="en-US"/>
        </w:rPr>
        <w:t xml:space="preserve">Not all parts of the Bank necessarily represent an operating segment or part of an operating segment. </w:t>
      </w:r>
    </w:p>
    <w:p w14:paraId="32A8BE9A" w14:textId="77777777" w:rsidR="00DE508A" w:rsidRPr="007D770B" w:rsidRDefault="00DE508A" w:rsidP="00DE508A">
      <w:pPr>
        <w:spacing w:before="240" w:line="240" w:lineRule="auto"/>
        <w:ind w:left="0"/>
        <w:rPr>
          <w:rFonts w:ascii="Times New Roman" w:hAnsi="Times New Roman"/>
          <w:b/>
          <w:lang w:val="en-US"/>
        </w:rPr>
      </w:pPr>
      <w:r w:rsidRPr="007D770B">
        <w:rPr>
          <w:rFonts w:ascii="Times New Roman" w:hAnsi="Times New Roman"/>
          <w:b/>
          <w:lang w:val="en-US"/>
        </w:rPr>
        <w:t>Reportable segments</w:t>
      </w:r>
    </w:p>
    <w:p w14:paraId="0EA4E7F3" w14:textId="77777777" w:rsidR="00DE508A" w:rsidRPr="007D770B" w:rsidRDefault="00DE508A" w:rsidP="00DE508A">
      <w:pPr>
        <w:spacing w:before="240" w:line="240" w:lineRule="auto"/>
        <w:ind w:left="0"/>
        <w:rPr>
          <w:rFonts w:ascii="Times New Roman" w:hAnsi="Times New Roman"/>
          <w:lang w:val="en-US"/>
        </w:rPr>
      </w:pPr>
      <w:r w:rsidRPr="007D770B">
        <w:rPr>
          <w:rFonts w:ascii="Times New Roman" w:hAnsi="Times New Roman"/>
          <w:lang w:val="en-US"/>
        </w:rPr>
        <w:t>A bank is required to separately report information about each operating segment that:</w:t>
      </w:r>
    </w:p>
    <w:p w14:paraId="67630C1F" w14:textId="77777777" w:rsidR="00DE508A" w:rsidRPr="007D770B" w:rsidRDefault="00DE508A" w:rsidP="00AE698A">
      <w:pPr>
        <w:pStyle w:val="aa"/>
        <w:numPr>
          <w:ilvl w:val="0"/>
          <w:numId w:val="329"/>
        </w:numPr>
        <w:spacing w:before="240" w:line="240" w:lineRule="auto"/>
        <w:contextualSpacing w:val="0"/>
        <w:rPr>
          <w:rFonts w:ascii="Times New Roman" w:hAnsi="Times New Roman"/>
          <w:lang w:val="en-US"/>
        </w:rPr>
      </w:pPr>
      <w:r w:rsidRPr="007D770B">
        <w:rPr>
          <w:rFonts w:ascii="Times New Roman" w:hAnsi="Times New Roman"/>
          <w:lang w:val="en-US"/>
        </w:rPr>
        <w:t>was formed by combining two or more operating segments for which all or most of the aggregation criteria are met into one reportable segment;</w:t>
      </w:r>
    </w:p>
    <w:p w14:paraId="5DD4FFF7" w14:textId="77777777" w:rsidR="00DE508A" w:rsidRPr="00900314" w:rsidRDefault="00DE508A" w:rsidP="00AE698A">
      <w:pPr>
        <w:pStyle w:val="aa"/>
        <w:numPr>
          <w:ilvl w:val="0"/>
          <w:numId w:val="329"/>
        </w:numPr>
        <w:spacing w:before="240" w:line="240" w:lineRule="auto"/>
        <w:contextualSpacing w:val="0"/>
        <w:rPr>
          <w:rFonts w:ascii="Times New Roman" w:hAnsi="Times New Roman"/>
        </w:rPr>
      </w:pPr>
      <w:r w:rsidRPr="00900314">
        <w:rPr>
          <w:rFonts w:ascii="Times New Roman" w:hAnsi="Times New Roman"/>
        </w:rPr>
        <w:t xml:space="preserve">exceeds certain quantitative thresholds. </w:t>
      </w:r>
    </w:p>
    <w:p w14:paraId="4F6C867D" w14:textId="77777777" w:rsidR="00DE508A" w:rsidRPr="007D770B" w:rsidRDefault="00DE508A" w:rsidP="00DE508A">
      <w:pPr>
        <w:spacing w:before="240" w:line="240" w:lineRule="auto"/>
        <w:ind w:left="0"/>
        <w:rPr>
          <w:rFonts w:ascii="Times New Roman" w:hAnsi="Times New Roman"/>
          <w:b/>
          <w:lang w:val="en-US"/>
        </w:rPr>
      </w:pPr>
      <w:r w:rsidRPr="007D770B">
        <w:rPr>
          <w:rFonts w:ascii="Times New Roman" w:hAnsi="Times New Roman"/>
          <w:b/>
          <w:lang w:val="en-US"/>
        </w:rPr>
        <w:t>Measurement of profit or loss, assets and liabilities of operating segments</w:t>
      </w:r>
    </w:p>
    <w:p w14:paraId="1170487F" w14:textId="77777777" w:rsidR="00DE508A" w:rsidRPr="007D770B" w:rsidRDefault="00DE508A" w:rsidP="00DE508A">
      <w:pPr>
        <w:spacing w:before="240" w:line="240" w:lineRule="auto"/>
        <w:ind w:left="0"/>
        <w:rPr>
          <w:rFonts w:ascii="Times New Roman" w:hAnsi="Times New Roman"/>
          <w:lang w:val="en-US"/>
        </w:rPr>
      </w:pPr>
      <w:r w:rsidRPr="007D770B">
        <w:rPr>
          <w:rFonts w:ascii="Times New Roman" w:hAnsi="Times New Roman"/>
          <w:lang w:val="en-US"/>
        </w:rPr>
        <w:t xml:space="preserve">The Bank is required to provide an explanation of segment profit or loss, segment assets and segment liabilities for each reportable segment. At a minimum, the Bank is required to disclose the following information: </w:t>
      </w:r>
    </w:p>
    <w:p w14:paraId="1B99F6DF" w14:textId="77777777" w:rsidR="00DE508A" w:rsidRPr="007D770B" w:rsidRDefault="00DE508A" w:rsidP="00AE698A">
      <w:pPr>
        <w:numPr>
          <w:ilvl w:val="0"/>
          <w:numId w:val="343"/>
        </w:numPr>
        <w:spacing w:before="240" w:line="240" w:lineRule="auto"/>
        <w:rPr>
          <w:rFonts w:ascii="Times New Roman" w:hAnsi="Times New Roman"/>
          <w:lang w:val="en-US"/>
        </w:rPr>
      </w:pPr>
      <w:r w:rsidRPr="007D770B">
        <w:rPr>
          <w:rFonts w:ascii="Times New Roman" w:hAnsi="Times New Roman"/>
          <w:lang w:val="en-US"/>
        </w:rPr>
        <w:t xml:space="preserve">the basis of accounting for any transactions between reportable segments. </w:t>
      </w:r>
    </w:p>
    <w:p w14:paraId="7CA08E78" w14:textId="77777777" w:rsidR="00DE508A" w:rsidRPr="007D770B" w:rsidRDefault="00DE508A" w:rsidP="00AE698A">
      <w:pPr>
        <w:numPr>
          <w:ilvl w:val="0"/>
          <w:numId w:val="343"/>
        </w:numPr>
        <w:spacing w:before="240" w:line="240" w:lineRule="auto"/>
        <w:rPr>
          <w:rFonts w:ascii="Times New Roman" w:hAnsi="Times New Roman"/>
          <w:lang w:val="en-US"/>
        </w:rPr>
      </w:pPr>
      <w:r w:rsidRPr="007D770B">
        <w:rPr>
          <w:rFonts w:ascii="Times New Roman" w:hAnsi="Times New Roman"/>
          <w:lang w:val="en-US"/>
        </w:rPr>
        <w:t>the nature of any differences between the measurement of reportable segment profit or loss and the Bank's profit or loss before income tax expense or income and discontinued operations;</w:t>
      </w:r>
    </w:p>
    <w:p w14:paraId="36867A0B" w14:textId="77777777" w:rsidR="00DE508A" w:rsidRPr="007D770B" w:rsidRDefault="00DE508A" w:rsidP="00AE698A">
      <w:pPr>
        <w:numPr>
          <w:ilvl w:val="0"/>
          <w:numId w:val="343"/>
        </w:numPr>
        <w:spacing w:before="240" w:line="240" w:lineRule="auto"/>
        <w:rPr>
          <w:rFonts w:ascii="Times New Roman" w:hAnsi="Times New Roman"/>
          <w:lang w:val="en-US"/>
        </w:rPr>
      </w:pPr>
      <w:r w:rsidRPr="007D770B">
        <w:rPr>
          <w:rFonts w:ascii="Times New Roman" w:hAnsi="Times New Roman"/>
          <w:lang w:val="en-US"/>
        </w:rPr>
        <w:t>the nature of any differences between the estimates of assets of the reportable segments and the Bank's assets;</w:t>
      </w:r>
    </w:p>
    <w:p w14:paraId="6004D9ED" w14:textId="77777777" w:rsidR="00DE508A" w:rsidRPr="007D770B" w:rsidRDefault="00DE508A" w:rsidP="00AE698A">
      <w:pPr>
        <w:numPr>
          <w:ilvl w:val="0"/>
          <w:numId w:val="343"/>
        </w:numPr>
        <w:spacing w:before="240" w:line="240" w:lineRule="auto"/>
        <w:rPr>
          <w:rFonts w:ascii="Times New Roman" w:hAnsi="Times New Roman"/>
          <w:lang w:val="en-US"/>
        </w:rPr>
      </w:pPr>
      <w:r w:rsidRPr="007D770B">
        <w:rPr>
          <w:rFonts w:ascii="Times New Roman" w:hAnsi="Times New Roman"/>
          <w:lang w:val="en-US"/>
        </w:rPr>
        <w:t>the nature of any differences between the measurement of reportable segments' liabilities and the Bank's liabilities;</w:t>
      </w:r>
    </w:p>
    <w:p w14:paraId="35294273" w14:textId="77777777" w:rsidR="00DE508A" w:rsidRPr="007D770B" w:rsidRDefault="00DE508A" w:rsidP="00AE698A">
      <w:pPr>
        <w:numPr>
          <w:ilvl w:val="0"/>
          <w:numId w:val="343"/>
        </w:numPr>
        <w:spacing w:before="240" w:line="240" w:lineRule="auto"/>
        <w:rPr>
          <w:rFonts w:ascii="Times New Roman" w:hAnsi="Times New Roman"/>
          <w:lang w:val="en-US"/>
        </w:rPr>
      </w:pPr>
      <w:r w:rsidRPr="007D770B">
        <w:rPr>
          <w:rFonts w:ascii="Times New Roman" w:hAnsi="Times New Roman"/>
          <w:lang w:val="en-US"/>
        </w:rPr>
        <w:t xml:space="preserve">the nature of any changes from prior periods in the measurement methods used for reportable segments' profit or loss and the effect, if any, of such changes on the measurement of segment profit or loss; </w:t>
      </w:r>
    </w:p>
    <w:p w14:paraId="0AE6F818" w14:textId="77777777" w:rsidR="00DE508A" w:rsidRPr="007D770B" w:rsidRDefault="00DE508A" w:rsidP="00AE698A">
      <w:pPr>
        <w:numPr>
          <w:ilvl w:val="0"/>
          <w:numId w:val="343"/>
        </w:numPr>
        <w:spacing w:before="240" w:line="240" w:lineRule="auto"/>
        <w:rPr>
          <w:rFonts w:ascii="Times New Roman" w:hAnsi="Times New Roman"/>
          <w:lang w:val="en-US"/>
        </w:rPr>
      </w:pPr>
      <w:r w:rsidRPr="007D770B">
        <w:rPr>
          <w:rFonts w:ascii="Times New Roman" w:hAnsi="Times New Roman"/>
          <w:lang w:val="en-US"/>
        </w:rPr>
        <w:t>the nature and effect of any asymmetric allocations to reportable segments.</w:t>
      </w:r>
    </w:p>
    <w:p w14:paraId="59C85AAD" w14:textId="77777777" w:rsidR="00DE508A" w:rsidRPr="007D770B" w:rsidRDefault="00DE508A" w:rsidP="00DE508A">
      <w:pPr>
        <w:spacing w:before="240" w:line="240" w:lineRule="auto"/>
        <w:ind w:left="0"/>
        <w:rPr>
          <w:rFonts w:ascii="Times New Roman" w:hAnsi="Times New Roman"/>
          <w:b/>
          <w:lang w:val="en-US"/>
        </w:rPr>
      </w:pPr>
    </w:p>
    <w:p w14:paraId="764B9442" w14:textId="77777777" w:rsidR="00DE508A" w:rsidRPr="007D770B" w:rsidRDefault="00DE508A" w:rsidP="00DE508A">
      <w:pPr>
        <w:spacing w:before="240" w:line="240" w:lineRule="auto"/>
        <w:ind w:left="0"/>
        <w:rPr>
          <w:rFonts w:ascii="Times New Roman" w:hAnsi="Times New Roman"/>
          <w:b/>
          <w:lang w:val="en-US"/>
        </w:rPr>
      </w:pPr>
      <w:r w:rsidRPr="007D770B">
        <w:rPr>
          <w:rFonts w:ascii="Times New Roman" w:hAnsi="Times New Roman"/>
          <w:b/>
          <w:lang w:val="en-US"/>
        </w:rPr>
        <w:t>Merger criteria</w:t>
      </w:r>
    </w:p>
    <w:p w14:paraId="4C839A04" w14:textId="77777777" w:rsidR="00DE508A" w:rsidRPr="007D770B" w:rsidRDefault="00DE508A" w:rsidP="00DE508A">
      <w:pPr>
        <w:spacing w:before="240" w:line="240" w:lineRule="auto"/>
        <w:ind w:left="0"/>
        <w:rPr>
          <w:rFonts w:ascii="Times New Roman" w:hAnsi="Times New Roman"/>
          <w:lang w:val="en-US"/>
        </w:rPr>
      </w:pPr>
      <w:r w:rsidRPr="007D770B">
        <w:rPr>
          <w:rFonts w:ascii="Times New Roman" w:hAnsi="Times New Roman"/>
          <w:lang w:val="en-US"/>
        </w:rPr>
        <w:t>Two or more operating segments may be aggregated into a single operating segment if the aggregation is consistent with the key principle (described earlier in this section) and if the segments have similar economic characteristics and are similar in all of the following respects:</w:t>
      </w:r>
    </w:p>
    <w:p w14:paraId="6FB876F9" w14:textId="77777777" w:rsidR="00DE508A" w:rsidRPr="007D770B" w:rsidRDefault="00DE508A" w:rsidP="00AE698A">
      <w:pPr>
        <w:pStyle w:val="aa"/>
        <w:numPr>
          <w:ilvl w:val="0"/>
          <w:numId w:val="330"/>
        </w:numPr>
        <w:tabs>
          <w:tab w:val="left" w:pos="360"/>
        </w:tabs>
        <w:spacing w:before="240" w:line="240" w:lineRule="auto"/>
        <w:contextualSpacing w:val="0"/>
        <w:rPr>
          <w:rFonts w:ascii="Times New Roman" w:hAnsi="Times New Roman"/>
          <w:lang w:val="en-US"/>
        </w:rPr>
      </w:pPr>
      <w:r w:rsidRPr="007D770B">
        <w:rPr>
          <w:rFonts w:ascii="Times New Roman" w:hAnsi="Times New Roman"/>
          <w:lang w:val="en-US"/>
        </w:rPr>
        <w:t>the nature of the services;</w:t>
      </w:r>
    </w:p>
    <w:p w14:paraId="12B92166" w14:textId="77777777" w:rsidR="00DE508A" w:rsidRPr="007D770B" w:rsidRDefault="00DE508A" w:rsidP="00AE698A">
      <w:pPr>
        <w:pStyle w:val="aa"/>
        <w:numPr>
          <w:ilvl w:val="0"/>
          <w:numId w:val="330"/>
        </w:numPr>
        <w:tabs>
          <w:tab w:val="left" w:pos="360"/>
        </w:tabs>
        <w:spacing w:before="240" w:line="240" w:lineRule="auto"/>
        <w:contextualSpacing w:val="0"/>
        <w:rPr>
          <w:rFonts w:ascii="Times New Roman" w:hAnsi="Times New Roman"/>
          <w:lang w:val="en-US"/>
        </w:rPr>
      </w:pPr>
      <w:r w:rsidRPr="007D770B">
        <w:rPr>
          <w:rFonts w:ascii="Times New Roman" w:hAnsi="Times New Roman"/>
          <w:lang w:val="en-US"/>
        </w:rPr>
        <w:t>the nature of the operational processes;</w:t>
      </w:r>
    </w:p>
    <w:p w14:paraId="6343121B" w14:textId="77777777" w:rsidR="00DE508A" w:rsidRPr="007D770B" w:rsidRDefault="00DE508A" w:rsidP="00AE698A">
      <w:pPr>
        <w:pStyle w:val="aa"/>
        <w:numPr>
          <w:ilvl w:val="0"/>
          <w:numId w:val="330"/>
        </w:numPr>
        <w:tabs>
          <w:tab w:val="left" w:pos="360"/>
        </w:tabs>
        <w:spacing w:before="240" w:line="240" w:lineRule="auto"/>
        <w:contextualSpacing w:val="0"/>
        <w:rPr>
          <w:rFonts w:ascii="Times New Roman" w:hAnsi="Times New Roman"/>
          <w:lang w:val="en-US"/>
        </w:rPr>
      </w:pPr>
      <w:r w:rsidRPr="007D770B">
        <w:rPr>
          <w:rFonts w:ascii="Times New Roman" w:hAnsi="Times New Roman"/>
          <w:lang w:val="en-US"/>
        </w:rPr>
        <w:t>type or category of clients their services;</w:t>
      </w:r>
    </w:p>
    <w:p w14:paraId="1F1A7DA9" w14:textId="77777777" w:rsidR="00DE508A" w:rsidRPr="007D770B" w:rsidRDefault="00DE508A" w:rsidP="00AE698A">
      <w:pPr>
        <w:numPr>
          <w:ilvl w:val="0"/>
          <w:numId w:val="330"/>
        </w:numPr>
        <w:tabs>
          <w:tab w:val="left" w:pos="360"/>
        </w:tabs>
        <w:spacing w:before="240" w:line="240" w:lineRule="auto"/>
        <w:rPr>
          <w:rFonts w:ascii="Times New Roman" w:hAnsi="Times New Roman"/>
          <w:lang w:val="en-US"/>
        </w:rPr>
      </w:pPr>
      <w:r w:rsidRPr="007D770B">
        <w:rPr>
          <w:rFonts w:ascii="Times New Roman" w:hAnsi="Times New Roman"/>
          <w:lang w:val="en-US"/>
        </w:rPr>
        <w:t>the specifics of the regulatory framework (if applicable).</w:t>
      </w:r>
    </w:p>
    <w:p w14:paraId="56538CCB" w14:textId="77777777" w:rsidR="00DE508A" w:rsidRPr="007D770B" w:rsidRDefault="00DE508A" w:rsidP="00DE508A">
      <w:pPr>
        <w:spacing w:before="240" w:line="240" w:lineRule="auto"/>
        <w:ind w:left="0"/>
        <w:rPr>
          <w:rFonts w:ascii="Times New Roman" w:hAnsi="Times New Roman"/>
          <w:lang w:val="en-US"/>
        </w:rPr>
      </w:pPr>
      <w:r w:rsidRPr="007D770B">
        <w:rPr>
          <w:rFonts w:ascii="Times New Roman" w:hAnsi="Times New Roman"/>
          <w:lang w:val="en-US"/>
        </w:rPr>
        <w:lastRenderedPageBreak/>
        <w:t>The Bank may also combine operating segments that do not meet the quantitative threshold with other operating segments that also do not meet the quantitative thresholds into a single operating segment if those segments have similar economic characteristics and are similar in most of the above factors.</w:t>
      </w:r>
    </w:p>
    <w:p w14:paraId="5E4D1DC3" w14:textId="77777777" w:rsidR="00DE508A" w:rsidRPr="007D770B" w:rsidRDefault="00DE508A" w:rsidP="00DE508A">
      <w:pPr>
        <w:spacing w:before="240" w:line="240" w:lineRule="auto"/>
        <w:ind w:left="0"/>
        <w:rPr>
          <w:rFonts w:ascii="Times New Roman" w:hAnsi="Times New Roman"/>
          <w:b/>
          <w:lang w:val="en-US"/>
        </w:rPr>
      </w:pPr>
      <w:r w:rsidRPr="007D770B">
        <w:rPr>
          <w:rFonts w:ascii="Times New Roman" w:hAnsi="Times New Roman"/>
          <w:b/>
          <w:lang w:val="en-US"/>
        </w:rPr>
        <w:t>Quantitative thresholds</w:t>
      </w:r>
    </w:p>
    <w:p w14:paraId="4F7BAFC2" w14:textId="77777777" w:rsidR="00DE508A" w:rsidRPr="007D770B" w:rsidRDefault="00DE508A" w:rsidP="00DE508A">
      <w:pPr>
        <w:spacing w:before="240" w:line="240" w:lineRule="auto"/>
        <w:ind w:left="0"/>
        <w:rPr>
          <w:rFonts w:ascii="Times New Roman" w:hAnsi="Times New Roman"/>
          <w:lang w:val="en-US"/>
        </w:rPr>
      </w:pPr>
      <w:r w:rsidRPr="007D770B">
        <w:rPr>
          <w:rFonts w:ascii="Times New Roman" w:hAnsi="Times New Roman"/>
          <w:lang w:val="en-US"/>
        </w:rPr>
        <w:t>The Bank presents information separately for an operating segment if its performance exceeds any of the following quantitative thresholds:</w:t>
      </w:r>
    </w:p>
    <w:p w14:paraId="57129139" w14:textId="77777777" w:rsidR="00DE508A" w:rsidRPr="007D770B" w:rsidRDefault="00DE508A" w:rsidP="00AE698A">
      <w:pPr>
        <w:pStyle w:val="aa"/>
        <w:numPr>
          <w:ilvl w:val="0"/>
          <w:numId w:val="331"/>
        </w:numPr>
        <w:spacing w:before="240" w:line="240" w:lineRule="auto"/>
        <w:contextualSpacing w:val="0"/>
        <w:rPr>
          <w:rFonts w:ascii="Times New Roman" w:hAnsi="Times New Roman"/>
          <w:lang w:val="en-US"/>
        </w:rPr>
      </w:pPr>
      <w:r w:rsidRPr="007D770B">
        <w:rPr>
          <w:rFonts w:ascii="Times New Roman" w:hAnsi="Times New Roman"/>
          <w:lang w:val="en-US"/>
        </w:rPr>
        <w:t>its revenue from sales to external customers and from transactions with other segments is ten percent or more of the total revenue (internal and external) of all operating segments;</w:t>
      </w:r>
    </w:p>
    <w:p w14:paraId="7E5A192F" w14:textId="77777777" w:rsidR="00DE508A" w:rsidRPr="007D770B" w:rsidRDefault="00DE508A" w:rsidP="00AE698A">
      <w:pPr>
        <w:pStyle w:val="aa"/>
        <w:numPr>
          <w:ilvl w:val="0"/>
          <w:numId w:val="331"/>
        </w:numPr>
        <w:tabs>
          <w:tab w:val="left" w:pos="0"/>
        </w:tabs>
        <w:spacing w:before="240" w:line="240" w:lineRule="auto"/>
        <w:contextualSpacing w:val="0"/>
        <w:rPr>
          <w:rFonts w:ascii="Times New Roman" w:hAnsi="Times New Roman"/>
          <w:lang w:val="en-US"/>
        </w:rPr>
      </w:pPr>
      <w:r w:rsidRPr="007D770B">
        <w:rPr>
          <w:rFonts w:ascii="Times New Roman" w:hAnsi="Times New Roman"/>
          <w:lang w:val="en-US"/>
        </w:rPr>
        <w:t xml:space="preserve">the result of the relevant segment, whether profit or loss, is ten percent or more in absolute terms of the greater of the combined profit of all the profitable operating segments and the combined loss of all the unprofitable operating segments; </w:t>
      </w:r>
    </w:p>
    <w:p w14:paraId="61852C57" w14:textId="77777777" w:rsidR="00DE508A" w:rsidRPr="007D770B" w:rsidRDefault="00DE508A" w:rsidP="00AE698A">
      <w:pPr>
        <w:pStyle w:val="aa"/>
        <w:numPr>
          <w:ilvl w:val="0"/>
          <w:numId w:val="331"/>
        </w:numPr>
        <w:tabs>
          <w:tab w:val="left" w:pos="0"/>
        </w:tabs>
        <w:spacing w:before="240" w:line="240" w:lineRule="auto"/>
        <w:contextualSpacing w:val="0"/>
        <w:rPr>
          <w:rFonts w:ascii="Times New Roman" w:hAnsi="Times New Roman"/>
          <w:lang w:val="en-US"/>
        </w:rPr>
      </w:pPr>
      <w:r w:rsidRPr="007D770B">
        <w:rPr>
          <w:rFonts w:ascii="Times New Roman" w:hAnsi="Times New Roman"/>
          <w:lang w:val="en-US"/>
        </w:rPr>
        <w:t>its assets are ten percent or more of the total assets of all operating segments.</w:t>
      </w:r>
    </w:p>
    <w:p w14:paraId="4D02E0A5" w14:textId="7EEC6901" w:rsidR="00DE508A" w:rsidRPr="007D770B" w:rsidRDefault="00DE508A" w:rsidP="00DE508A">
      <w:pPr>
        <w:tabs>
          <w:tab w:val="left" w:pos="0"/>
        </w:tabs>
        <w:spacing w:before="240" w:line="240" w:lineRule="auto"/>
        <w:ind w:left="0"/>
        <w:rPr>
          <w:rFonts w:ascii="Times New Roman" w:hAnsi="Times New Roman"/>
          <w:lang w:val="en-US"/>
        </w:rPr>
      </w:pPr>
      <w:r w:rsidRPr="007D770B">
        <w:rPr>
          <w:rFonts w:ascii="Times New Roman" w:hAnsi="Times New Roman"/>
          <w:lang w:val="en-US"/>
        </w:rPr>
        <w:t xml:space="preserve">Operating segments that are below any of the quantitative thresholds may be considered reportable segments and may be disclosed separately if management believes that the segment information is useful to users. </w:t>
      </w:r>
    </w:p>
    <w:p w14:paraId="0270E805" w14:textId="77777777" w:rsidR="00DE508A" w:rsidRPr="007D770B" w:rsidRDefault="00DE508A" w:rsidP="00DE508A">
      <w:pPr>
        <w:spacing w:before="240" w:line="240" w:lineRule="auto"/>
        <w:ind w:left="0"/>
        <w:rPr>
          <w:rFonts w:ascii="Times New Roman" w:hAnsi="Times New Roman"/>
          <w:lang w:val="en-US"/>
        </w:rPr>
      </w:pPr>
      <w:r w:rsidRPr="007D770B">
        <w:rPr>
          <w:rFonts w:ascii="Times New Roman" w:hAnsi="Times New Roman"/>
          <w:lang w:val="en-US"/>
        </w:rPr>
        <w:t>If the aggregate revenue from sales to external customers by operating segment is less than seventy five percent of the Bank's total revenue, the Bank additionally allocates operating segments (even if they do not meet the criteria) until at least seventy five percent of the Bank's revenue is attributable to reportable segments.</w:t>
      </w:r>
    </w:p>
    <w:p w14:paraId="4081C5A2" w14:textId="2690D176" w:rsidR="00DE508A" w:rsidRPr="007D770B" w:rsidRDefault="00DE508A" w:rsidP="00DE508A">
      <w:pPr>
        <w:spacing w:before="240" w:line="240" w:lineRule="auto"/>
        <w:ind w:left="0"/>
        <w:rPr>
          <w:rFonts w:ascii="Times New Roman" w:hAnsi="Times New Roman"/>
          <w:lang w:val="en-US"/>
        </w:rPr>
      </w:pPr>
      <w:r w:rsidRPr="007D770B">
        <w:rPr>
          <w:rFonts w:ascii="Times New Roman" w:hAnsi="Times New Roman"/>
          <w:lang w:val="en-US"/>
        </w:rPr>
        <w:t xml:space="preserve">Other business activities and operating segments that are not reportable are aggregated and disclosed under the category </w:t>
      </w:r>
      <w:r w:rsidR="00802136" w:rsidRPr="007D770B">
        <w:rPr>
          <w:rFonts w:ascii="Times New Roman" w:hAnsi="Times New Roman"/>
          <w:lang w:val="en-US"/>
        </w:rPr>
        <w:t>'</w:t>
      </w:r>
      <w:r w:rsidRPr="007D770B">
        <w:rPr>
          <w:rFonts w:ascii="Times New Roman" w:hAnsi="Times New Roman"/>
          <w:lang w:val="en-US"/>
        </w:rPr>
        <w:t>all other segments</w:t>
      </w:r>
      <w:r w:rsidR="00802136" w:rsidRPr="007D770B">
        <w:rPr>
          <w:rFonts w:ascii="Times New Roman" w:hAnsi="Times New Roman"/>
          <w:lang w:val="en-US"/>
        </w:rPr>
        <w:t xml:space="preserve">' </w:t>
      </w:r>
      <w:r w:rsidRPr="007D770B">
        <w:rPr>
          <w:rFonts w:ascii="Times New Roman" w:hAnsi="Times New Roman"/>
          <w:lang w:val="en-US"/>
        </w:rPr>
        <w:t xml:space="preserve">separately from other reconciling items. Sources of revenue included in the </w:t>
      </w:r>
      <w:r w:rsidR="00802136" w:rsidRPr="007D770B">
        <w:rPr>
          <w:rFonts w:ascii="Times New Roman" w:hAnsi="Times New Roman"/>
          <w:lang w:val="en-US"/>
        </w:rPr>
        <w:t>"</w:t>
      </w:r>
      <w:r w:rsidRPr="007D770B">
        <w:rPr>
          <w:rFonts w:ascii="Times New Roman" w:hAnsi="Times New Roman"/>
          <w:lang w:val="en-US"/>
        </w:rPr>
        <w:t>all other segments</w:t>
      </w:r>
      <w:r w:rsidR="00802136" w:rsidRPr="007D770B">
        <w:rPr>
          <w:rFonts w:ascii="Times New Roman" w:hAnsi="Times New Roman"/>
          <w:lang w:val="en-US"/>
        </w:rPr>
        <w:t xml:space="preserve">" </w:t>
      </w:r>
      <w:r w:rsidRPr="007D770B">
        <w:rPr>
          <w:rFonts w:ascii="Times New Roman" w:hAnsi="Times New Roman"/>
          <w:lang w:val="en-US"/>
        </w:rPr>
        <w:t xml:space="preserve">category must be described. </w:t>
      </w:r>
    </w:p>
    <w:p w14:paraId="4D87AC13" w14:textId="77777777" w:rsidR="00DE508A" w:rsidRPr="007D770B" w:rsidRDefault="00DE508A" w:rsidP="00E61D21">
      <w:pPr>
        <w:pStyle w:val="3"/>
        <w:rPr>
          <w:lang w:val="en-US"/>
        </w:rPr>
      </w:pPr>
      <w:bookmarkStart w:id="398" w:name="_Toc248730857"/>
      <w:bookmarkStart w:id="399" w:name="_Toc271032570"/>
      <w:bookmarkStart w:id="400" w:name="_Toc277340328"/>
      <w:bookmarkStart w:id="401" w:name="_Toc378283524"/>
      <w:bookmarkStart w:id="402" w:name="_Toc168502121"/>
      <w:r w:rsidRPr="007D770B">
        <w:rPr>
          <w:lang w:val="en-US"/>
        </w:rPr>
        <w:t>3.4 Disclosure of</w:t>
      </w:r>
      <w:bookmarkEnd w:id="398"/>
      <w:bookmarkEnd w:id="399"/>
      <w:r w:rsidRPr="007D770B">
        <w:rPr>
          <w:lang w:val="en-US"/>
        </w:rPr>
        <w:t xml:space="preserve"> information</w:t>
      </w:r>
      <w:bookmarkEnd w:id="400"/>
      <w:bookmarkEnd w:id="401"/>
      <w:bookmarkEnd w:id="402"/>
    </w:p>
    <w:p w14:paraId="68E125AC" w14:textId="77777777" w:rsidR="00DE508A" w:rsidRPr="007D770B" w:rsidRDefault="00DE508A" w:rsidP="00DE508A">
      <w:pPr>
        <w:spacing w:before="240" w:line="240" w:lineRule="auto"/>
        <w:ind w:left="0"/>
        <w:rPr>
          <w:rFonts w:ascii="Times New Roman" w:hAnsi="Times New Roman"/>
          <w:b/>
          <w:lang w:val="en-US"/>
        </w:rPr>
      </w:pPr>
      <w:r w:rsidRPr="007D770B">
        <w:rPr>
          <w:rFonts w:ascii="Times New Roman" w:hAnsi="Times New Roman"/>
          <w:b/>
          <w:lang w:val="en-US"/>
        </w:rPr>
        <w:t>General disclosure</w:t>
      </w:r>
    </w:p>
    <w:p w14:paraId="206F3059" w14:textId="77777777" w:rsidR="00DE508A" w:rsidRPr="007D770B" w:rsidRDefault="00DE508A" w:rsidP="00DE508A">
      <w:pPr>
        <w:spacing w:before="240" w:line="240" w:lineRule="auto"/>
        <w:ind w:left="0"/>
        <w:rPr>
          <w:rFonts w:ascii="Times New Roman" w:hAnsi="Times New Roman"/>
          <w:lang w:val="en-US"/>
        </w:rPr>
      </w:pPr>
      <w:r w:rsidRPr="007D770B">
        <w:rPr>
          <w:rFonts w:ascii="Times New Roman" w:hAnsi="Times New Roman"/>
          <w:lang w:val="en-US"/>
        </w:rPr>
        <w:t xml:space="preserve">The Bank discloses the following general information: </w:t>
      </w:r>
    </w:p>
    <w:p w14:paraId="649E7948" w14:textId="77777777" w:rsidR="00DE508A" w:rsidRPr="007D770B" w:rsidRDefault="00DE508A" w:rsidP="00AE698A">
      <w:pPr>
        <w:numPr>
          <w:ilvl w:val="0"/>
          <w:numId w:val="332"/>
        </w:numPr>
        <w:spacing w:before="240" w:line="240" w:lineRule="auto"/>
        <w:rPr>
          <w:rFonts w:ascii="Times New Roman" w:hAnsi="Times New Roman"/>
          <w:lang w:val="en-US"/>
        </w:rPr>
      </w:pPr>
      <w:r w:rsidRPr="007D770B">
        <w:rPr>
          <w:rFonts w:ascii="Times New Roman" w:hAnsi="Times New Roman"/>
          <w:lang w:val="en-US"/>
        </w:rPr>
        <w:t>the factors used to identify the Bank's reportable segments, including organizational structure (e.g., whether management determines the Bank's structure by considering differences in products and services, geographic areas, regulatory frameworks, or combinations of various factors, and whether operating segments have been aggregated) and;</w:t>
      </w:r>
    </w:p>
    <w:p w14:paraId="2E9FACC7" w14:textId="77777777" w:rsidR="00DE508A" w:rsidRPr="007D770B" w:rsidRDefault="00DE508A" w:rsidP="00AE698A">
      <w:pPr>
        <w:numPr>
          <w:ilvl w:val="0"/>
          <w:numId w:val="332"/>
        </w:numPr>
        <w:spacing w:before="240" w:line="240" w:lineRule="auto"/>
        <w:rPr>
          <w:lang w:val="en-US"/>
        </w:rPr>
      </w:pPr>
      <w:r w:rsidRPr="007D770B">
        <w:rPr>
          <w:rFonts w:ascii="Times New Roman" w:hAnsi="Times New Roman"/>
          <w:lang w:val="en-US"/>
        </w:rPr>
        <w:t>types of products and services that generate revenue for each reportable segment.</w:t>
      </w:r>
    </w:p>
    <w:p w14:paraId="3EB41E2B" w14:textId="77777777" w:rsidR="00DE508A" w:rsidRPr="007D770B" w:rsidRDefault="00DE508A" w:rsidP="00DE508A">
      <w:pPr>
        <w:spacing w:before="240" w:line="240" w:lineRule="auto"/>
        <w:ind w:left="0"/>
        <w:rPr>
          <w:rFonts w:ascii="Times New Roman" w:hAnsi="Times New Roman"/>
          <w:b/>
          <w:lang w:val="en-US"/>
        </w:rPr>
      </w:pPr>
    </w:p>
    <w:p w14:paraId="1EF6233A" w14:textId="77777777" w:rsidR="00DE508A" w:rsidRPr="007D770B" w:rsidRDefault="00DE508A" w:rsidP="00DE508A">
      <w:pPr>
        <w:spacing w:before="240" w:line="240" w:lineRule="auto"/>
        <w:ind w:left="0"/>
        <w:rPr>
          <w:rFonts w:ascii="Times New Roman" w:hAnsi="Times New Roman"/>
          <w:b/>
          <w:lang w:val="en-US"/>
        </w:rPr>
      </w:pPr>
    </w:p>
    <w:p w14:paraId="63B2261C" w14:textId="77777777" w:rsidR="00DE508A" w:rsidRPr="007D770B" w:rsidRDefault="00DE508A" w:rsidP="00DE508A">
      <w:pPr>
        <w:spacing w:before="240" w:line="240" w:lineRule="auto"/>
        <w:ind w:left="0"/>
        <w:rPr>
          <w:rFonts w:ascii="Times New Roman" w:hAnsi="Times New Roman"/>
          <w:lang w:val="en-US" w:eastAsia="ru-RU"/>
        </w:rPr>
      </w:pPr>
      <w:r w:rsidRPr="007D770B">
        <w:rPr>
          <w:rFonts w:ascii="Times New Roman" w:hAnsi="Times New Roman"/>
          <w:b/>
          <w:lang w:val="en-US"/>
        </w:rPr>
        <w:t>Disclosure of specific information</w:t>
      </w:r>
    </w:p>
    <w:p w14:paraId="446CE94C" w14:textId="77777777" w:rsidR="00DE508A" w:rsidRPr="007D770B" w:rsidRDefault="00DE508A" w:rsidP="00DE508A">
      <w:pPr>
        <w:spacing w:before="240" w:line="240" w:lineRule="auto"/>
        <w:ind w:left="0"/>
        <w:rPr>
          <w:lang w:val="en-US"/>
        </w:rPr>
      </w:pPr>
      <w:r w:rsidRPr="007D770B">
        <w:rPr>
          <w:rFonts w:ascii="Times New Roman" w:hAnsi="Times New Roman"/>
          <w:lang w:val="en-US" w:eastAsia="ru-RU"/>
        </w:rPr>
        <w:t>The Bank discloses information to enable users to evaluate the specifics, financial performance and economic conditions of its business activities.</w:t>
      </w:r>
    </w:p>
    <w:p w14:paraId="213EDC62" w14:textId="77777777" w:rsidR="00DE508A" w:rsidRPr="007D770B" w:rsidRDefault="00DE508A" w:rsidP="00DE508A">
      <w:pPr>
        <w:spacing w:before="240" w:line="240" w:lineRule="auto"/>
        <w:ind w:left="0"/>
        <w:rPr>
          <w:rFonts w:ascii="Times New Roman" w:hAnsi="Times New Roman"/>
          <w:lang w:val="en-US"/>
        </w:rPr>
      </w:pPr>
      <w:r w:rsidRPr="007D770B">
        <w:rPr>
          <w:rFonts w:ascii="Times New Roman" w:hAnsi="Times New Roman"/>
          <w:lang w:val="en-US"/>
        </w:rPr>
        <w:t>For each period for which the statement of comprehensive income is presented and in respect of each reportable segment, the Bank discloses the following:</w:t>
      </w:r>
    </w:p>
    <w:p w14:paraId="039951EE" w14:textId="77777777" w:rsidR="00DE508A" w:rsidRPr="007D770B" w:rsidRDefault="00DE508A" w:rsidP="00AE698A">
      <w:pPr>
        <w:numPr>
          <w:ilvl w:val="0"/>
          <w:numId w:val="333"/>
        </w:numPr>
        <w:spacing w:before="240" w:line="240" w:lineRule="auto"/>
        <w:rPr>
          <w:rFonts w:ascii="Times New Roman" w:hAnsi="Times New Roman"/>
          <w:lang w:val="en-US"/>
        </w:rPr>
      </w:pPr>
      <w:r w:rsidRPr="007D770B">
        <w:rPr>
          <w:rFonts w:ascii="Times New Roman" w:hAnsi="Times New Roman"/>
          <w:lang w:val="en-US"/>
        </w:rPr>
        <w:t>general information as described above;</w:t>
      </w:r>
    </w:p>
    <w:p w14:paraId="2BE8BF06" w14:textId="77777777" w:rsidR="00DE508A" w:rsidRPr="007D770B" w:rsidRDefault="00DE508A" w:rsidP="00AE698A">
      <w:pPr>
        <w:numPr>
          <w:ilvl w:val="0"/>
          <w:numId w:val="333"/>
        </w:numPr>
        <w:spacing w:before="240" w:line="240" w:lineRule="auto"/>
        <w:rPr>
          <w:rFonts w:ascii="Times New Roman" w:hAnsi="Times New Roman"/>
          <w:lang w:val="en-US"/>
        </w:rPr>
      </w:pPr>
      <w:r w:rsidRPr="007D770B">
        <w:rPr>
          <w:rFonts w:ascii="Times New Roman" w:hAnsi="Times New Roman"/>
          <w:lang w:val="en-US"/>
        </w:rPr>
        <w:t xml:space="preserve">a measure of the reportable segment's profit or loss, as well as the following information: </w:t>
      </w:r>
    </w:p>
    <w:p w14:paraId="1AF51F6D" w14:textId="77777777" w:rsidR="00DE508A" w:rsidRPr="007D770B" w:rsidRDefault="00DE508A" w:rsidP="00AE698A">
      <w:pPr>
        <w:numPr>
          <w:ilvl w:val="0"/>
          <w:numId w:val="326"/>
        </w:numPr>
        <w:tabs>
          <w:tab w:val="clear" w:pos="900"/>
          <w:tab w:val="num" w:pos="1080"/>
        </w:tabs>
        <w:spacing w:before="240" w:line="240" w:lineRule="auto"/>
        <w:ind w:left="1080"/>
        <w:rPr>
          <w:rFonts w:ascii="Times New Roman" w:hAnsi="Times New Roman"/>
          <w:lang w:val="en-US"/>
        </w:rPr>
      </w:pPr>
      <w:r w:rsidRPr="007D770B">
        <w:rPr>
          <w:rFonts w:ascii="Times New Roman" w:hAnsi="Times New Roman"/>
          <w:lang w:val="en-US"/>
        </w:rPr>
        <w:t xml:space="preserve">specific measures of revenues and expenses included in the measure of reportable segment profit or loss; </w:t>
      </w:r>
    </w:p>
    <w:p w14:paraId="48C34EB2" w14:textId="77777777" w:rsidR="00DE508A" w:rsidRPr="007D770B" w:rsidRDefault="00DE508A" w:rsidP="00AE698A">
      <w:pPr>
        <w:numPr>
          <w:ilvl w:val="0"/>
          <w:numId w:val="326"/>
        </w:numPr>
        <w:tabs>
          <w:tab w:val="clear" w:pos="900"/>
          <w:tab w:val="num" w:pos="1080"/>
        </w:tabs>
        <w:spacing w:before="240" w:line="240" w:lineRule="auto"/>
        <w:ind w:left="1080"/>
        <w:rPr>
          <w:rFonts w:ascii="Times New Roman" w:hAnsi="Times New Roman"/>
          <w:lang w:val="en-US"/>
        </w:rPr>
      </w:pPr>
      <w:r w:rsidRPr="007D770B">
        <w:rPr>
          <w:rFonts w:ascii="Times New Roman" w:hAnsi="Times New Roman"/>
          <w:lang w:val="en-US"/>
        </w:rPr>
        <w:t xml:space="preserve">Segment assets and liabilities (if such information is regularly provided to the chief operating decision maker); </w:t>
      </w:r>
    </w:p>
    <w:p w14:paraId="07AEE20D" w14:textId="77777777" w:rsidR="00DE508A" w:rsidRPr="007D770B" w:rsidRDefault="00DE508A" w:rsidP="00AE698A">
      <w:pPr>
        <w:numPr>
          <w:ilvl w:val="0"/>
          <w:numId w:val="334"/>
        </w:numPr>
        <w:tabs>
          <w:tab w:val="left" w:pos="360"/>
        </w:tabs>
        <w:spacing w:before="240" w:line="240" w:lineRule="auto"/>
        <w:rPr>
          <w:rFonts w:ascii="Times New Roman" w:hAnsi="Times New Roman"/>
          <w:lang w:val="en-US"/>
        </w:rPr>
      </w:pPr>
      <w:r w:rsidRPr="007D770B">
        <w:rPr>
          <w:rFonts w:ascii="Times New Roman" w:hAnsi="Times New Roman"/>
          <w:lang w:val="en-US"/>
        </w:rPr>
        <w:lastRenderedPageBreak/>
        <w:t>the results of reconciliation of the following aggregate figures to the Bank's total figures:</w:t>
      </w:r>
    </w:p>
    <w:p w14:paraId="5B22C8F7" w14:textId="77777777" w:rsidR="00DE508A" w:rsidRPr="002D4EA3" w:rsidRDefault="00DE508A" w:rsidP="00AE698A">
      <w:pPr>
        <w:numPr>
          <w:ilvl w:val="0"/>
          <w:numId w:val="326"/>
        </w:numPr>
        <w:tabs>
          <w:tab w:val="clear" w:pos="900"/>
          <w:tab w:val="left" w:pos="360"/>
          <w:tab w:val="num" w:pos="1080"/>
        </w:tabs>
        <w:spacing w:before="240" w:line="240" w:lineRule="auto"/>
        <w:ind w:left="1080"/>
        <w:rPr>
          <w:rFonts w:ascii="Times New Roman" w:hAnsi="Times New Roman"/>
        </w:rPr>
      </w:pPr>
      <w:r w:rsidRPr="002D4EA3">
        <w:rPr>
          <w:rFonts w:ascii="Times New Roman" w:hAnsi="Times New Roman"/>
        </w:rPr>
        <w:t xml:space="preserve">segment revenues; </w:t>
      </w:r>
    </w:p>
    <w:p w14:paraId="60848711" w14:textId="77777777" w:rsidR="00DE508A" w:rsidRPr="007D770B" w:rsidRDefault="00DE508A" w:rsidP="00AE698A">
      <w:pPr>
        <w:numPr>
          <w:ilvl w:val="0"/>
          <w:numId w:val="326"/>
        </w:numPr>
        <w:tabs>
          <w:tab w:val="clear" w:pos="900"/>
          <w:tab w:val="left" w:pos="360"/>
          <w:tab w:val="num" w:pos="1080"/>
        </w:tabs>
        <w:spacing w:before="240" w:line="240" w:lineRule="auto"/>
        <w:ind w:left="1080"/>
        <w:rPr>
          <w:rFonts w:ascii="Times New Roman" w:hAnsi="Times New Roman"/>
          <w:lang w:val="en-US"/>
        </w:rPr>
      </w:pPr>
      <w:r w:rsidRPr="007D770B">
        <w:rPr>
          <w:rFonts w:ascii="Times New Roman" w:hAnsi="Times New Roman"/>
          <w:lang w:val="en-US"/>
        </w:rPr>
        <w:t xml:space="preserve">profit or loss of reportable segments; </w:t>
      </w:r>
    </w:p>
    <w:p w14:paraId="573E8120" w14:textId="77777777" w:rsidR="00DE508A" w:rsidRPr="002D4EA3" w:rsidRDefault="00DE508A" w:rsidP="00AE698A">
      <w:pPr>
        <w:numPr>
          <w:ilvl w:val="0"/>
          <w:numId w:val="326"/>
        </w:numPr>
        <w:tabs>
          <w:tab w:val="clear" w:pos="900"/>
          <w:tab w:val="left" w:pos="360"/>
          <w:tab w:val="num" w:pos="1080"/>
        </w:tabs>
        <w:spacing w:before="240" w:line="240" w:lineRule="auto"/>
        <w:ind w:left="1080"/>
        <w:rPr>
          <w:rFonts w:ascii="Times New Roman" w:hAnsi="Times New Roman"/>
        </w:rPr>
      </w:pPr>
      <w:r>
        <w:rPr>
          <w:rFonts w:ascii="Times New Roman" w:hAnsi="Times New Roman"/>
        </w:rPr>
        <w:t>substantial costs;</w:t>
      </w:r>
    </w:p>
    <w:p w14:paraId="13EC7C53" w14:textId="77777777" w:rsidR="00DE508A" w:rsidRPr="002D4EA3" w:rsidRDefault="00DE508A" w:rsidP="00AE698A">
      <w:pPr>
        <w:numPr>
          <w:ilvl w:val="0"/>
          <w:numId w:val="326"/>
        </w:numPr>
        <w:tabs>
          <w:tab w:val="clear" w:pos="900"/>
          <w:tab w:val="left" w:pos="360"/>
          <w:tab w:val="num" w:pos="1080"/>
        </w:tabs>
        <w:spacing w:before="240" w:line="240" w:lineRule="auto"/>
        <w:ind w:left="1080"/>
        <w:rPr>
          <w:rFonts w:ascii="Times New Roman" w:hAnsi="Times New Roman"/>
        </w:rPr>
      </w:pPr>
      <w:r w:rsidRPr="002D4EA3">
        <w:rPr>
          <w:rFonts w:ascii="Times New Roman" w:hAnsi="Times New Roman"/>
        </w:rPr>
        <w:t xml:space="preserve">segment assets; </w:t>
      </w:r>
    </w:p>
    <w:p w14:paraId="726A2B81" w14:textId="77777777" w:rsidR="00DE508A" w:rsidRPr="002D4EA3" w:rsidRDefault="00DE508A" w:rsidP="00AE698A">
      <w:pPr>
        <w:numPr>
          <w:ilvl w:val="0"/>
          <w:numId w:val="326"/>
        </w:numPr>
        <w:tabs>
          <w:tab w:val="clear" w:pos="900"/>
          <w:tab w:val="left" w:pos="360"/>
          <w:tab w:val="num" w:pos="1080"/>
        </w:tabs>
        <w:spacing w:before="240" w:line="240" w:lineRule="auto"/>
        <w:ind w:left="1080"/>
        <w:rPr>
          <w:rFonts w:ascii="Times New Roman" w:hAnsi="Times New Roman"/>
        </w:rPr>
      </w:pPr>
      <w:r w:rsidRPr="002D4EA3">
        <w:rPr>
          <w:rFonts w:ascii="Times New Roman" w:hAnsi="Times New Roman"/>
        </w:rPr>
        <w:t xml:space="preserve">segment liabilities; </w:t>
      </w:r>
    </w:p>
    <w:p w14:paraId="6E13EC45" w14:textId="77777777" w:rsidR="00DE508A" w:rsidRPr="002D4EA3" w:rsidRDefault="00DE508A" w:rsidP="00AE698A">
      <w:pPr>
        <w:numPr>
          <w:ilvl w:val="0"/>
          <w:numId w:val="326"/>
        </w:numPr>
        <w:tabs>
          <w:tab w:val="clear" w:pos="900"/>
          <w:tab w:val="left" w:pos="360"/>
          <w:tab w:val="num" w:pos="1080"/>
        </w:tabs>
        <w:spacing w:before="240" w:line="240" w:lineRule="auto"/>
        <w:ind w:left="1080"/>
        <w:rPr>
          <w:rFonts w:ascii="Times New Roman" w:hAnsi="Times New Roman"/>
        </w:rPr>
      </w:pPr>
      <w:r w:rsidRPr="002D4EA3">
        <w:rPr>
          <w:rFonts w:ascii="Times New Roman" w:hAnsi="Times New Roman"/>
        </w:rPr>
        <w:t>other significant segment items.</w:t>
      </w:r>
    </w:p>
    <w:p w14:paraId="0D5C0F60" w14:textId="77777777" w:rsidR="00DE508A" w:rsidRPr="007D770B" w:rsidRDefault="00DE508A" w:rsidP="00DE508A">
      <w:pPr>
        <w:spacing w:before="240" w:line="240" w:lineRule="auto"/>
        <w:ind w:left="0"/>
        <w:rPr>
          <w:rFonts w:ascii="Times New Roman" w:hAnsi="Times New Roman"/>
          <w:b/>
          <w:lang w:val="en-US"/>
        </w:rPr>
      </w:pPr>
      <w:r w:rsidRPr="007D770B">
        <w:rPr>
          <w:rFonts w:ascii="Times New Roman" w:hAnsi="Times New Roman"/>
          <w:b/>
          <w:lang w:val="en-US"/>
        </w:rPr>
        <w:t>Disclosure of profit or loss, assets and liabilities</w:t>
      </w:r>
    </w:p>
    <w:p w14:paraId="1FC6968A" w14:textId="77777777" w:rsidR="00DE508A" w:rsidRPr="007D770B" w:rsidRDefault="00DE508A" w:rsidP="00DE508A">
      <w:pPr>
        <w:spacing w:before="240" w:line="240" w:lineRule="auto"/>
        <w:ind w:left="0"/>
        <w:rPr>
          <w:rFonts w:ascii="Times New Roman" w:hAnsi="Times New Roman"/>
          <w:lang w:val="en-US"/>
        </w:rPr>
      </w:pPr>
      <w:r w:rsidRPr="007D770B">
        <w:rPr>
          <w:rFonts w:ascii="Times New Roman" w:hAnsi="Times New Roman"/>
          <w:lang w:val="en-US"/>
        </w:rPr>
        <w:t>For each reportable segment, the Bank discloses an estimate of profit or loss. The Bank discloses a measure of total assets and liabilities for each reportable segment if such amount is regularly provided to the chief operating decision maker for review.</w:t>
      </w:r>
    </w:p>
    <w:p w14:paraId="2089FC9C" w14:textId="77777777" w:rsidR="00DE508A" w:rsidRPr="007D770B" w:rsidRDefault="00DE508A" w:rsidP="00DE508A">
      <w:pPr>
        <w:spacing w:before="240" w:line="240" w:lineRule="auto"/>
        <w:ind w:left="0"/>
        <w:rPr>
          <w:rFonts w:ascii="Times New Roman" w:hAnsi="Times New Roman"/>
          <w:lang w:val="en-US"/>
        </w:rPr>
      </w:pPr>
      <w:r w:rsidRPr="007D770B">
        <w:rPr>
          <w:rFonts w:ascii="Times New Roman" w:hAnsi="Times New Roman"/>
          <w:lang w:val="en-US"/>
        </w:rPr>
        <w:t>The Bank also discloses the following measures for each reportable segment if the amounts are included in the measure of segment profit or loss reported to the chief operating decision maker or if, even if not included in that measure of segment profit or loss, such amounts are regularly reviewed by the chief operating decision maker:</w:t>
      </w:r>
    </w:p>
    <w:p w14:paraId="68ACA34B" w14:textId="77777777" w:rsidR="00DE508A" w:rsidRPr="007D770B" w:rsidRDefault="00DE508A" w:rsidP="00AE698A">
      <w:pPr>
        <w:numPr>
          <w:ilvl w:val="0"/>
          <w:numId w:val="335"/>
        </w:numPr>
        <w:spacing w:before="240" w:line="240" w:lineRule="auto"/>
        <w:rPr>
          <w:rFonts w:ascii="Times New Roman" w:hAnsi="Times New Roman"/>
          <w:lang w:val="en-US"/>
        </w:rPr>
      </w:pPr>
      <w:r w:rsidRPr="007D770B">
        <w:rPr>
          <w:rFonts w:ascii="Times New Roman" w:hAnsi="Times New Roman"/>
          <w:lang w:val="en-US"/>
        </w:rPr>
        <w:t>revenues received from external customers;</w:t>
      </w:r>
    </w:p>
    <w:p w14:paraId="42015E0C" w14:textId="77777777" w:rsidR="00DE508A" w:rsidRPr="007D770B" w:rsidRDefault="00DE508A" w:rsidP="00AE698A">
      <w:pPr>
        <w:numPr>
          <w:ilvl w:val="0"/>
          <w:numId w:val="335"/>
        </w:numPr>
        <w:spacing w:before="240" w:line="240" w:lineRule="auto"/>
        <w:rPr>
          <w:rFonts w:ascii="Times New Roman" w:hAnsi="Times New Roman"/>
          <w:lang w:val="en-US"/>
        </w:rPr>
      </w:pPr>
      <w:r w:rsidRPr="007D770B">
        <w:rPr>
          <w:rFonts w:ascii="Times New Roman" w:hAnsi="Times New Roman"/>
          <w:lang w:val="en-US"/>
        </w:rPr>
        <w:t xml:space="preserve">income from transactions with other operating segments of the Bank; </w:t>
      </w:r>
    </w:p>
    <w:p w14:paraId="4981B81E" w14:textId="77777777" w:rsidR="00DE508A" w:rsidRPr="002D4EA3" w:rsidRDefault="00DE508A" w:rsidP="00AE698A">
      <w:pPr>
        <w:numPr>
          <w:ilvl w:val="0"/>
          <w:numId w:val="335"/>
        </w:numPr>
        <w:spacing w:before="240" w:line="240" w:lineRule="auto"/>
        <w:rPr>
          <w:rFonts w:ascii="Times New Roman" w:hAnsi="Times New Roman"/>
        </w:rPr>
      </w:pPr>
      <w:r w:rsidRPr="002D4EA3">
        <w:rPr>
          <w:rFonts w:ascii="Times New Roman" w:hAnsi="Times New Roman"/>
        </w:rPr>
        <w:t>interest income;</w:t>
      </w:r>
    </w:p>
    <w:p w14:paraId="108134DD" w14:textId="77777777" w:rsidR="00DE508A" w:rsidRPr="002D4EA3" w:rsidRDefault="00DE508A" w:rsidP="00AE698A">
      <w:pPr>
        <w:numPr>
          <w:ilvl w:val="0"/>
          <w:numId w:val="335"/>
        </w:numPr>
        <w:spacing w:before="240" w:line="240" w:lineRule="auto"/>
        <w:rPr>
          <w:rFonts w:ascii="Times New Roman" w:hAnsi="Times New Roman"/>
        </w:rPr>
      </w:pPr>
      <w:r w:rsidRPr="002D4EA3">
        <w:rPr>
          <w:rFonts w:ascii="Times New Roman" w:hAnsi="Times New Roman"/>
        </w:rPr>
        <w:t>interest expense;</w:t>
      </w:r>
    </w:p>
    <w:p w14:paraId="47D5AD38" w14:textId="77777777" w:rsidR="00DE508A" w:rsidRPr="002D4EA3" w:rsidRDefault="00DE508A" w:rsidP="00AE698A">
      <w:pPr>
        <w:numPr>
          <w:ilvl w:val="0"/>
          <w:numId w:val="335"/>
        </w:numPr>
        <w:spacing w:before="240" w:line="240" w:lineRule="auto"/>
        <w:rPr>
          <w:rFonts w:ascii="Times New Roman" w:hAnsi="Times New Roman"/>
        </w:rPr>
      </w:pPr>
      <w:r w:rsidRPr="002D4EA3">
        <w:rPr>
          <w:rFonts w:ascii="Times New Roman" w:hAnsi="Times New Roman"/>
        </w:rPr>
        <w:t>depreciation and amortization;</w:t>
      </w:r>
    </w:p>
    <w:p w14:paraId="6B631A41" w14:textId="1D42A002" w:rsidR="00DE508A" w:rsidRPr="007D770B" w:rsidRDefault="00DE508A" w:rsidP="00AE698A">
      <w:pPr>
        <w:numPr>
          <w:ilvl w:val="0"/>
          <w:numId w:val="335"/>
        </w:numPr>
        <w:spacing w:before="240" w:line="240" w:lineRule="auto"/>
        <w:rPr>
          <w:rFonts w:ascii="Times New Roman" w:hAnsi="Times New Roman"/>
          <w:lang w:val="en-US"/>
        </w:rPr>
      </w:pPr>
      <w:r w:rsidRPr="007D770B">
        <w:rPr>
          <w:rFonts w:ascii="Times New Roman" w:hAnsi="Times New Roman"/>
          <w:lang w:val="en-US"/>
        </w:rPr>
        <w:t xml:space="preserve">material items of income and expense disclosed in accordance with Section 1 Presentation of Financial Statements (IAS 1) </w:t>
      </w:r>
      <w:r w:rsidR="00802136" w:rsidRPr="007D770B">
        <w:rPr>
          <w:rFonts w:ascii="Times New Roman" w:hAnsi="Times New Roman"/>
          <w:lang w:val="en-US"/>
        </w:rPr>
        <w:t xml:space="preserve">of </w:t>
      </w:r>
      <w:r w:rsidRPr="007D770B">
        <w:rPr>
          <w:rFonts w:ascii="Times New Roman" w:hAnsi="Times New Roman"/>
          <w:lang w:val="en-US"/>
        </w:rPr>
        <w:t xml:space="preserve">Chapter 1; </w:t>
      </w:r>
    </w:p>
    <w:p w14:paraId="53F31271" w14:textId="77777777" w:rsidR="00DE508A" w:rsidRPr="007D770B" w:rsidRDefault="00DE508A" w:rsidP="00AE698A">
      <w:pPr>
        <w:numPr>
          <w:ilvl w:val="0"/>
          <w:numId w:val="335"/>
        </w:numPr>
        <w:spacing w:before="240" w:line="240" w:lineRule="auto"/>
        <w:rPr>
          <w:rFonts w:ascii="Times New Roman" w:hAnsi="Times New Roman"/>
          <w:lang w:val="en-US"/>
        </w:rPr>
      </w:pPr>
      <w:r w:rsidRPr="007D770B">
        <w:rPr>
          <w:rFonts w:ascii="Times New Roman" w:hAnsi="Times New Roman"/>
          <w:lang w:val="en-US"/>
        </w:rPr>
        <w:t>the Bank's share in the profit or loss of associates and joint ventures;</w:t>
      </w:r>
    </w:p>
    <w:p w14:paraId="2F17695F" w14:textId="77777777" w:rsidR="00DE508A" w:rsidRPr="007D770B" w:rsidRDefault="00DE508A" w:rsidP="00AE698A">
      <w:pPr>
        <w:numPr>
          <w:ilvl w:val="0"/>
          <w:numId w:val="335"/>
        </w:numPr>
        <w:spacing w:before="240" w:line="240" w:lineRule="auto"/>
        <w:rPr>
          <w:rFonts w:ascii="Times New Roman" w:hAnsi="Times New Roman"/>
          <w:lang w:val="en-US"/>
        </w:rPr>
      </w:pPr>
      <w:r w:rsidRPr="007D770B">
        <w:rPr>
          <w:rFonts w:ascii="Times New Roman" w:hAnsi="Times New Roman"/>
          <w:lang w:val="en-US"/>
        </w:rPr>
        <w:t xml:space="preserve">income tax expense (or income); </w:t>
      </w:r>
    </w:p>
    <w:p w14:paraId="30321FB4" w14:textId="77777777" w:rsidR="00DE508A" w:rsidRPr="007D770B" w:rsidRDefault="00DE508A" w:rsidP="00AE698A">
      <w:pPr>
        <w:numPr>
          <w:ilvl w:val="0"/>
          <w:numId w:val="335"/>
        </w:numPr>
        <w:spacing w:before="240" w:line="240" w:lineRule="auto"/>
        <w:rPr>
          <w:rFonts w:ascii="Times New Roman" w:hAnsi="Times New Roman"/>
          <w:lang w:val="en-US"/>
        </w:rPr>
      </w:pPr>
      <w:r w:rsidRPr="007D770B">
        <w:rPr>
          <w:rFonts w:ascii="Times New Roman" w:hAnsi="Times New Roman"/>
          <w:lang w:val="en-US"/>
        </w:rPr>
        <w:t>significant non-cash items other than depreciation and amortization.</w:t>
      </w:r>
    </w:p>
    <w:p w14:paraId="0DF70D17" w14:textId="77777777" w:rsidR="00DE508A" w:rsidRPr="007D770B" w:rsidRDefault="00DE508A" w:rsidP="00DE508A">
      <w:pPr>
        <w:spacing w:before="240" w:line="240" w:lineRule="auto"/>
        <w:ind w:left="0"/>
        <w:rPr>
          <w:rFonts w:ascii="Times New Roman" w:hAnsi="Times New Roman"/>
          <w:lang w:val="en-US"/>
        </w:rPr>
      </w:pPr>
      <w:r w:rsidRPr="007D770B">
        <w:rPr>
          <w:rFonts w:ascii="Times New Roman" w:hAnsi="Times New Roman"/>
          <w:lang w:val="en-US"/>
        </w:rPr>
        <w:t xml:space="preserve">The Bank discloses separately both interest income and interest expense unless the majority of segment income is derived from interest and the chief operating decision maker is primarily focused on interest income less interest expense in assessing segment performance. </w:t>
      </w:r>
    </w:p>
    <w:p w14:paraId="59BDF6E2" w14:textId="77777777" w:rsidR="00DE508A" w:rsidRPr="007D770B" w:rsidRDefault="00DE508A" w:rsidP="00DE508A">
      <w:pPr>
        <w:spacing w:before="240" w:line="240" w:lineRule="auto"/>
        <w:ind w:left="0"/>
        <w:rPr>
          <w:rFonts w:ascii="Times New Roman" w:hAnsi="Times New Roman"/>
          <w:lang w:val="en-US"/>
        </w:rPr>
      </w:pPr>
      <w:r w:rsidRPr="007D770B">
        <w:rPr>
          <w:rFonts w:ascii="Times New Roman" w:hAnsi="Times New Roman"/>
          <w:lang w:val="en-US"/>
        </w:rPr>
        <w:t>For each reportable segment, the Bank discloses the following information if specific amounts of the following measures are included in measures of segment assets that are reviewed by the chief operating decision maker or are regularly provided to that decision maker in the normal course of business, even if those amounts are not included in measures of segment assets:</w:t>
      </w:r>
    </w:p>
    <w:p w14:paraId="67B51989" w14:textId="77777777" w:rsidR="00DE508A" w:rsidRPr="007D770B" w:rsidRDefault="00DE508A" w:rsidP="00AE698A">
      <w:pPr>
        <w:numPr>
          <w:ilvl w:val="0"/>
          <w:numId w:val="336"/>
        </w:numPr>
        <w:spacing w:before="240" w:line="240" w:lineRule="auto"/>
        <w:rPr>
          <w:rFonts w:ascii="Times New Roman" w:hAnsi="Times New Roman"/>
          <w:lang w:val="en-US"/>
        </w:rPr>
      </w:pPr>
      <w:r w:rsidRPr="007D770B">
        <w:rPr>
          <w:rFonts w:ascii="Times New Roman" w:hAnsi="Times New Roman"/>
          <w:lang w:val="en-US"/>
        </w:rPr>
        <w:t>amounts invested in associates and joint ventures;</w:t>
      </w:r>
    </w:p>
    <w:p w14:paraId="29A18A04" w14:textId="77777777" w:rsidR="00DE508A" w:rsidRPr="007D770B" w:rsidRDefault="00DE508A" w:rsidP="00AE698A">
      <w:pPr>
        <w:numPr>
          <w:ilvl w:val="0"/>
          <w:numId w:val="336"/>
        </w:numPr>
        <w:spacing w:before="240" w:line="240" w:lineRule="auto"/>
        <w:rPr>
          <w:rFonts w:ascii="Times New Roman" w:hAnsi="Times New Roman"/>
          <w:lang w:val="en-US"/>
        </w:rPr>
      </w:pPr>
      <w:r w:rsidRPr="007D770B">
        <w:rPr>
          <w:rFonts w:ascii="Times New Roman" w:hAnsi="Times New Roman"/>
          <w:lang w:val="en-US"/>
        </w:rPr>
        <w:t>amounts of acquired non-current assets other than financial instruments, deferred tax assets, pension assets and rights arising from insurance contracts;</w:t>
      </w:r>
    </w:p>
    <w:p w14:paraId="35388ED9" w14:textId="77777777" w:rsidR="00DE508A" w:rsidRPr="002D4EA3" w:rsidRDefault="00DE508A" w:rsidP="00DE508A">
      <w:pPr>
        <w:spacing w:before="240" w:line="240" w:lineRule="auto"/>
        <w:ind w:left="0"/>
        <w:rPr>
          <w:rFonts w:ascii="Times New Roman" w:hAnsi="Times New Roman"/>
        </w:rPr>
      </w:pPr>
      <w:r w:rsidRPr="007D770B">
        <w:rPr>
          <w:rFonts w:ascii="Times New Roman" w:hAnsi="Times New Roman"/>
          <w:lang w:val="en-US"/>
        </w:rPr>
        <w:t xml:space="preserve">The Bank explains the measurement of segment profit or loss, segment assets and segment liabilities for each reportable segment. </w:t>
      </w:r>
      <w:r w:rsidRPr="002D4EA3">
        <w:rPr>
          <w:rFonts w:ascii="Times New Roman" w:hAnsi="Times New Roman"/>
        </w:rPr>
        <w:t xml:space="preserve">The </w:t>
      </w:r>
      <w:r>
        <w:rPr>
          <w:rFonts w:ascii="Times New Roman" w:hAnsi="Times New Roman"/>
        </w:rPr>
        <w:t xml:space="preserve">Bank </w:t>
      </w:r>
      <w:r w:rsidRPr="002D4EA3">
        <w:rPr>
          <w:rFonts w:ascii="Times New Roman" w:hAnsi="Times New Roman"/>
        </w:rPr>
        <w:t xml:space="preserve">discloses at least the following: </w:t>
      </w:r>
    </w:p>
    <w:p w14:paraId="55CCFB0A" w14:textId="77777777" w:rsidR="00DE508A" w:rsidRPr="007D770B" w:rsidRDefault="00DE508A" w:rsidP="00AE698A">
      <w:pPr>
        <w:numPr>
          <w:ilvl w:val="0"/>
          <w:numId w:val="337"/>
        </w:numPr>
        <w:spacing w:before="240" w:line="240" w:lineRule="auto"/>
        <w:rPr>
          <w:rFonts w:ascii="Times New Roman" w:hAnsi="Times New Roman"/>
          <w:lang w:val="en-US"/>
        </w:rPr>
      </w:pPr>
      <w:r w:rsidRPr="007D770B">
        <w:rPr>
          <w:rFonts w:ascii="Times New Roman" w:hAnsi="Times New Roman"/>
          <w:lang w:val="en-US"/>
        </w:rPr>
        <w:t>the basis of accounting for transactions between reportable segments;</w:t>
      </w:r>
    </w:p>
    <w:p w14:paraId="33C7912A" w14:textId="77777777" w:rsidR="00DE508A" w:rsidRPr="007D770B" w:rsidRDefault="00DE508A" w:rsidP="00AE698A">
      <w:pPr>
        <w:numPr>
          <w:ilvl w:val="0"/>
          <w:numId w:val="337"/>
        </w:numPr>
        <w:spacing w:before="240" w:line="240" w:lineRule="auto"/>
        <w:rPr>
          <w:rFonts w:ascii="Times New Roman" w:hAnsi="Times New Roman"/>
          <w:lang w:val="en-US"/>
        </w:rPr>
      </w:pPr>
      <w:r w:rsidRPr="007D770B">
        <w:rPr>
          <w:rFonts w:ascii="Times New Roman" w:hAnsi="Times New Roman"/>
          <w:lang w:val="en-US"/>
        </w:rPr>
        <w:t xml:space="preserve">the nature of the difference between: </w:t>
      </w:r>
    </w:p>
    <w:p w14:paraId="0A18CCA1" w14:textId="77777777" w:rsidR="00DE508A" w:rsidRPr="007D770B" w:rsidRDefault="00DE508A" w:rsidP="00AE698A">
      <w:pPr>
        <w:numPr>
          <w:ilvl w:val="0"/>
          <w:numId w:val="327"/>
        </w:numPr>
        <w:spacing w:before="240" w:line="240" w:lineRule="auto"/>
        <w:rPr>
          <w:rFonts w:ascii="Times New Roman" w:hAnsi="Times New Roman"/>
          <w:lang w:val="en-US"/>
        </w:rPr>
      </w:pPr>
      <w:r w:rsidRPr="007D770B">
        <w:rPr>
          <w:rFonts w:ascii="Times New Roman" w:hAnsi="Times New Roman"/>
          <w:lang w:val="en-US"/>
        </w:rPr>
        <w:lastRenderedPageBreak/>
        <w:t>measures of profit or loss, assets and liabilities of reportable segments; and</w:t>
      </w:r>
    </w:p>
    <w:p w14:paraId="746F0431" w14:textId="67B42DD2" w:rsidR="00DE508A" w:rsidRPr="007D770B" w:rsidRDefault="00DE508A" w:rsidP="00AE698A">
      <w:pPr>
        <w:numPr>
          <w:ilvl w:val="0"/>
          <w:numId w:val="327"/>
        </w:numPr>
        <w:spacing w:before="240" w:line="240" w:lineRule="auto"/>
        <w:rPr>
          <w:rFonts w:ascii="Times New Roman" w:hAnsi="Times New Roman"/>
          <w:lang w:val="en-US"/>
        </w:rPr>
      </w:pPr>
      <w:r w:rsidRPr="007D770B">
        <w:rPr>
          <w:rFonts w:ascii="Times New Roman" w:hAnsi="Times New Roman"/>
          <w:lang w:val="en-US"/>
        </w:rPr>
        <w:t xml:space="preserve">the Bank's profit or loss before income tax expense (or related income) and discontinued operations, assets and </w:t>
      </w:r>
      <w:r w:rsidR="006B64E7" w:rsidRPr="007D770B">
        <w:rPr>
          <w:rFonts w:ascii="Times New Roman" w:hAnsi="Times New Roman"/>
          <w:lang w:val="en-US"/>
        </w:rPr>
        <w:t xml:space="preserve">liabilities, respectively </w:t>
      </w:r>
      <w:r w:rsidRPr="007D770B">
        <w:rPr>
          <w:rFonts w:ascii="Times New Roman" w:hAnsi="Times New Roman"/>
          <w:lang w:val="en-US"/>
        </w:rPr>
        <w:t>(if this difference is not apparent from the reconciliation);</w:t>
      </w:r>
    </w:p>
    <w:p w14:paraId="6200C57C" w14:textId="77777777" w:rsidR="00DE508A" w:rsidRPr="007D770B" w:rsidRDefault="00DE508A" w:rsidP="00AE698A">
      <w:pPr>
        <w:numPr>
          <w:ilvl w:val="0"/>
          <w:numId w:val="338"/>
        </w:numPr>
        <w:spacing w:before="240" w:line="240" w:lineRule="auto"/>
        <w:rPr>
          <w:rFonts w:ascii="Times New Roman" w:hAnsi="Times New Roman"/>
          <w:lang w:val="en-US"/>
        </w:rPr>
      </w:pPr>
      <w:r w:rsidRPr="007D770B">
        <w:rPr>
          <w:rFonts w:ascii="Times New Roman" w:hAnsi="Times New Roman"/>
          <w:lang w:val="en-US"/>
        </w:rPr>
        <w:t>the nature of the changes from prior periods in the measurement methods used to determine the reportable segment's profit or loss and the effect, if any, of those changes on the segment's profit or loss;</w:t>
      </w:r>
    </w:p>
    <w:p w14:paraId="52A4FF49" w14:textId="77777777" w:rsidR="00DE508A" w:rsidRPr="007D770B" w:rsidRDefault="00DE508A" w:rsidP="00AE698A">
      <w:pPr>
        <w:numPr>
          <w:ilvl w:val="0"/>
          <w:numId w:val="338"/>
        </w:numPr>
        <w:spacing w:before="240" w:line="240" w:lineRule="auto"/>
        <w:rPr>
          <w:rFonts w:ascii="Times New Roman" w:hAnsi="Times New Roman"/>
          <w:lang w:val="en-US"/>
        </w:rPr>
      </w:pPr>
      <w:r w:rsidRPr="007D770B">
        <w:rPr>
          <w:rFonts w:ascii="Times New Roman" w:hAnsi="Times New Roman"/>
          <w:lang w:val="en-US"/>
        </w:rPr>
        <w:t xml:space="preserve">the nature and effect of asymmetric distribution on reportable segments. </w:t>
      </w:r>
    </w:p>
    <w:p w14:paraId="1EE27A2C" w14:textId="77777777" w:rsidR="00DE508A" w:rsidRPr="007D770B" w:rsidRDefault="00DE508A" w:rsidP="00DE508A">
      <w:pPr>
        <w:spacing w:before="240" w:line="240" w:lineRule="auto"/>
        <w:ind w:left="0"/>
        <w:rPr>
          <w:rFonts w:ascii="Times New Roman" w:hAnsi="Times New Roman"/>
          <w:b/>
          <w:lang w:val="en-US"/>
        </w:rPr>
      </w:pPr>
      <w:r w:rsidRPr="007D770B">
        <w:rPr>
          <w:rFonts w:ascii="Times New Roman" w:hAnsi="Times New Roman"/>
          <w:b/>
          <w:lang w:val="en-US"/>
        </w:rPr>
        <w:t>Reconciliation of information</w:t>
      </w:r>
    </w:p>
    <w:p w14:paraId="7175BDFA" w14:textId="77777777" w:rsidR="00DE508A" w:rsidRPr="007D770B" w:rsidRDefault="00DE508A" w:rsidP="00DE508A">
      <w:pPr>
        <w:spacing w:before="240" w:line="240" w:lineRule="auto"/>
        <w:ind w:left="0"/>
        <w:rPr>
          <w:rFonts w:ascii="Times New Roman" w:hAnsi="Times New Roman"/>
          <w:lang w:val="en-US"/>
        </w:rPr>
      </w:pPr>
      <w:r w:rsidRPr="007D770B">
        <w:rPr>
          <w:rFonts w:ascii="Times New Roman" w:hAnsi="Times New Roman"/>
          <w:lang w:val="en-US"/>
        </w:rPr>
        <w:t xml:space="preserve">The Bank presents reconciliations of the following information: </w:t>
      </w:r>
    </w:p>
    <w:p w14:paraId="4D061169" w14:textId="77777777" w:rsidR="00DE508A" w:rsidRPr="007D770B" w:rsidRDefault="00DE508A" w:rsidP="00AE698A">
      <w:pPr>
        <w:numPr>
          <w:ilvl w:val="0"/>
          <w:numId w:val="339"/>
        </w:numPr>
        <w:spacing w:before="240" w:line="240" w:lineRule="auto"/>
        <w:rPr>
          <w:rFonts w:ascii="Times New Roman" w:hAnsi="Times New Roman"/>
          <w:lang w:val="en-US"/>
        </w:rPr>
      </w:pPr>
      <w:r w:rsidRPr="007D770B">
        <w:rPr>
          <w:rFonts w:ascii="Times New Roman" w:hAnsi="Times New Roman"/>
          <w:lang w:val="en-US"/>
        </w:rPr>
        <w:t>total revenues of the reportable segments with the Bank's revenues;</w:t>
      </w:r>
    </w:p>
    <w:p w14:paraId="7CD6D111" w14:textId="77777777" w:rsidR="00DE508A" w:rsidRPr="007D770B" w:rsidRDefault="00DE508A" w:rsidP="00AE698A">
      <w:pPr>
        <w:numPr>
          <w:ilvl w:val="0"/>
          <w:numId w:val="339"/>
        </w:numPr>
        <w:spacing w:before="240" w:line="240" w:lineRule="auto"/>
        <w:rPr>
          <w:rFonts w:ascii="Times New Roman" w:hAnsi="Times New Roman"/>
          <w:lang w:val="en-US"/>
        </w:rPr>
      </w:pPr>
      <w:r w:rsidRPr="007D770B">
        <w:rPr>
          <w:rFonts w:ascii="Times New Roman" w:hAnsi="Times New Roman"/>
          <w:lang w:val="en-US"/>
        </w:rPr>
        <w:t>aggregate measures of profit or loss of reportable segments with the Bank's profit or loss before tax expense (tax income) and discontinued operations;</w:t>
      </w:r>
    </w:p>
    <w:p w14:paraId="581F76E8" w14:textId="77777777" w:rsidR="00DE508A" w:rsidRPr="007D770B" w:rsidRDefault="00DE508A" w:rsidP="00AE698A">
      <w:pPr>
        <w:numPr>
          <w:ilvl w:val="0"/>
          <w:numId w:val="339"/>
        </w:numPr>
        <w:spacing w:before="240" w:line="240" w:lineRule="auto"/>
        <w:rPr>
          <w:rFonts w:ascii="Times New Roman" w:hAnsi="Times New Roman"/>
          <w:lang w:val="en-US"/>
        </w:rPr>
      </w:pPr>
      <w:r w:rsidRPr="007D770B">
        <w:rPr>
          <w:rFonts w:ascii="Times New Roman" w:hAnsi="Times New Roman"/>
          <w:lang w:val="en-US"/>
        </w:rPr>
        <w:t>total assets of reportable segments with the Bank's assets;</w:t>
      </w:r>
    </w:p>
    <w:p w14:paraId="4A217454" w14:textId="77777777" w:rsidR="00DE508A" w:rsidRPr="007D770B" w:rsidRDefault="00DE508A" w:rsidP="00AE698A">
      <w:pPr>
        <w:numPr>
          <w:ilvl w:val="0"/>
          <w:numId w:val="339"/>
        </w:numPr>
        <w:spacing w:before="240" w:line="240" w:lineRule="auto"/>
        <w:rPr>
          <w:rFonts w:ascii="Times New Roman" w:hAnsi="Times New Roman"/>
          <w:lang w:val="en-US"/>
        </w:rPr>
      </w:pPr>
      <w:r w:rsidRPr="007D770B">
        <w:rPr>
          <w:rFonts w:ascii="Times New Roman" w:hAnsi="Times New Roman"/>
          <w:lang w:val="en-US"/>
        </w:rPr>
        <w:t xml:space="preserve">aggregate reportable segment liabilities with the Bank's liabilities (unless such liabilities are regularly provided to the entity's chief operating decision maker); </w:t>
      </w:r>
    </w:p>
    <w:p w14:paraId="00789063" w14:textId="77777777" w:rsidR="00DE508A" w:rsidRPr="007D770B" w:rsidRDefault="00DE508A" w:rsidP="00AE698A">
      <w:pPr>
        <w:numPr>
          <w:ilvl w:val="0"/>
          <w:numId w:val="339"/>
        </w:numPr>
        <w:spacing w:before="240" w:line="240" w:lineRule="auto"/>
        <w:rPr>
          <w:rFonts w:ascii="Times New Roman" w:hAnsi="Times New Roman"/>
          <w:lang w:val="en-US"/>
        </w:rPr>
      </w:pPr>
      <w:r w:rsidRPr="007D770B">
        <w:rPr>
          <w:rFonts w:ascii="Times New Roman" w:hAnsi="Times New Roman"/>
          <w:lang w:val="en-US"/>
        </w:rPr>
        <w:t>aggregate measures of reportable segments in respect of each significant component of information disclosed for the relevant measure of the Bank.</w:t>
      </w:r>
    </w:p>
    <w:p w14:paraId="2C47DF96" w14:textId="77777777" w:rsidR="00DE508A" w:rsidRPr="007D770B" w:rsidRDefault="00DE508A" w:rsidP="00DE508A">
      <w:pPr>
        <w:spacing w:before="240" w:line="240" w:lineRule="auto"/>
        <w:ind w:left="0"/>
        <w:rPr>
          <w:rFonts w:ascii="Times New Roman" w:hAnsi="Times New Roman"/>
          <w:lang w:val="en-US"/>
        </w:rPr>
      </w:pPr>
      <w:r w:rsidRPr="007D770B">
        <w:rPr>
          <w:rFonts w:ascii="Times New Roman" w:hAnsi="Times New Roman"/>
          <w:lang w:val="en-US"/>
        </w:rPr>
        <w:t>All reconciled material items should be presented separately and annotated.</w:t>
      </w:r>
    </w:p>
    <w:p w14:paraId="5C594B1E" w14:textId="77777777" w:rsidR="00DE508A" w:rsidRPr="007D770B" w:rsidRDefault="00DE508A" w:rsidP="00DE508A">
      <w:pPr>
        <w:spacing w:before="240" w:line="240" w:lineRule="auto"/>
        <w:ind w:left="0"/>
        <w:rPr>
          <w:rFonts w:ascii="Times New Roman" w:hAnsi="Times New Roman"/>
          <w:b/>
          <w:lang w:val="en-US"/>
        </w:rPr>
      </w:pPr>
      <w:r w:rsidRPr="007D770B">
        <w:rPr>
          <w:rFonts w:ascii="Times New Roman" w:hAnsi="Times New Roman"/>
          <w:b/>
          <w:lang w:val="en-US"/>
        </w:rPr>
        <w:t xml:space="preserve">Restatement of information provided for prior periods </w:t>
      </w:r>
    </w:p>
    <w:p w14:paraId="68A3AA21" w14:textId="77777777" w:rsidR="00DE508A" w:rsidRPr="007D770B" w:rsidRDefault="00DE508A" w:rsidP="00DE508A">
      <w:pPr>
        <w:spacing w:before="240" w:line="240" w:lineRule="auto"/>
        <w:ind w:left="0"/>
        <w:rPr>
          <w:rFonts w:ascii="Times New Roman" w:hAnsi="Times New Roman"/>
          <w:lang w:val="en-US"/>
        </w:rPr>
      </w:pPr>
      <w:r w:rsidRPr="007D770B">
        <w:rPr>
          <w:rFonts w:ascii="Times New Roman" w:hAnsi="Times New Roman"/>
          <w:lang w:val="en-US"/>
        </w:rPr>
        <w:t xml:space="preserve">When an operating segment becomes reportable in the current period because it exceeds quantitative thresholds, the Bank is required to report comparative information for the prior period even if that operating segment did not meet the criteria to be a separate reportable segment in the prior period. The Bank does not present comparative information if the required information is not available and the cost to prepare it would be excessive. </w:t>
      </w:r>
    </w:p>
    <w:p w14:paraId="69C2AF9E" w14:textId="77777777" w:rsidR="00DE508A" w:rsidRPr="007D770B" w:rsidRDefault="00DE508A" w:rsidP="00DE508A">
      <w:pPr>
        <w:spacing w:before="240" w:line="240" w:lineRule="auto"/>
        <w:ind w:left="0"/>
        <w:rPr>
          <w:rFonts w:ascii="Times New Roman" w:hAnsi="Times New Roman"/>
          <w:lang w:val="en-US"/>
        </w:rPr>
      </w:pPr>
      <w:r w:rsidRPr="007D770B">
        <w:rPr>
          <w:rFonts w:ascii="Times New Roman" w:hAnsi="Times New Roman"/>
          <w:lang w:val="en-US"/>
        </w:rPr>
        <w:t>If the Bank changes the structure of its internal organization resulting in changes in reportable segments, the corresponding information for prior (including interim) periods is restated. The exception is when such information is not available and the cost of preparing it appears excessive.</w:t>
      </w:r>
    </w:p>
    <w:p w14:paraId="6CD8355C" w14:textId="77777777" w:rsidR="00DE508A" w:rsidRPr="007D770B" w:rsidRDefault="00DE508A" w:rsidP="00DE508A">
      <w:pPr>
        <w:spacing w:before="240" w:line="240" w:lineRule="auto"/>
        <w:ind w:left="0"/>
        <w:rPr>
          <w:rFonts w:ascii="Times New Roman" w:hAnsi="Times New Roman"/>
          <w:lang w:val="en-US"/>
        </w:rPr>
      </w:pPr>
      <w:r w:rsidRPr="007D770B">
        <w:rPr>
          <w:rFonts w:ascii="Times New Roman" w:hAnsi="Times New Roman"/>
          <w:lang w:val="en-US"/>
        </w:rPr>
        <w:t xml:space="preserve">After a change in the composition of its reportable segments, the Bank discloses whether the corresponding items of segment information for prior periods have been restated. </w:t>
      </w:r>
    </w:p>
    <w:p w14:paraId="3D83F904" w14:textId="050B5917" w:rsidR="00DE508A" w:rsidRPr="007D770B" w:rsidRDefault="00DE508A" w:rsidP="00DE508A">
      <w:pPr>
        <w:spacing w:before="240" w:line="240" w:lineRule="auto"/>
        <w:ind w:left="0"/>
        <w:rPr>
          <w:lang w:val="en-US"/>
        </w:rPr>
      </w:pPr>
      <w:r w:rsidRPr="007D770B">
        <w:rPr>
          <w:rFonts w:ascii="Times New Roman" w:hAnsi="Times New Roman"/>
          <w:lang w:val="en-US"/>
        </w:rPr>
        <w:t>If the Bank has changed its reportable segments</w:t>
      </w:r>
      <w:r w:rsidR="004115AD" w:rsidRPr="007D770B">
        <w:rPr>
          <w:rFonts w:ascii="Times New Roman" w:hAnsi="Times New Roman"/>
          <w:lang w:val="en-US"/>
        </w:rPr>
        <w:t xml:space="preserve">, and </w:t>
      </w:r>
      <w:r w:rsidRPr="007D770B">
        <w:rPr>
          <w:rFonts w:ascii="Times New Roman" w:hAnsi="Times New Roman"/>
          <w:lang w:val="en-US"/>
        </w:rPr>
        <w:t>if segment information for prior periods, including interim periods, has not been restated in the year of change, the Bank discloses segment information for the current period based on both the old segmentation structure and the new one. The exception is when such information is not available or the cost of preparing such information appears to be excessive.</w:t>
      </w:r>
    </w:p>
    <w:p w14:paraId="0AF4EC31" w14:textId="77777777" w:rsidR="00DE508A" w:rsidRPr="007D770B" w:rsidRDefault="00DE508A" w:rsidP="00DE508A">
      <w:pPr>
        <w:spacing w:before="240" w:line="240" w:lineRule="auto"/>
        <w:ind w:left="0"/>
        <w:rPr>
          <w:rFonts w:ascii="Times New Roman" w:hAnsi="Times New Roman"/>
          <w:b/>
          <w:lang w:val="en-US"/>
        </w:rPr>
      </w:pPr>
      <w:r w:rsidRPr="007D770B">
        <w:rPr>
          <w:rFonts w:ascii="Times New Roman" w:hAnsi="Times New Roman"/>
          <w:b/>
          <w:lang w:val="en-US"/>
        </w:rPr>
        <w:t>Disclosure of information on products and services, geographical area of operations and the Bank's major customers</w:t>
      </w:r>
    </w:p>
    <w:p w14:paraId="7115D031" w14:textId="77777777" w:rsidR="00DE508A" w:rsidRPr="007D770B" w:rsidRDefault="00DE508A" w:rsidP="00DE508A">
      <w:pPr>
        <w:spacing w:before="240" w:line="240" w:lineRule="auto"/>
        <w:ind w:left="0"/>
        <w:rPr>
          <w:rFonts w:ascii="Times New Roman" w:hAnsi="Times New Roman"/>
          <w:lang w:val="en-US"/>
        </w:rPr>
      </w:pPr>
      <w:r w:rsidRPr="007D770B">
        <w:rPr>
          <w:rFonts w:ascii="Times New Roman" w:hAnsi="Times New Roman"/>
          <w:lang w:val="en-US"/>
        </w:rPr>
        <w:t xml:space="preserve">Disclosure of information about the Bank's products and services, geographical area of operations and major customers should be based on information prepared in accordance with IFRS and is only required if such information has not been previously disclosed when reporting reportable segments. </w:t>
      </w:r>
    </w:p>
    <w:p w14:paraId="6CE0D113" w14:textId="77777777" w:rsidR="00DE508A" w:rsidRPr="007D770B" w:rsidRDefault="00DE508A" w:rsidP="00DE508A">
      <w:pPr>
        <w:spacing w:before="240" w:line="240" w:lineRule="auto"/>
        <w:ind w:left="0"/>
        <w:rPr>
          <w:rFonts w:ascii="Times New Roman" w:hAnsi="Times New Roman"/>
          <w:lang w:val="en-US"/>
        </w:rPr>
      </w:pPr>
      <w:r w:rsidRPr="007D770B">
        <w:rPr>
          <w:rFonts w:ascii="Times New Roman" w:hAnsi="Times New Roman"/>
          <w:lang w:val="en-US"/>
        </w:rPr>
        <w:t>The Bank shall disclose the amount of revenue from external customers for each type of products and services or for each group of similar types of products and services. The exception is when the necessary information is not available and the cost of preparing it appears excessive. In such a case, this fact should be disclosed.</w:t>
      </w:r>
    </w:p>
    <w:p w14:paraId="07C1A7B0" w14:textId="77777777" w:rsidR="00DE508A" w:rsidRPr="007D770B" w:rsidRDefault="00DE508A" w:rsidP="00DE508A">
      <w:pPr>
        <w:spacing w:before="240" w:line="240" w:lineRule="auto"/>
        <w:ind w:left="0"/>
        <w:rPr>
          <w:rFonts w:ascii="Times New Roman" w:hAnsi="Times New Roman"/>
          <w:lang w:val="en-US"/>
        </w:rPr>
      </w:pPr>
      <w:r w:rsidRPr="007D770B">
        <w:rPr>
          <w:rFonts w:ascii="Times New Roman" w:hAnsi="Times New Roman"/>
          <w:lang w:val="en-US"/>
        </w:rPr>
        <w:t>Revenues include interest income, fee and commission income and other operating income.</w:t>
      </w:r>
    </w:p>
    <w:p w14:paraId="2B4AC010" w14:textId="77777777" w:rsidR="00DE508A" w:rsidRPr="007D770B" w:rsidRDefault="00DE508A" w:rsidP="00DE508A">
      <w:pPr>
        <w:spacing w:before="240" w:line="240" w:lineRule="auto"/>
        <w:ind w:left="0"/>
        <w:rPr>
          <w:rFonts w:ascii="Times New Roman" w:hAnsi="Times New Roman"/>
          <w:lang w:val="en-US"/>
        </w:rPr>
      </w:pPr>
      <w:r w:rsidRPr="007D770B">
        <w:rPr>
          <w:rFonts w:ascii="Times New Roman" w:hAnsi="Times New Roman"/>
          <w:lang w:val="en-US"/>
        </w:rPr>
        <w:t>The Bank discloses the following geographical information:</w:t>
      </w:r>
    </w:p>
    <w:p w14:paraId="6DB6F755" w14:textId="77777777" w:rsidR="00DE508A" w:rsidRPr="007D770B" w:rsidRDefault="00DE508A" w:rsidP="00AE698A">
      <w:pPr>
        <w:numPr>
          <w:ilvl w:val="0"/>
          <w:numId w:val="340"/>
        </w:numPr>
        <w:spacing w:before="240" w:line="240" w:lineRule="auto"/>
        <w:rPr>
          <w:rFonts w:ascii="Times New Roman" w:hAnsi="Times New Roman"/>
          <w:lang w:val="en-US"/>
        </w:rPr>
      </w:pPr>
      <w:r w:rsidRPr="007D770B">
        <w:rPr>
          <w:rFonts w:ascii="Times New Roman" w:hAnsi="Times New Roman"/>
          <w:lang w:val="en-US"/>
        </w:rPr>
        <w:lastRenderedPageBreak/>
        <w:t>the amount of revenues from external customers by breakdown:</w:t>
      </w:r>
    </w:p>
    <w:p w14:paraId="1F3B69B3" w14:textId="77777777" w:rsidR="00DE508A" w:rsidRPr="007D770B" w:rsidRDefault="00DE508A" w:rsidP="00AE698A">
      <w:pPr>
        <w:numPr>
          <w:ilvl w:val="0"/>
          <w:numId w:val="341"/>
        </w:numPr>
        <w:spacing w:before="240" w:line="240" w:lineRule="auto"/>
        <w:rPr>
          <w:rFonts w:ascii="Times New Roman" w:hAnsi="Times New Roman"/>
          <w:lang w:val="en-US"/>
        </w:rPr>
      </w:pPr>
      <w:r w:rsidRPr="007D770B">
        <w:rPr>
          <w:rFonts w:ascii="Times New Roman" w:hAnsi="Times New Roman"/>
          <w:lang w:val="en-US"/>
        </w:rPr>
        <w:t>income received in the territory of the Republic of Kazakhstan;</w:t>
      </w:r>
    </w:p>
    <w:p w14:paraId="4552A835" w14:textId="77777777" w:rsidR="00DE508A" w:rsidRPr="007D770B" w:rsidRDefault="00DE508A" w:rsidP="00AE698A">
      <w:pPr>
        <w:numPr>
          <w:ilvl w:val="0"/>
          <w:numId w:val="341"/>
        </w:numPr>
        <w:spacing w:before="240" w:line="240" w:lineRule="auto"/>
        <w:rPr>
          <w:rFonts w:ascii="Times New Roman" w:hAnsi="Times New Roman"/>
          <w:lang w:val="en-US"/>
        </w:rPr>
      </w:pPr>
      <w:r w:rsidRPr="007D770B">
        <w:rPr>
          <w:rFonts w:ascii="Times New Roman" w:hAnsi="Times New Roman"/>
          <w:lang w:val="en-US"/>
        </w:rPr>
        <w:t>total income earned in foreign countries. If the revenue earned in a particular foreign country is material, then it is necessary to disclose such revenue separately. The Bank also discloses the basis for allocating revenue from external customers to individual countries (e.g., revenue may be allocated to a particular country based on the location of the customer).</w:t>
      </w:r>
    </w:p>
    <w:p w14:paraId="0F0BCB3B" w14:textId="77777777" w:rsidR="00DE508A" w:rsidRPr="007D770B" w:rsidRDefault="00DE508A" w:rsidP="00AE698A">
      <w:pPr>
        <w:numPr>
          <w:ilvl w:val="0"/>
          <w:numId w:val="340"/>
        </w:numPr>
        <w:spacing w:before="240" w:line="240" w:lineRule="auto"/>
        <w:rPr>
          <w:rFonts w:ascii="Times New Roman" w:hAnsi="Times New Roman"/>
          <w:lang w:val="en-US"/>
        </w:rPr>
      </w:pPr>
      <w:r w:rsidRPr="007D770B">
        <w:rPr>
          <w:rFonts w:ascii="Times New Roman" w:hAnsi="Times New Roman"/>
          <w:lang w:val="en-US"/>
        </w:rPr>
        <w:t>amount of non-current assets, excluding financial instruments, deferred tax assets, pension plan assets and rights arising from insurance contracts by breakdown:</w:t>
      </w:r>
    </w:p>
    <w:p w14:paraId="52803EF8" w14:textId="77777777" w:rsidR="00DE508A" w:rsidRPr="007D770B" w:rsidRDefault="00DE508A" w:rsidP="00AE698A">
      <w:pPr>
        <w:numPr>
          <w:ilvl w:val="0"/>
          <w:numId w:val="342"/>
        </w:numPr>
        <w:spacing w:before="240" w:line="240" w:lineRule="auto"/>
        <w:rPr>
          <w:rFonts w:ascii="Times New Roman" w:hAnsi="Times New Roman"/>
          <w:lang w:val="en-US"/>
        </w:rPr>
      </w:pPr>
      <w:r w:rsidRPr="007D770B">
        <w:rPr>
          <w:rFonts w:ascii="Times New Roman" w:hAnsi="Times New Roman"/>
          <w:lang w:val="en-US"/>
        </w:rPr>
        <w:t>non-current assets on the territory of the Republic of Kazakhstan;</w:t>
      </w:r>
    </w:p>
    <w:p w14:paraId="1CFC9433" w14:textId="77777777" w:rsidR="00DE508A" w:rsidRPr="007D770B" w:rsidRDefault="00DE508A" w:rsidP="00AE698A">
      <w:pPr>
        <w:numPr>
          <w:ilvl w:val="0"/>
          <w:numId w:val="342"/>
        </w:numPr>
        <w:spacing w:before="240" w:line="240" w:lineRule="auto"/>
        <w:rPr>
          <w:rFonts w:ascii="Times New Roman" w:hAnsi="Times New Roman"/>
          <w:lang w:val="en-US"/>
        </w:rPr>
      </w:pPr>
      <w:r w:rsidRPr="007D770B">
        <w:rPr>
          <w:rFonts w:ascii="Times New Roman" w:hAnsi="Times New Roman"/>
          <w:lang w:val="en-US"/>
        </w:rPr>
        <w:t>non-current assets in foreign countries. If non-current assets in a particular foreign country are material, then such non-current assets should be disclosed separately.</w:t>
      </w:r>
    </w:p>
    <w:p w14:paraId="20CE35C8" w14:textId="77777777" w:rsidR="00DE508A" w:rsidRPr="007D770B" w:rsidRDefault="00DE508A" w:rsidP="00DE508A">
      <w:pPr>
        <w:spacing w:before="240" w:line="240" w:lineRule="auto"/>
        <w:ind w:left="0"/>
        <w:rPr>
          <w:rFonts w:ascii="Times New Roman" w:hAnsi="Times New Roman"/>
          <w:lang w:val="en-US"/>
        </w:rPr>
      </w:pPr>
      <w:r w:rsidRPr="007D770B">
        <w:rPr>
          <w:rFonts w:ascii="Times New Roman" w:hAnsi="Times New Roman"/>
          <w:lang w:val="en-US"/>
        </w:rPr>
        <w:t>The exception is when the necessary information is not available and the cost of preparing it appears excessive. In such a case, this fact should be disclosed.</w:t>
      </w:r>
    </w:p>
    <w:p w14:paraId="21F1F78D" w14:textId="77777777" w:rsidR="00DE508A" w:rsidRPr="007D770B" w:rsidRDefault="00DE508A" w:rsidP="00DE508A">
      <w:pPr>
        <w:spacing w:before="240" w:line="240" w:lineRule="auto"/>
        <w:ind w:left="0"/>
        <w:rPr>
          <w:rFonts w:ascii="Times New Roman" w:hAnsi="Times New Roman"/>
          <w:lang w:val="en-US"/>
        </w:rPr>
      </w:pPr>
      <w:r w:rsidRPr="007D770B">
        <w:rPr>
          <w:rFonts w:ascii="Times New Roman" w:hAnsi="Times New Roman"/>
          <w:lang w:val="en-US"/>
        </w:rPr>
        <w:t xml:space="preserve">If revenue from a single external customer accounts for ten percent or more of the Bank's total revenue, the Bank shall disclose that fact and the total amount of revenue for each such major customer and the name of the segment or segments to which such revenue relates. It is not necessary to disclose the name of the customer or the amount of income attributable to each segment. For the purposes of this section, a group of entities under common control is treated by the Bank as a single customer. However, judgment is required to assess whether a government (including government agencies and similar organizations, including local, national or international organizations) and entities under its control is a single customer. In making this judgment, the Bank considers the degree of economic integration between such entities. </w:t>
      </w:r>
    </w:p>
    <w:p w14:paraId="5AB2910C" w14:textId="77777777" w:rsidR="00DE508A" w:rsidRPr="007D770B" w:rsidRDefault="00DE508A" w:rsidP="00DE508A">
      <w:pPr>
        <w:keepNext/>
        <w:spacing w:before="240" w:line="240" w:lineRule="auto"/>
        <w:ind w:left="0"/>
        <w:rPr>
          <w:rFonts w:ascii="Times New Roman" w:hAnsi="Times New Roman"/>
          <w:lang w:val="en-US"/>
        </w:rPr>
      </w:pPr>
      <w:r w:rsidRPr="007D770B">
        <w:rPr>
          <w:rFonts w:ascii="Times New Roman" w:hAnsi="Times New Roman"/>
          <w:lang w:val="en-US"/>
        </w:rPr>
        <w:lastRenderedPageBreak/>
        <w:t>Scheme for identifying reportable segments:</w:t>
      </w:r>
    </w:p>
    <w:p w14:paraId="2BD485BF" w14:textId="77777777" w:rsidR="00DE508A" w:rsidRDefault="00B312BF" w:rsidP="00DE508A">
      <w:pPr>
        <w:spacing w:before="240" w:line="240" w:lineRule="auto"/>
        <w:ind w:left="0"/>
        <w:rPr>
          <w:rFonts w:ascii="Times New Roman" w:hAnsi="Times New Roman"/>
        </w:rPr>
      </w:pPr>
      <w:r w:rsidRPr="002D4EA3">
        <w:rPr>
          <w:rFonts w:ascii="Times New Roman" w:hAnsi="Times New Roman"/>
          <w:noProof/>
        </w:rPr>
        <w:object w:dxaOrig="12314" w:dyaOrig="10411" w14:anchorId="05989383">
          <v:shape id="_x0000_i1027" type="#_x0000_t75" alt="" style="width:461.4pt;height:497.4pt;mso-width-percent:0;mso-height-percent:0;mso-width-percent:0;mso-height-percent:0" o:ole="">
            <v:imagedata r:id="rId81" o:title=""/>
          </v:shape>
          <o:OLEObject Type="Embed" ProgID="Visio.Drawing.11" ShapeID="_x0000_i1027" DrawAspect="Content" ObjectID="_1802083649" r:id="rId82"/>
        </w:object>
      </w:r>
    </w:p>
    <w:p w14:paraId="131BC97B" w14:textId="77777777" w:rsidR="00DE508A" w:rsidRDefault="00DE508A" w:rsidP="00DE508A">
      <w:pPr>
        <w:spacing w:before="240" w:line="240" w:lineRule="auto"/>
        <w:ind w:left="0"/>
        <w:rPr>
          <w:rFonts w:ascii="Times New Roman" w:hAnsi="Times New Roman"/>
        </w:rPr>
      </w:pPr>
    </w:p>
    <w:p w14:paraId="2C0D2609" w14:textId="77777777" w:rsidR="00DE508A" w:rsidRDefault="00DE508A" w:rsidP="00DE508A">
      <w:pPr>
        <w:spacing w:before="240" w:line="240" w:lineRule="auto"/>
        <w:ind w:left="0"/>
        <w:rPr>
          <w:rFonts w:ascii="Times New Roman" w:hAnsi="Times New Roman"/>
        </w:rPr>
        <w:sectPr w:rsidR="00DE508A" w:rsidSect="000610F9">
          <w:headerReference w:type="even" r:id="rId83"/>
          <w:headerReference w:type="default" r:id="rId84"/>
          <w:headerReference w:type="first" r:id="rId85"/>
          <w:pgSz w:w="11906" w:h="16838"/>
          <w:pgMar w:top="1268" w:right="680" w:bottom="900" w:left="1134" w:header="510" w:footer="404" w:gutter="0"/>
          <w:cols w:space="708"/>
          <w:titlePg/>
          <w:docGrid w:linePitch="360"/>
        </w:sectPr>
      </w:pPr>
    </w:p>
    <w:p w14:paraId="37C4AED3" w14:textId="2FE4D3EC" w:rsidR="009E2B77" w:rsidRPr="007D770B" w:rsidRDefault="009E2B77" w:rsidP="008451F4">
      <w:pPr>
        <w:pStyle w:val="2"/>
        <w:pageBreakBefore/>
        <w:spacing w:before="240"/>
        <w:jc w:val="both"/>
        <w:rPr>
          <w:rFonts w:ascii="Times New Roman" w:hAnsi="Times New Roman"/>
          <w:sz w:val="20"/>
          <w:szCs w:val="20"/>
          <w:lang w:val="en-US"/>
        </w:rPr>
      </w:pPr>
      <w:bookmarkStart w:id="403" w:name="_Toc168502122"/>
      <w:r w:rsidRPr="007D770B">
        <w:rPr>
          <w:rFonts w:ascii="Times New Roman" w:hAnsi="Times New Roman"/>
          <w:sz w:val="20"/>
          <w:szCs w:val="20"/>
          <w:lang w:val="en-US"/>
        </w:rPr>
        <w:lastRenderedPageBreak/>
        <w:t xml:space="preserve">Section </w:t>
      </w:r>
      <w:r w:rsidR="00CD25B1" w:rsidRPr="007D770B">
        <w:rPr>
          <w:rFonts w:ascii="Times New Roman" w:hAnsi="Times New Roman"/>
          <w:sz w:val="20"/>
          <w:szCs w:val="20"/>
          <w:lang w:val="en-US"/>
        </w:rPr>
        <w:t>3</w:t>
      </w:r>
      <w:r w:rsidRPr="007D770B">
        <w:rPr>
          <w:rFonts w:ascii="Times New Roman" w:hAnsi="Times New Roman"/>
          <w:sz w:val="20"/>
          <w:szCs w:val="20"/>
          <w:lang w:val="en-US"/>
        </w:rPr>
        <w:t>: Events after the reporting date (IAS 10)</w:t>
      </w:r>
      <w:bookmarkEnd w:id="383"/>
      <w:bookmarkEnd w:id="384"/>
      <w:bookmarkEnd w:id="403"/>
    </w:p>
    <w:p w14:paraId="0F739C49" w14:textId="02483255" w:rsidR="00E07B21" w:rsidRPr="007D770B" w:rsidRDefault="00CD25B1" w:rsidP="00E61D21">
      <w:pPr>
        <w:pStyle w:val="3"/>
        <w:rPr>
          <w:lang w:val="en-US"/>
        </w:rPr>
      </w:pPr>
      <w:bookmarkStart w:id="404" w:name="_Toc271279924"/>
      <w:bookmarkStart w:id="405" w:name="_Toc277340330"/>
      <w:bookmarkStart w:id="406" w:name="_Toc168502123"/>
      <w:r w:rsidRPr="007D770B">
        <w:rPr>
          <w:lang w:val="en-US"/>
        </w:rPr>
        <w:t>3</w:t>
      </w:r>
      <w:r w:rsidR="00E07B21" w:rsidRPr="007D770B">
        <w:rPr>
          <w:lang w:val="en-US"/>
        </w:rPr>
        <w:t>.1 General provisions</w:t>
      </w:r>
      <w:bookmarkEnd w:id="404"/>
      <w:bookmarkEnd w:id="405"/>
      <w:bookmarkEnd w:id="406"/>
    </w:p>
    <w:p w14:paraId="613F68DF" w14:textId="77777777" w:rsidR="00E07B21" w:rsidRPr="007D770B" w:rsidRDefault="00E07B21" w:rsidP="00E07B21">
      <w:pPr>
        <w:pStyle w:val="Iauiue"/>
        <w:spacing w:before="240" w:after="240"/>
        <w:jc w:val="both"/>
        <w:rPr>
          <w:sz w:val="20"/>
          <w:szCs w:val="20"/>
          <w:lang w:val="en-US"/>
        </w:rPr>
      </w:pPr>
      <w:r w:rsidRPr="007D770B">
        <w:rPr>
          <w:sz w:val="20"/>
          <w:szCs w:val="20"/>
          <w:lang w:val="en-US"/>
        </w:rPr>
        <w:t>This section applies to the accounting for and disclosure of events occurring after the reporting date. This section addresses adjusting events, non-adjusting events and their impact on the financial statements.</w:t>
      </w:r>
    </w:p>
    <w:p w14:paraId="58A7105F" w14:textId="44F1688B" w:rsidR="00E07B21" w:rsidRPr="007D770B" w:rsidRDefault="00CD25B1" w:rsidP="00E61D21">
      <w:pPr>
        <w:pStyle w:val="3"/>
        <w:rPr>
          <w:lang w:val="en-US"/>
        </w:rPr>
      </w:pPr>
      <w:bookmarkStart w:id="407" w:name="_Toc271279925"/>
      <w:bookmarkStart w:id="408" w:name="_Toc277340331"/>
      <w:bookmarkStart w:id="409" w:name="_Toc168502124"/>
      <w:r w:rsidRPr="007D770B">
        <w:rPr>
          <w:lang w:val="en-US"/>
        </w:rPr>
        <w:t>3</w:t>
      </w:r>
      <w:r w:rsidR="00E07B21" w:rsidRPr="007D770B">
        <w:rPr>
          <w:lang w:val="en-US"/>
        </w:rPr>
        <w:t>.2 Definitions</w:t>
      </w:r>
      <w:bookmarkEnd w:id="407"/>
      <w:bookmarkEnd w:id="408"/>
      <w:bookmarkEnd w:id="409"/>
    </w:p>
    <w:p w14:paraId="1C2BF2CB" w14:textId="77777777" w:rsidR="00E07B21" w:rsidRPr="009128AD" w:rsidRDefault="00E07B21" w:rsidP="00E07B21">
      <w:pPr>
        <w:spacing w:before="240" w:line="240" w:lineRule="auto"/>
        <w:ind w:left="0"/>
        <w:rPr>
          <w:rFonts w:ascii="Times New Roman" w:hAnsi="Times New Roman"/>
        </w:rPr>
      </w:pPr>
      <w:r w:rsidRPr="007D770B">
        <w:rPr>
          <w:rFonts w:ascii="Times New Roman" w:hAnsi="Times New Roman"/>
          <w:b/>
          <w:lang w:val="en-US"/>
        </w:rPr>
        <w:t xml:space="preserve">Subsequent events </w:t>
      </w:r>
      <w:r w:rsidRPr="007D770B">
        <w:rPr>
          <w:rFonts w:ascii="Times New Roman" w:hAnsi="Times New Roman"/>
          <w:lang w:val="en-US"/>
        </w:rPr>
        <w:t xml:space="preserve">are events, both favorable and unfavorable, that occur between the reporting date and the date the financial statements are authorized for issue. </w:t>
      </w:r>
      <w:r w:rsidRPr="009128AD">
        <w:rPr>
          <w:rFonts w:ascii="Times New Roman" w:hAnsi="Times New Roman"/>
        </w:rPr>
        <w:t xml:space="preserve">There are two types of such events: </w:t>
      </w:r>
    </w:p>
    <w:p w14:paraId="5D0E06E6" w14:textId="77777777" w:rsidR="00E07B21" w:rsidRPr="007D770B" w:rsidRDefault="00E07B21" w:rsidP="00AE698A">
      <w:pPr>
        <w:numPr>
          <w:ilvl w:val="0"/>
          <w:numId w:val="114"/>
        </w:numPr>
        <w:spacing w:before="240" w:line="240" w:lineRule="auto"/>
        <w:rPr>
          <w:rFonts w:ascii="Times New Roman" w:hAnsi="Times New Roman"/>
          <w:lang w:val="en-US"/>
        </w:rPr>
      </w:pPr>
      <w:r w:rsidRPr="007D770B">
        <w:rPr>
          <w:rFonts w:ascii="Times New Roman" w:hAnsi="Times New Roman"/>
          <w:lang w:val="en-US"/>
        </w:rPr>
        <w:t xml:space="preserve">events that confirm conditions that existed at the reporting date (adjusting events subsequent to the reporting date); </w:t>
      </w:r>
    </w:p>
    <w:p w14:paraId="7E2B8562" w14:textId="77777777" w:rsidR="00E07B21" w:rsidRPr="007D770B" w:rsidRDefault="00E07B21" w:rsidP="00AE698A">
      <w:pPr>
        <w:numPr>
          <w:ilvl w:val="0"/>
          <w:numId w:val="114"/>
        </w:numPr>
        <w:spacing w:before="240" w:line="240" w:lineRule="auto"/>
        <w:rPr>
          <w:rFonts w:ascii="Times New Roman" w:hAnsi="Times New Roman"/>
          <w:lang w:val="en-US"/>
        </w:rPr>
      </w:pPr>
      <w:r w:rsidRPr="007D770B">
        <w:rPr>
          <w:rFonts w:ascii="Times New Roman" w:hAnsi="Times New Roman"/>
          <w:lang w:val="en-US"/>
        </w:rPr>
        <w:t>events that indicate conditions that arose after the reporting date (non-adjusting subsequent events).</w:t>
      </w:r>
    </w:p>
    <w:p w14:paraId="66A90D04" w14:textId="77777777" w:rsidR="00E07B21" w:rsidRPr="007D770B" w:rsidRDefault="00E07B21" w:rsidP="00E07B21">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 xml:space="preserve">The </w:t>
      </w:r>
      <w:r w:rsidRPr="007D770B">
        <w:rPr>
          <w:rFonts w:ascii="Times New Roman" w:hAnsi="Times New Roman"/>
          <w:b/>
          <w:lang w:val="en-US"/>
        </w:rPr>
        <w:t xml:space="preserve">date of approval </w:t>
      </w:r>
      <w:r w:rsidRPr="007D770B">
        <w:rPr>
          <w:rFonts w:ascii="Times New Roman" w:hAnsi="Times New Roman"/>
          <w:lang w:val="en-US"/>
        </w:rPr>
        <w:t xml:space="preserve">of </w:t>
      </w:r>
      <w:r w:rsidRPr="007D770B">
        <w:rPr>
          <w:rFonts w:ascii="Times New Roman" w:hAnsi="Times New Roman"/>
          <w:b/>
          <w:lang w:val="en-US"/>
        </w:rPr>
        <w:t xml:space="preserve">the financial statements </w:t>
      </w:r>
      <w:r w:rsidRPr="007D770B">
        <w:rPr>
          <w:rFonts w:ascii="Times New Roman" w:hAnsi="Times New Roman"/>
          <w:lang w:val="en-US"/>
        </w:rPr>
        <w:t>is the date of approval of the financial statements by the Parent Organization (shareholder of the Bank).</w:t>
      </w:r>
    </w:p>
    <w:p w14:paraId="7E653B93" w14:textId="3302E0BA" w:rsidR="00E07B21" w:rsidRPr="007D770B" w:rsidRDefault="00CD25B1" w:rsidP="00E61D21">
      <w:pPr>
        <w:pStyle w:val="3"/>
        <w:rPr>
          <w:lang w:val="en-US"/>
        </w:rPr>
      </w:pPr>
      <w:bookmarkStart w:id="410" w:name="_Toc271279926"/>
      <w:bookmarkStart w:id="411" w:name="_Toc277340332"/>
      <w:bookmarkStart w:id="412" w:name="_Toc168502125"/>
      <w:r w:rsidRPr="007D770B">
        <w:rPr>
          <w:lang w:val="en-US"/>
        </w:rPr>
        <w:t>3</w:t>
      </w:r>
      <w:r w:rsidR="00E07B21" w:rsidRPr="007D770B">
        <w:rPr>
          <w:lang w:val="en-US"/>
        </w:rPr>
        <w:t>.3 Accounting policies</w:t>
      </w:r>
      <w:bookmarkEnd w:id="410"/>
      <w:bookmarkEnd w:id="411"/>
      <w:bookmarkEnd w:id="412"/>
    </w:p>
    <w:p w14:paraId="0CAB708A" w14:textId="77777777" w:rsidR="00E07B21" w:rsidRPr="007D770B" w:rsidRDefault="00E07B21" w:rsidP="00E07B21">
      <w:pPr>
        <w:spacing w:before="240" w:line="240" w:lineRule="auto"/>
        <w:ind w:left="0"/>
        <w:rPr>
          <w:rFonts w:ascii="Times New Roman" w:hAnsi="Times New Roman"/>
          <w:b/>
          <w:lang w:val="en-US"/>
        </w:rPr>
      </w:pPr>
      <w:r w:rsidRPr="007D770B">
        <w:rPr>
          <w:rFonts w:ascii="Times New Roman" w:hAnsi="Times New Roman"/>
          <w:b/>
          <w:lang w:val="en-US"/>
        </w:rPr>
        <w:t>Recognition and appreciation</w:t>
      </w:r>
    </w:p>
    <w:p w14:paraId="2809149C" w14:textId="77777777" w:rsidR="00E07B21" w:rsidRPr="007D770B" w:rsidRDefault="00E07B21" w:rsidP="00E07B21">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The Bank's assets, liabilities, equity, income and expenses are recognized in the financial statements in the light of events occurring after the reporting date. Such events generally confirm the existence at the reporting date of objective conditions that existed at the Bank's operations or evidence of a new objective environment in which the Bank operates after the reporting date.</w:t>
      </w:r>
    </w:p>
    <w:p w14:paraId="7F685A2B" w14:textId="77777777" w:rsidR="00E07B21" w:rsidRPr="007D770B" w:rsidRDefault="00E07B21" w:rsidP="00E07B21">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Subsequent events include all events up to the date of authorization of the financial statements for issue, even if they occurred after the publication of the Bank's earnings or other financial information.</w:t>
      </w:r>
    </w:p>
    <w:p w14:paraId="615817FC" w14:textId="77777777" w:rsidR="00E07B21" w:rsidRPr="007D770B" w:rsidRDefault="00E07B21" w:rsidP="00E07B21">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When reporting events that occurred after the reporting date, it is necessary to be guided by the principle of materiality. That is, all events that can significantly affect the management decisions of users made on the basis of the financial statements should be reflected in the financial statements. Materiality depends on the size of the item or error assessed in each case.</w:t>
      </w:r>
    </w:p>
    <w:p w14:paraId="0B9CFBD6" w14:textId="77777777" w:rsidR="00E07B21" w:rsidRPr="007D770B" w:rsidRDefault="00E07B21" w:rsidP="00E07B21">
      <w:pPr>
        <w:spacing w:before="240" w:line="240" w:lineRule="auto"/>
        <w:ind w:left="0"/>
        <w:rPr>
          <w:rFonts w:ascii="Times New Roman" w:hAnsi="Times New Roman"/>
          <w:b/>
          <w:lang w:val="en-US"/>
        </w:rPr>
      </w:pPr>
      <w:r w:rsidRPr="007D770B">
        <w:rPr>
          <w:rFonts w:ascii="Times New Roman" w:hAnsi="Times New Roman"/>
          <w:b/>
          <w:lang w:val="en-US"/>
        </w:rPr>
        <w:t>Adjusting events after the reporting date</w:t>
      </w:r>
    </w:p>
    <w:p w14:paraId="2075F9B1" w14:textId="77777777" w:rsidR="00E07B21" w:rsidRPr="007D770B" w:rsidRDefault="00E07B21" w:rsidP="00E07B21">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Amounts recognized in the financial statements are adjusted to reflect adjusting events subsequent to the end of the reporting period.</w:t>
      </w:r>
    </w:p>
    <w:p w14:paraId="68F8B093" w14:textId="77777777" w:rsidR="00E07B21" w:rsidRPr="007D770B" w:rsidRDefault="00E07B21" w:rsidP="00E07B21">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The following are examples of adjusting events subsequent to the balance sheet date, the effects of which the Bank is required to account for either by adjusting amounts reported in the financial statements or by recognizing additional items not previously recognized in the financial statements:</w:t>
      </w:r>
    </w:p>
    <w:p w14:paraId="279AD6DD" w14:textId="174F1164" w:rsidR="00E07B21" w:rsidRPr="007D770B" w:rsidRDefault="00E07B21" w:rsidP="00AE698A">
      <w:pPr>
        <w:numPr>
          <w:ilvl w:val="0"/>
          <w:numId w:val="115"/>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settlement of a legal dispute that occurred after the reporting date in respect of a claim or suit that occurred at the reporting date and that confirms that the Bank has a present obligation at the reporting date. The Bank is required to account for the effects of this resolution either by adjusting the provision already recognized in the financial statements or by recognizing a new provision, rather than simply disclosing a contingent liability (</w:t>
      </w:r>
      <w:r w:rsidR="006B64E7" w:rsidRPr="007D770B">
        <w:rPr>
          <w:rFonts w:ascii="Times New Roman" w:hAnsi="Times New Roman"/>
          <w:lang w:val="en-US"/>
        </w:rPr>
        <w:t xml:space="preserve">because the settlement </w:t>
      </w:r>
      <w:r w:rsidRPr="007D770B">
        <w:rPr>
          <w:rFonts w:ascii="Times New Roman" w:hAnsi="Times New Roman"/>
          <w:lang w:val="en-US"/>
        </w:rPr>
        <w:t>provides additional evidence, which is dealt with in accordance with section 7 Provisions</w:t>
      </w:r>
      <w:r w:rsidR="00802136" w:rsidRPr="007D770B">
        <w:rPr>
          <w:rFonts w:ascii="Times New Roman" w:hAnsi="Times New Roman"/>
          <w:lang w:val="en-US"/>
        </w:rPr>
        <w:t>,</w:t>
      </w:r>
      <w:r w:rsidRPr="007D770B">
        <w:rPr>
          <w:rFonts w:ascii="Times New Roman" w:hAnsi="Times New Roman"/>
          <w:lang w:val="en-US"/>
        </w:rPr>
        <w:t xml:space="preserve"> Contingent Liabilities and Contingent Assets (IAS 37) of Chapter 2);</w:t>
      </w:r>
    </w:p>
    <w:p w14:paraId="7A319F7E" w14:textId="77777777" w:rsidR="00E07B21" w:rsidRPr="002D4EA3" w:rsidRDefault="00E07B21" w:rsidP="00AE698A">
      <w:pPr>
        <w:numPr>
          <w:ilvl w:val="0"/>
          <w:numId w:val="115"/>
        </w:numPr>
        <w:autoSpaceDE w:val="0"/>
        <w:autoSpaceDN w:val="0"/>
        <w:adjustRightInd w:val="0"/>
        <w:spacing w:before="240" w:line="240" w:lineRule="auto"/>
        <w:rPr>
          <w:rFonts w:ascii="Times New Roman" w:hAnsi="Times New Roman"/>
        </w:rPr>
      </w:pPr>
      <w:r w:rsidRPr="007D770B">
        <w:rPr>
          <w:rFonts w:ascii="Times New Roman" w:hAnsi="Times New Roman"/>
          <w:lang w:val="en-US"/>
        </w:rPr>
        <w:t xml:space="preserve">obtaining information after the reporting date that indicates either that the asset is impaired at the reporting date or that an adjustment to a previously recognized impairment loss for that asset is required. </w:t>
      </w:r>
      <w:r w:rsidRPr="002D4EA3">
        <w:rPr>
          <w:rFonts w:ascii="Times New Roman" w:hAnsi="Times New Roman"/>
        </w:rPr>
        <w:t>For example:</w:t>
      </w:r>
    </w:p>
    <w:p w14:paraId="5CC0A25A" w14:textId="05A8FCE5" w:rsidR="00E07B21" w:rsidRPr="007D770B" w:rsidRDefault="00E07B21" w:rsidP="00AE698A">
      <w:pPr>
        <w:numPr>
          <w:ilvl w:val="0"/>
          <w:numId w:val="116"/>
        </w:numPr>
        <w:autoSpaceDE w:val="0"/>
        <w:autoSpaceDN w:val="0"/>
        <w:adjustRightInd w:val="0"/>
        <w:spacing w:before="240" w:line="240" w:lineRule="auto"/>
        <w:ind w:left="1080"/>
        <w:rPr>
          <w:rFonts w:ascii="Times New Roman" w:hAnsi="Times New Roman"/>
          <w:lang w:val="en-US"/>
        </w:rPr>
      </w:pPr>
      <w:r w:rsidRPr="007D770B">
        <w:rPr>
          <w:rFonts w:ascii="Times New Roman" w:hAnsi="Times New Roman"/>
          <w:lang w:val="en-US"/>
        </w:rPr>
        <w:t xml:space="preserve">the bankruptcy of a borrower occurring after the reporting date generally confirms the existence at the reporting date of a </w:t>
      </w:r>
      <w:r w:rsidR="006B64E7" w:rsidRPr="007D770B">
        <w:rPr>
          <w:rFonts w:ascii="Times New Roman" w:hAnsi="Times New Roman"/>
          <w:lang w:val="en-US"/>
        </w:rPr>
        <w:t xml:space="preserve">credit </w:t>
      </w:r>
      <w:r w:rsidRPr="007D770B">
        <w:rPr>
          <w:rFonts w:ascii="Times New Roman" w:hAnsi="Times New Roman"/>
          <w:lang w:val="en-US"/>
        </w:rPr>
        <w:t xml:space="preserve">loss related </w:t>
      </w:r>
      <w:r w:rsidR="006B64E7" w:rsidRPr="007D770B">
        <w:rPr>
          <w:rFonts w:ascii="Times New Roman" w:hAnsi="Times New Roman"/>
          <w:lang w:val="en-US"/>
        </w:rPr>
        <w:t xml:space="preserve">to loans </w:t>
      </w:r>
      <w:r w:rsidRPr="007D770B">
        <w:rPr>
          <w:rFonts w:ascii="Times New Roman" w:hAnsi="Times New Roman"/>
          <w:lang w:val="en-US"/>
        </w:rPr>
        <w:t xml:space="preserve">issued/receivables and the need to adjust the carrying amount of </w:t>
      </w:r>
      <w:r w:rsidR="006B64E7" w:rsidRPr="007D770B">
        <w:rPr>
          <w:rFonts w:ascii="Times New Roman" w:hAnsi="Times New Roman"/>
          <w:lang w:val="en-US"/>
        </w:rPr>
        <w:t xml:space="preserve">loans </w:t>
      </w:r>
      <w:r w:rsidRPr="007D770B">
        <w:rPr>
          <w:rFonts w:ascii="Times New Roman" w:hAnsi="Times New Roman"/>
          <w:lang w:val="en-US"/>
        </w:rPr>
        <w:t>issued and receivables;</w:t>
      </w:r>
    </w:p>
    <w:p w14:paraId="65214104" w14:textId="77777777" w:rsidR="00E07B21" w:rsidRPr="007D770B" w:rsidRDefault="00E07B21" w:rsidP="00AE698A">
      <w:pPr>
        <w:numPr>
          <w:ilvl w:val="0"/>
          <w:numId w:val="116"/>
        </w:numPr>
        <w:autoSpaceDE w:val="0"/>
        <w:autoSpaceDN w:val="0"/>
        <w:adjustRightInd w:val="0"/>
        <w:spacing w:before="240" w:line="240" w:lineRule="auto"/>
        <w:ind w:left="1080"/>
        <w:rPr>
          <w:rFonts w:ascii="Times New Roman" w:hAnsi="Times New Roman"/>
          <w:lang w:val="en-US"/>
        </w:rPr>
      </w:pPr>
      <w:r w:rsidRPr="007D770B">
        <w:rPr>
          <w:rFonts w:ascii="Times New Roman" w:hAnsi="Times New Roman"/>
          <w:lang w:val="en-US"/>
        </w:rPr>
        <w:t>sale of inventories after the reporting date may serve as the basis for determining the net realizable value of these inventories as of the reporting date;</w:t>
      </w:r>
    </w:p>
    <w:p w14:paraId="47C82CFD" w14:textId="77777777" w:rsidR="00E07B21" w:rsidRPr="007D770B" w:rsidRDefault="00E07B21" w:rsidP="00AE698A">
      <w:pPr>
        <w:numPr>
          <w:ilvl w:val="0"/>
          <w:numId w:val="117"/>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determining after the reporting date the value of assets acquired before the reporting date or receiving amounts from the sale of assets sold before the reporting date;</w:t>
      </w:r>
    </w:p>
    <w:p w14:paraId="6572CD62" w14:textId="47A65B33" w:rsidR="00E07B21" w:rsidRPr="007D770B" w:rsidRDefault="00E07B21" w:rsidP="00AE698A">
      <w:pPr>
        <w:numPr>
          <w:ilvl w:val="0"/>
          <w:numId w:val="117"/>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lastRenderedPageBreak/>
        <w:t>Determining, after the end of the reporting period, the amount of profit-sharing or bonus payments if, at the end of the reporting period, the Bank had a present legal or constructive obligation to make such payments as a result of events occurring before the end of the reporting period (section 8 Employee Benefits (IAS 19) of Chapter 2)</w:t>
      </w:r>
    </w:p>
    <w:p w14:paraId="003E22E4" w14:textId="77777777" w:rsidR="00E07B21" w:rsidRPr="007D770B" w:rsidRDefault="00E07B21" w:rsidP="00AE698A">
      <w:pPr>
        <w:numPr>
          <w:ilvl w:val="0"/>
          <w:numId w:val="117"/>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detecting fraud or errors that cause a misstatement of the financial statements.</w:t>
      </w:r>
    </w:p>
    <w:p w14:paraId="6ACD22B9" w14:textId="77777777" w:rsidR="00E07B21" w:rsidRPr="007D770B" w:rsidRDefault="00E07B21" w:rsidP="00E07B21">
      <w:pPr>
        <w:spacing w:before="240" w:line="240" w:lineRule="auto"/>
        <w:ind w:left="0"/>
        <w:rPr>
          <w:rFonts w:ascii="Times New Roman" w:hAnsi="Times New Roman"/>
          <w:b/>
          <w:lang w:val="en-US"/>
        </w:rPr>
      </w:pPr>
      <w:r w:rsidRPr="007D770B">
        <w:rPr>
          <w:rFonts w:ascii="Times New Roman" w:hAnsi="Times New Roman"/>
          <w:b/>
          <w:lang w:val="en-US"/>
        </w:rPr>
        <w:t>Non-adjusting events after the reporting date</w:t>
      </w:r>
    </w:p>
    <w:p w14:paraId="5AB9FF41" w14:textId="77777777" w:rsidR="00E07B21" w:rsidRPr="007D770B" w:rsidRDefault="00E07B21" w:rsidP="00E07B21">
      <w:pPr>
        <w:spacing w:before="240" w:line="240" w:lineRule="auto"/>
        <w:ind w:left="0"/>
        <w:rPr>
          <w:rFonts w:ascii="Times New Roman" w:hAnsi="Times New Roman"/>
          <w:lang w:val="en-US"/>
        </w:rPr>
      </w:pPr>
      <w:r w:rsidRPr="007D770B">
        <w:rPr>
          <w:rFonts w:ascii="Times New Roman" w:hAnsi="Times New Roman"/>
          <w:lang w:val="en-US"/>
        </w:rPr>
        <w:t>The Bank does not adjust amounts recognized in the financial statements to reflect the effects of non-adjusting events after the reporting date. Such events are disclosed in the notes to the financial statements without modifying the financial statements.</w:t>
      </w:r>
    </w:p>
    <w:p w14:paraId="2C8245FE" w14:textId="77777777" w:rsidR="00E07B21" w:rsidRPr="007D770B" w:rsidRDefault="00E07B21" w:rsidP="00E07B21">
      <w:pPr>
        <w:spacing w:before="240" w:line="240" w:lineRule="auto"/>
        <w:ind w:left="0"/>
        <w:rPr>
          <w:rFonts w:ascii="Times New Roman" w:hAnsi="Times New Roman"/>
          <w:lang w:val="en-US"/>
        </w:rPr>
      </w:pPr>
      <w:r w:rsidRPr="007D770B">
        <w:rPr>
          <w:rFonts w:ascii="Times New Roman" w:hAnsi="Times New Roman"/>
          <w:lang w:val="en-US"/>
        </w:rPr>
        <w:t>An example of a subsequent non-adjusting event is a decline in the market value of an investment between the reporting date and the date the financial statements are authorized for issue. A decline in market value is generally not related to the condition of the investment at the reporting date, but reflects conditions arising subsequently. Therefore, the Bank does not adjust the amounts of such investments recognized in the financial statements. Similarly, the Bank does not update the amount of investments disclosed in the financial statements as at the reporting date, although it may have to disclose additional information in accordance with this section.</w:t>
      </w:r>
    </w:p>
    <w:p w14:paraId="1CC3F1E6" w14:textId="77777777" w:rsidR="00E07B21" w:rsidRPr="007D770B" w:rsidRDefault="00E07B21" w:rsidP="00E07B21">
      <w:pPr>
        <w:spacing w:before="240" w:line="240" w:lineRule="auto"/>
        <w:ind w:left="0"/>
        <w:rPr>
          <w:rFonts w:ascii="Times New Roman" w:hAnsi="Times New Roman"/>
          <w:b/>
          <w:lang w:val="en-US"/>
        </w:rPr>
      </w:pPr>
      <w:r w:rsidRPr="007D770B">
        <w:rPr>
          <w:rFonts w:ascii="Times New Roman" w:hAnsi="Times New Roman"/>
          <w:b/>
          <w:lang w:val="en-US"/>
        </w:rPr>
        <w:t>Dividends</w:t>
      </w:r>
    </w:p>
    <w:p w14:paraId="2423C91E" w14:textId="54D3B255" w:rsidR="00E07B21" w:rsidRPr="007D770B" w:rsidRDefault="00E07B21" w:rsidP="00E07B21">
      <w:pPr>
        <w:spacing w:before="240" w:line="240" w:lineRule="auto"/>
        <w:ind w:left="0"/>
        <w:rPr>
          <w:rFonts w:ascii="Times New Roman" w:hAnsi="Times New Roman"/>
          <w:lang w:val="en-US"/>
        </w:rPr>
      </w:pPr>
      <w:r w:rsidRPr="007D770B">
        <w:rPr>
          <w:rFonts w:ascii="Times New Roman" w:hAnsi="Times New Roman"/>
          <w:lang w:val="en-US"/>
        </w:rPr>
        <w:t xml:space="preserve">Dividends declared to holders of equity instruments (as </w:t>
      </w:r>
      <w:r w:rsidR="006B64E7" w:rsidRPr="007D770B">
        <w:rPr>
          <w:rFonts w:ascii="Times New Roman" w:hAnsi="Times New Roman"/>
          <w:lang w:val="en-US"/>
        </w:rPr>
        <w:t xml:space="preserve">defined in </w:t>
      </w:r>
      <w:r w:rsidRPr="007D770B">
        <w:rPr>
          <w:rFonts w:ascii="Times New Roman" w:hAnsi="Times New Roman"/>
          <w:lang w:val="en-US"/>
        </w:rPr>
        <w:t xml:space="preserve">section 3 </w:t>
      </w:r>
      <w:r w:rsidR="00802136" w:rsidRPr="007D770B">
        <w:rPr>
          <w:rFonts w:ascii="Times New Roman" w:hAnsi="Times New Roman"/>
          <w:lang w:val="en-US"/>
        </w:rPr>
        <w:t>"</w:t>
      </w:r>
      <w:r w:rsidRPr="007D770B">
        <w:rPr>
          <w:rFonts w:ascii="Times New Roman" w:hAnsi="Times New Roman"/>
          <w:lang w:val="en-US"/>
        </w:rPr>
        <w:t xml:space="preserve">Financial assets and liabilities (IAS 32, IFRS </w:t>
      </w:r>
      <w:r w:rsidR="00F931DC" w:rsidRPr="007D770B">
        <w:rPr>
          <w:rFonts w:ascii="Times New Roman" w:hAnsi="Times New Roman"/>
          <w:lang w:val="en-US"/>
        </w:rPr>
        <w:t>9</w:t>
      </w:r>
      <w:r w:rsidRPr="007D770B">
        <w:rPr>
          <w:rFonts w:ascii="Times New Roman" w:hAnsi="Times New Roman"/>
          <w:lang w:val="en-US"/>
        </w:rPr>
        <w:t>, IFRS 7)</w:t>
      </w:r>
      <w:r w:rsidR="00802136" w:rsidRPr="007D770B">
        <w:rPr>
          <w:rFonts w:ascii="Times New Roman" w:hAnsi="Times New Roman"/>
          <w:lang w:val="en-US"/>
        </w:rPr>
        <w:t xml:space="preserve">" </w:t>
      </w:r>
      <w:r w:rsidRPr="007D770B">
        <w:rPr>
          <w:rFonts w:ascii="Times New Roman" w:hAnsi="Times New Roman"/>
          <w:lang w:val="en-US"/>
        </w:rPr>
        <w:t xml:space="preserve">of Chapter 2) after the balance sheet date should not be recognized as a liability at the balance sheet date. </w:t>
      </w:r>
    </w:p>
    <w:p w14:paraId="09BD3A5E" w14:textId="6CB546B4" w:rsidR="00E05DBA" w:rsidRPr="007D770B" w:rsidRDefault="00E07B21" w:rsidP="00E05DBA">
      <w:pPr>
        <w:widowControl w:val="0"/>
        <w:tabs>
          <w:tab w:val="left" w:pos="0"/>
        </w:tabs>
        <w:spacing w:line="240" w:lineRule="auto"/>
        <w:ind w:left="0"/>
        <w:rPr>
          <w:rFonts w:ascii="Times New Roman" w:eastAsia="Times New Roman" w:hAnsi="Times New Roman"/>
          <w:i/>
          <w:snapToGrid w:val="0"/>
          <w:color w:val="3366FF"/>
          <w:szCs w:val="22"/>
          <w:lang w:val="en-US" w:eastAsia="ru-RU"/>
        </w:rPr>
      </w:pPr>
      <w:r w:rsidRPr="007D770B">
        <w:rPr>
          <w:rFonts w:ascii="Times New Roman" w:hAnsi="Times New Roman"/>
          <w:lang w:val="en-US"/>
        </w:rPr>
        <w:t xml:space="preserve">If dividends are declared (i.e., duly authorized and no longer subject to the Bank's discretion) after the reporting date but before the financial statements are authorized for issue, those dividends are not to be recognized as a liability at the reporting date because they do not meet the criteria for an existing liability contained in section </w:t>
      </w:r>
      <w:r w:rsidR="004115AD" w:rsidRPr="007D770B">
        <w:rPr>
          <w:rFonts w:ascii="Times New Roman" w:hAnsi="Times New Roman"/>
          <w:lang w:val="en-US"/>
        </w:rPr>
        <w:t xml:space="preserve">7 </w:t>
      </w:r>
      <w:r w:rsidR="00802136" w:rsidRPr="007D770B">
        <w:rPr>
          <w:rFonts w:ascii="Times New Roman" w:hAnsi="Times New Roman"/>
          <w:lang w:val="en-US"/>
        </w:rPr>
        <w:t>"</w:t>
      </w:r>
      <w:r w:rsidRPr="007D770B">
        <w:rPr>
          <w:rFonts w:ascii="Times New Roman" w:hAnsi="Times New Roman"/>
          <w:lang w:val="en-US"/>
        </w:rPr>
        <w:t>Provisions, contingent assets and contingent liabilities (IAS 37)</w:t>
      </w:r>
      <w:r w:rsidR="00802136" w:rsidRPr="007D770B">
        <w:rPr>
          <w:rFonts w:ascii="Times New Roman" w:hAnsi="Times New Roman"/>
          <w:lang w:val="en-US"/>
        </w:rPr>
        <w:t xml:space="preserve">" </w:t>
      </w:r>
      <w:r w:rsidRPr="007D770B">
        <w:rPr>
          <w:rFonts w:ascii="Times New Roman" w:hAnsi="Times New Roman"/>
          <w:lang w:val="en-US"/>
        </w:rPr>
        <w:t xml:space="preserve">of Chapter 2. Such dividends are disclosed in the notes to the financial statements, in accordance with Section 1 </w:t>
      </w:r>
      <w:r w:rsidR="00802136" w:rsidRPr="007D770B">
        <w:rPr>
          <w:rFonts w:ascii="Times New Roman" w:hAnsi="Times New Roman"/>
          <w:lang w:val="en-US"/>
        </w:rPr>
        <w:t>"</w:t>
      </w:r>
      <w:r w:rsidRPr="007D770B">
        <w:rPr>
          <w:rFonts w:ascii="Times New Roman" w:hAnsi="Times New Roman"/>
          <w:lang w:val="en-US"/>
        </w:rPr>
        <w:t>Presentation of Financial Statements (IAS 1)</w:t>
      </w:r>
      <w:r w:rsidR="00802136" w:rsidRPr="007D770B">
        <w:rPr>
          <w:rFonts w:ascii="Times New Roman" w:hAnsi="Times New Roman"/>
          <w:lang w:val="en-US"/>
        </w:rPr>
        <w:t>"</w:t>
      </w:r>
      <w:r w:rsidR="00B81BFA" w:rsidRPr="007D770B">
        <w:rPr>
          <w:rFonts w:ascii="Times New Roman" w:hAnsi="Times New Roman"/>
          <w:lang w:val="en-US"/>
        </w:rPr>
        <w:t xml:space="preserve">, </w:t>
      </w:r>
      <w:r w:rsidRPr="007D770B">
        <w:rPr>
          <w:rFonts w:ascii="Times New Roman" w:hAnsi="Times New Roman"/>
          <w:lang w:val="en-US"/>
        </w:rPr>
        <w:t xml:space="preserve">Chapter 1. </w:t>
      </w:r>
      <w:r w:rsidR="00E05DBA" w:rsidRPr="007D770B">
        <w:rPr>
          <w:rFonts w:ascii="Times New Roman" w:eastAsia="Times New Roman" w:hAnsi="Times New Roman"/>
          <w:i/>
          <w:snapToGrid w:val="0"/>
          <w:color w:val="3366FF"/>
          <w:szCs w:val="22"/>
          <w:lang w:val="en-US" w:eastAsia="ru-RU"/>
        </w:rPr>
        <w:t xml:space="preserve">(Subparagraph "Dividends" of paragraph 3.3. amended by the decision of the Board of Directors dated </w:t>
      </w:r>
      <w:r w:rsidR="00C2563C" w:rsidRPr="007D770B">
        <w:rPr>
          <w:rFonts w:ascii="Times New Roman" w:eastAsia="Times New Roman" w:hAnsi="Times New Roman"/>
          <w:i/>
          <w:snapToGrid w:val="0"/>
          <w:color w:val="3366FF"/>
          <w:szCs w:val="22"/>
          <w:lang w:val="en-US" w:eastAsia="ru-RU"/>
        </w:rPr>
        <w:t>31.10.</w:t>
      </w:r>
      <w:r w:rsidR="00E05DBA" w:rsidRPr="007D770B">
        <w:rPr>
          <w:rFonts w:ascii="Times New Roman" w:eastAsia="Times New Roman" w:hAnsi="Times New Roman"/>
          <w:i/>
          <w:snapToGrid w:val="0"/>
          <w:color w:val="3366FF"/>
          <w:szCs w:val="22"/>
          <w:lang w:val="en-US" w:eastAsia="ru-RU"/>
        </w:rPr>
        <w:t xml:space="preserve">2019 (Minutes No. </w:t>
      </w:r>
      <w:r w:rsidR="00C2563C" w:rsidRPr="007D770B">
        <w:rPr>
          <w:rFonts w:ascii="Times New Roman" w:eastAsia="Times New Roman" w:hAnsi="Times New Roman"/>
          <w:i/>
          <w:snapToGrid w:val="0"/>
          <w:color w:val="3366FF"/>
          <w:szCs w:val="22"/>
          <w:lang w:val="en-US" w:eastAsia="ru-RU"/>
        </w:rPr>
        <w:t>13</w:t>
      </w:r>
      <w:r w:rsidR="00E05DBA" w:rsidRPr="007D770B">
        <w:rPr>
          <w:rFonts w:ascii="Times New Roman" w:eastAsia="Times New Roman" w:hAnsi="Times New Roman"/>
          <w:i/>
          <w:snapToGrid w:val="0"/>
          <w:color w:val="3366FF"/>
          <w:szCs w:val="22"/>
          <w:lang w:val="en-US" w:eastAsia="ru-RU"/>
        </w:rPr>
        <w:t>)</w:t>
      </w:r>
    </w:p>
    <w:p w14:paraId="416C423A" w14:textId="77777777" w:rsidR="00E07B21" w:rsidRPr="007D770B" w:rsidRDefault="00E07B21" w:rsidP="00E07B21">
      <w:pPr>
        <w:spacing w:before="240" w:line="240" w:lineRule="auto"/>
        <w:ind w:left="0"/>
        <w:rPr>
          <w:rFonts w:ascii="Times New Roman" w:hAnsi="Times New Roman"/>
          <w:b/>
          <w:lang w:val="en-US"/>
        </w:rPr>
      </w:pPr>
      <w:r w:rsidRPr="007D770B">
        <w:rPr>
          <w:rFonts w:ascii="Times New Roman" w:hAnsi="Times New Roman"/>
          <w:b/>
          <w:lang w:val="en-US"/>
        </w:rPr>
        <w:t>Business continuity</w:t>
      </w:r>
    </w:p>
    <w:p w14:paraId="713581FC" w14:textId="77777777" w:rsidR="00E07B21" w:rsidRPr="007D770B" w:rsidRDefault="00E07B21" w:rsidP="00E07B21">
      <w:pPr>
        <w:spacing w:before="240" w:line="240" w:lineRule="auto"/>
        <w:ind w:left="0"/>
        <w:rPr>
          <w:rFonts w:ascii="Times New Roman" w:hAnsi="Times New Roman"/>
          <w:lang w:val="en-US"/>
        </w:rPr>
      </w:pPr>
      <w:r w:rsidRPr="007D770B">
        <w:rPr>
          <w:rFonts w:ascii="Times New Roman" w:hAnsi="Times New Roman"/>
          <w:lang w:val="en-US"/>
        </w:rPr>
        <w:t>The Bank does not prepare financial statements on a going concern basis if, after the balance sheet date, management determines that it either intends to liquidate the Bank or to suspend operations, or decides that there is no other reasonable alternative.</w:t>
      </w:r>
    </w:p>
    <w:p w14:paraId="2CC8955D" w14:textId="77777777" w:rsidR="00E07B21" w:rsidRPr="007D770B" w:rsidRDefault="00E07B21" w:rsidP="00E07B21">
      <w:pPr>
        <w:spacing w:before="240" w:line="240" w:lineRule="auto"/>
        <w:ind w:left="0"/>
        <w:rPr>
          <w:rFonts w:ascii="Times New Roman" w:hAnsi="Times New Roman"/>
          <w:lang w:val="en-US"/>
        </w:rPr>
      </w:pPr>
      <w:r w:rsidRPr="007D770B">
        <w:rPr>
          <w:rFonts w:ascii="Times New Roman" w:hAnsi="Times New Roman"/>
          <w:lang w:val="en-US"/>
        </w:rPr>
        <w:t>Deterioration in operating results and financial position subsequent to the balance sheet date may indicate the need to consider the applicability of the going concern assumption. If the going concern assumption is no longer applicable, the effect is so significant that, in accordance with this section, it becomes necessary to fundamentally change accounting methods rather than adjusting amounts recognized under the original method of accounting.</w:t>
      </w:r>
    </w:p>
    <w:p w14:paraId="2616CB28" w14:textId="16774EE2" w:rsidR="00E07B21" w:rsidRPr="007D770B" w:rsidRDefault="00E07B21" w:rsidP="00E07B21">
      <w:pPr>
        <w:spacing w:before="240" w:line="240" w:lineRule="auto"/>
        <w:ind w:left="0"/>
        <w:rPr>
          <w:rFonts w:ascii="Times New Roman" w:hAnsi="Times New Roman"/>
          <w:lang w:val="en-US"/>
        </w:rPr>
      </w:pPr>
      <w:r w:rsidRPr="007D770B">
        <w:rPr>
          <w:rFonts w:ascii="Times New Roman" w:hAnsi="Times New Roman"/>
          <w:lang w:val="en-US"/>
        </w:rPr>
        <w:t>Chapter 1</w:t>
      </w:r>
      <w:r w:rsidR="00802136" w:rsidRPr="007D770B">
        <w:rPr>
          <w:rFonts w:ascii="Times New Roman" w:hAnsi="Times New Roman"/>
          <w:lang w:val="en-US"/>
        </w:rPr>
        <w:t xml:space="preserve">, </w:t>
      </w:r>
      <w:r w:rsidRPr="007D770B">
        <w:rPr>
          <w:rFonts w:ascii="Times New Roman" w:hAnsi="Times New Roman"/>
          <w:lang w:val="en-US"/>
        </w:rPr>
        <w:t>Presentation of Financial Statements (IAS 1), requires certain disclosures if:</w:t>
      </w:r>
    </w:p>
    <w:p w14:paraId="537C841D" w14:textId="77777777" w:rsidR="00E07B21" w:rsidRPr="007D770B" w:rsidRDefault="00E07B21" w:rsidP="00AE698A">
      <w:pPr>
        <w:numPr>
          <w:ilvl w:val="0"/>
          <w:numId w:val="118"/>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 xml:space="preserve">the financial statements are not prepared on a going concern basis; </w:t>
      </w:r>
    </w:p>
    <w:p w14:paraId="6AE52A6B" w14:textId="77777777" w:rsidR="00E07B21" w:rsidRPr="007D770B" w:rsidRDefault="00E07B21" w:rsidP="00AE698A">
      <w:pPr>
        <w:numPr>
          <w:ilvl w:val="0"/>
          <w:numId w:val="118"/>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management is aware of material uncertainties about events or conditions that have occurred that may cast significant doubt about the Bank's ability to continue as a going concern. The disclosed events or conditions may occur after the reporting date.</w:t>
      </w:r>
    </w:p>
    <w:p w14:paraId="74993B8F" w14:textId="3396237F" w:rsidR="00E07B21" w:rsidRPr="007D770B" w:rsidRDefault="00CD25B1" w:rsidP="00E61D21">
      <w:pPr>
        <w:pStyle w:val="3"/>
        <w:rPr>
          <w:lang w:val="en-US"/>
        </w:rPr>
      </w:pPr>
      <w:bookmarkStart w:id="413" w:name="_Toc271279927"/>
      <w:bookmarkStart w:id="414" w:name="_Toc277340333"/>
      <w:bookmarkStart w:id="415" w:name="_Toc168502126"/>
      <w:r w:rsidRPr="007D770B">
        <w:rPr>
          <w:lang w:val="en-US"/>
        </w:rPr>
        <w:t>3</w:t>
      </w:r>
      <w:r w:rsidR="00E07B21" w:rsidRPr="007D770B">
        <w:rPr>
          <w:lang w:val="en-US"/>
        </w:rPr>
        <w:t>.4 Disclosure of information</w:t>
      </w:r>
      <w:bookmarkEnd w:id="413"/>
      <w:bookmarkEnd w:id="414"/>
      <w:bookmarkEnd w:id="415"/>
    </w:p>
    <w:p w14:paraId="358EE458" w14:textId="77777777" w:rsidR="00E07B21" w:rsidRPr="007D770B" w:rsidRDefault="00E07B21" w:rsidP="00E07B21">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The Bank discloses the date on which the financial statements were authorized for issue and the persons authorizing the issuance of the financial statements.</w:t>
      </w:r>
    </w:p>
    <w:p w14:paraId="45DAE680" w14:textId="77777777" w:rsidR="00E07B21" w:rsidRPr="007D770B" w:rsidRDefault="00E07B21" w:rsidP="00E07B21">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In certain cases, the Bank is required to update disclosures to reflect information obtained after the reporting date, even if that information does not affect the amounts recognized in the financial statements. For example, amounts already disclosed need to be updated when, after the reporting date, the Bank obtains confirmation of a contingent liability that existed at the reporting date. In considering whether a provision should be recognized, the Bank updates the disclosure of the contingent liability in light of the new information obtained.</w:t>
      </w:r>
    </w:p>
    <w:p w14:paraId="79C990DE" w14:textId="77777777" w:rsidR="00E07B21" w:rsidRPr="007D770B" w:rsidRDefault="00E07B21" w:rsidP="00E07B21">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If non-corrective events after the reporting date are material, their non-disclosure may affect the economic decisions of users taken on the basis of the financial statements. Accordingly, the Bank is required to disclose the following information for each material category of nonadjusting events after the end of the reporting period:</w:t>
      </w:r>
    </w:p>
    <w:p w14:paraId="44C782B8" w14:textId="77777777" w:rsidR="00E07B21" w:rsidRPr="002D4EA3" w:rsidRDefault="00E07B21" w:rsidP="00AE698A">
      <w:pPr>
        <w:numPr>
          <w:ilvl w:val="0"/>
          <w:numId w:val="119"/>
        </w:numPr>
        <w:autoSpaceDE w:val="0"/>
        <w:autoSpaceDN w:val="0"/>
        <w:adjustRightInd w:val="0"/>
        <w:spacing w:before="240" w:line="240" w:lineRule="auto"/>
        <w:rPr>
          <w:rFonts w:ascii="Times New Roman" w:hAnsi="Times New Roman"/>
        </w:rPr>
      </w:pPr>
      <w:r w:rsidRPr="002D4EA3">
        <w:rPr>
          <w:rFonts w:ascii="Times New Roman" w:hAnsi="Times New Roman"/>
        </w:rPr>
        <w:lastRenderedPageBreak/>
        <w:t>nature of the event; and</w:t>
      </w:r>
    </w:p>
    <w:p w14:paraId="34EEA03D" w14:textId="77777777" w:rsidR="00E07B21" w:rsidRPr="007D770B" w:rsidRDefault="00E07B21" w:rsidP="00AE698A">
      <w:pPr>
        <w:numPr>
          <w:ilvl w:val="0"/>
          <w:numId w:val="119"/>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an assessment of its financial impact, or a statement that no such assessment can be made.</w:t>
      </w:r>
    </w:p>
    <w:p w14:paraId="4186245E" w14:textId="77777777" w:rsidR="00E07B21" w:rsidRPr="007D770B" w:rsidRDefault="00E07B21" w:rsidP="00E07B21">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The following are examples of non-adjusting subsequent events for which disclosure is generally required:</w:t>
      </w:r>
    </w:p>
    <w:p w14:paraId="522E0CAE" w14:textId="77777777" w:rsidR="00E07B21" w:rsidRPr="007D770B" w:rsidRDefault="00E07B21" w:rsidP="00AE698A">
      <w:pPr>
        <w:numPr>
          <w:ilvl w:val="0"/>
          <w:numId w:val="120"/>
        </w:numPr>
        <w:autoSpaceDE w:val="0"/>
        <w:autoSpaceDN w:val="0"/>
        <w:adjustRightInd w:val="0"/>
        <w:spacing w:before="200" w:after="200" w:line="240" w:lineRule="auto"/>
        <w:rPr>
          <w:rFonts w:ascii="Times New Roman" w:hAnsi="Times New Roman"/>
          <w:lang w:val="en-US"/>
        </w:rPr>
      </w:pPr>
      <w:r w:rsidRPr="007D770B">
        <w:rPr>
          <w:rFonts w:ascii="Times New Roman" w:hAnsi="Times New Roman"/>
          <w:lang w:val="en-US"/>
        </w:rPr>
        <w:t>major transactions related to the acquisition and disposal of assets;</w:t>
      </w:r>
    </w:p>
    <w:p w14:paraId="4BA94394" w14:textId="77777777" w:rsidR="00E07B21" w:rsidRPr="007D770B" w:rsidRDefault="00E07B21" w:rsidP="00AE698A">
      <w:pPr>
        <w:numPr>
          <w:ilvl w:val="0"/>
          <w:numId w:val="120"/>
        </w:numPr>
        <w:autoSpaceDE w:val="0"/>
        <w:autoSpaceDN w:val="0"/>
        <w:adjustRightInd w:val="0"/>
        <w:spacing w:before="200" w:after="200" w:line="240" w:lineRule="auto"/>
        <w:rPr>
          <w:rFonts w:ascii="Times New Roman" w:hAnsi="Times New Roman"/>
          <w:lang w:val="en-US"/>
        </w:rPr>
      </w:pPr>
      <w:r w:rsidRPr="007D770B">
        <w:rPr>
          <w:rFonts w:ascii="Times New Roman" w:hAnsi="Times New Roman"/>
          <w:lang w:val="en-US"/>
        </w:rPr>
        <w:t>destruction of a significant part of the Bank's property, plant and equipment as a result of a natural disaster after the reporting date;</w:t>
      </w:r>
    </w:p>
    <w:p w14:paraId="379272D6" w14:textId="77777777" w:rsidR="00E07B21" w:rsidRPr="007D770B" w:rsidRDefault="00E07B21" w:rsidP="00AE698A">
      <w:pPr>
        <w:numPr>
          <w:ilvl w:val="0"/>
          <w:numId w:val="120"/>
        </w:numPr>
        <w:autoSpaceDE w:val="0"/>
        <w:autoSpaceDN w:val="0"/>
        <w:adjustRightInd w:val="0"/>
        <w:spacing w:before="200" w:after="200" w:line="240" w:lineRule="auto"/>
        <w:rPr>
          <w:rFonts w:ascii="Times New Roman" w:hAnsi="Times New Roman"/>
          <w:lang w:val="en-US"/>
        </w:rPr>
      </w:pPr>
      <w:r w:rsidRPr="007D770B">
        <w:rPr>
          <w:rFonts w:ascii="Times New Roman" w:hAnsi="Times New Roman"/>
          <w:lang w:val="en-US"/>
        </w:rPr>
        <w:t>announcement of a large-scale restructuring in progress or the beginning of its implementation;</w:t>
      </w:r>
    </w:p>
    <w:p w14:paraId="084C4F11" w14:textId="77777777" w:rsidR="00E07B21" w:rsidRPr="007D770B" w:rsidRDefault="00E07B21" w:rsidP="00AE698A">
      <w:pPr>
        <w:numPr>
          <w:ilvl w:val="0"/>
          <w:numId w:val="120"/>
        </w:numPr>
        <w:autoSpaceDE w:val="0"/>
        <w:autoSpaceDN w:val="0"/>
        <w:adjustRightInd w:val="0"/>
        <w:spacing w:before="200" w:after="200" w:line="240" w:lineRule="auto"/>
        <w:rPr>
          <w:rFonts w:ascii="Times New Roman" w:hAnsi="Times New Roman"/>
          <w:lang w:val="en-US"/>
        </w:rPr>
      </w:pPr>
      <w:r w:rsidRPr="007D770B">
        <w:rPr>
          <w:rFonts w:ascii="Times New Roman" w:hAnsi="Times New Roman"/>
          <w:lang w:val="en-US"/>
        </w:rPr>
        <w:t xml:space="preserve">major transactions with common shares and contracts convertible into common shares (it is recommended to disclose descriptive information about such transactions in the notes to the financial statements, except for transactions related to capitalization and share splits). </w:t>
      </w:r>
    </w:p>
    <w:p w14:paraId="7281F20D" w14:textId="77777777" w:rsidR="00E07B21" w:rsidRPr="007D770B" w:rsidRDefault="00E07B21" w:rsidP="00E07B21">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If the number of common or potentially common shares outstanding has increased as a result of a capitalization/benefit issue/share split or decreased as a result of the issuance of shares of a higher par value with the exchange of old shares, this should be taken into account in the calculation of basic earnings and diluted earnings per share for all periods included in the financial statements;</w:t>
      </w:r>
    </w:p>
    <w:p w14:paraId="7E2FC35F" w14:textId="77777777" w:rsidR="00E07B21" w:rsidRPr="007D770B" w:rsidRDefault="00E07B21" w:rsidP="00AE698A">
      <w:pPr>
        <w:numPr>
          <w:ilvl w:val="0"/>
          <w:numId w:val="121"/>
        </w:numPr>
        <w:tabs>
          <w:tab w:val="left" w:pos="720"/>
          <w:tab w:val="num" w:pos="1980"/>
        </w:tabs>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significant changes in the value of assets or foreign exchange rates subsequent to the reporting date;</w:t>
      </w:r>
    </w:p>
    <w:p w14:paraId="09670E06" w14:textId="77777777" w:rsidR="00E07B21" w:rsidRPr="007D770B" w:rsidRDefault="00E07B21" w:rsidP="00AE698A">
      <w:pPr>
        <w:numPr>
          <w:ilvl w:val="0"/>
          <w:numId w:val="121"/>
        </w:numPr>
        <w:tabs>
          <w:tab w:val="left" w:pos="720"/>
          <w:tab w:val="num" w:pos="1980"/>
        </w:tabs>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changes in tax rates or legislation enacted or announced after the statement of financial position date that have a significant effect on current and deferred tax assets or liabilities;</w:t>
      </w:r>
    </w:p>
    <w:p w14:paraId="5191AF0E" w14:textId="77777777" w:rsidR="00E07B21" w:rsidRPr="007D770B" w:rsidRDefault="00E07B21" w:rsidP="00AE698A">
      <w:pPr>
        <w:numPr>
          <w:ilvl w:val="0"/>
          <w:numId w:val="121"/>
        </w:numPr>
        <w:tabs>
          <w:tab w:val="left" w:pos="720"/>
          <w:tab w:val="num" w:pos="1980"/>
        </w:tabs>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Contracting out significant commitments or contingent liabilities, such as issuing large guarantees; and</w:t>
      </w:r>
    </w:p>
    <w:p w14:paraId="5CF592BC" w14:textId="77777777" w:rsidR="00E07B21" w:rsidRPr="007D770B" w:rsidRDefault="00E07B21" w:rsidP="00AE698A">
      <w:pPr>
        <w:numPr>
          <w:ilvl w:val="0"/>
          <w:numId w:val="121"/>
        </w:numPr>
        <w:tabs>
          <w:tab w:val="left" w:pos="720"/>
          <w:tab w:val="num" w:pos="1980"/>
        </w:tabs>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commencement of a major legal proceeding related solely to events subsequent to the statement of financial position date.</w:t>
      </w:r>
    </w:p>
    <w:p w14:paraId="540B30A7" w14:textId="77777777" w:rsidR="00E07B21" w:rsidRPr="007D770B" w:rsidRDefault="00E07B21" w:rsidP="00E07B21">
      <w:pPr>
        <w:autoSpaceDE w:val="0"/>
        <w:autoSpaceDN w:val="0"/>
        <w:adjustRightInd w:val="0"/>
        <w:spacing w:before="240" w:line="240" w:lineRule="auto"/>
        <w:ind w:left="0"/>
        <w:rPr>
          <w:rFonts w:ascii="Times New Roman" w:hAnsi="Times New Roman"/>
          <w:b/>
          <w:lang w:val="en-US"/>
        </w:rPr>
      </w:pPr>
      <w:r w:rsidRPr="007D770B">
        <w:rPr>
          <w:rFonts w:ascii="Times New Roman" w:hAnsi="Times New Roman"/>
          <w:b/>
          <w:lang w:val="en-US"/>
        </w:rPr>
        <w:t xml:space="preserve">Specific applications </w:t>
      </w:r>
    </w:p>
    <w:p w14:paraId="4C566842" w14:textId="77777777" w:rsidR="00E07B21" w:rsidRPr="007D770B" w:rsidRDefault="00E07B21" w:rsidP="00E07B21">
      <w:pPr>
        <w:keepNext/>
        <w:autoSpaceDE w:val="0"/>
        <w:autoSpaceDN w:val="0"/>
        <w:adjustRightInd w:val="0"/>
        <w:spacing w:before="240" w:line="240" w:lineRule="auto"/>
        <w:ind w:left="0"/>
        <w:rPr>
          <w:rFonts w:ascii="Times New Roman" w:hAnsi="Times New Roman"/>
          <w:b/>
          <w:i/>
          <w:lang w:val="en-US"/>
        </w:rPr>
      </w:pPr>
      <w:r w:rsidRPr="007D770B">
        <w:rPr>
          <w:rFonts w:ascii="Times New Roman" w:hAnsi="Times New Roman"/>
          <w:b/>
          <w:i/>
          <w:lang w:val="en-US"/>
        </w:rPr>
        <w:t xml:space="preserve">Provisions, contingent liabilities and contingent assets </w:t>
      </w:r>
    </w:p>
    <w:p w14:paraId="29EA93E7" w14:textId="77777777" w:rsidR="00E07B21" w:rsidRPr="007D770B" w:rsidRDefault="00E07B21" w:rsidP="00E07B21">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 xml:space="preserve">A restructuring decision made by management or the Board of Directors before the reporting date does not give rise to a liability at the reporting date unless the Bank has incurred a liability prior to the reporting date: </w:t>
      </w:r>
    </w:p>
    <w:p w14:paraId="2738DC49" w14:textId="77777777" w:rsidR="00E07B21" w:rsidRPr="007D770B" w:rsidRDefault="00E07B21" w:rsidP="00AE698A">
      <w:pPr>
        <w:numPr>
          <w:ilvl w:val="0"/>
          <w:numId w:val="122"/>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 xml:space="preserve">commenced implementation of the restructuring plan; or </w:t>
      </w:r>
    </w:p>
    <w:p w14:paraId="4B67AE6A" w14:textId="77777777" w:rsidR="00E07B21" w:rsidRPr="007D770B" w:rsidRDefault="00E07B21" w:rsidP="00AE698A">
      <w:pPr>
        <w:numPr>
          <w:ilvl w:val="0"/>
          <w:numId w:val="122"/>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 xml:space="preserve">communicated the main features of the restructuring plan to the stakeholders and thus created a reasonable expectation that the Bank would actually carry out the restructuring. </w:t>
      </w:r>
    </w:p>
    <w:p w14:paraId="639B06CD" w14:textId="77777777" w:rsidR="004F05C7" w:rsidRPr="007D770B" w:rsidRDefault="00E07B21" w:rsidP="00E07B21">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If the Bank commences a restructuring plan or communicates the main features of the plan to stakeholders only after the reporting date, disclosures are made if the restructuring is material and non-disclosure could affect the economic decisions of users taken on the basis of these financial statements.</w:t>
      </w:r>
    </w:p>
    <w:p w14:paraId="4D60CEB3" w14:textId="77777777" w:rsidR="004F05C7" w:rsidRPr="007D770B" w:rsidRDefault="004F05C7" w:rsidP="0053041B">
      <w:pPr>
        <w:autoSpaceDE w:val="0"/>
        <w:autoSpaceDN w:val="0"/>
        <w:adjustRightInd w:val="0"/>
        <w:spacing w:before="240" w:line="240" w:lineRule="auto"/>
        <w:ind w:left="0"/>
        <w:rPr>
          <w:rFonts w:ascii="Times New Roman" w:hAnsi="Times New Roman"/>
          <w:lang w:val="en-US"/>
        </w:rPr>
        <w:sectPr w:rsidR="004F05C7" w:rsidRPr="007D770B" w:rsidSect="000610F9">
          <w:headerReference w:type="even" r:id="rId86"/>
          <w:headerReference w:type="default" r:id="rId87"/>
          <w:headerReference w:type="first" r:id="rId88"/>
          <w:pgSz w:w="11906" w:h="16838"/>
          <w:pgMar w:top="1268" w:right="680" w:bottom="900" w:left="1134" w:header="510" w:footer="404" w:gutter="0"/>
          <w:cols w:space="708"/>
          <w:titlePg/>
          <w:docGrid w:linePitch="360"/>
        </w:sectPr>
      </w:pPr>
    </w:p>
    <w:p w14:paraId="15E675E8" w14:textId="5DB2DE4D" w:rsidR="00BB7AB8" w:rsidRPr="007D770B" w:rsidRDefault="00BB7AB8" w:rsidP="00791F57">
      <w:pPr>
        <w:pStyle w:val="2"/>
        <w:pageBreakBefore/>
        <w:jc w:val="both"/>
        <w:rPr>
          <w:rFonts w:ascii="Times New Roman" w:hAnsi="Times New Roman"/>
          <w:sz w:val="22"/>
          <w:szCs w:val="22"/>
          <w:lang w:val="en-US"/>
        </w:rPr>
      </w:pPr>
      <w:bookmarkStart w:id="416" w:name="_Toc335757837"/>
      <w:bookmarkStart w:id="417" w:name="_Toc168502127"/>
      <w:r w:rsidRPr="007D770B">
        <w:rPr>
          <w:rFonts w:ascii="Times New Roman" w:hAnsi="Times New Roman"/>
          <w:sz w:val="22"/>
          <w:szCs w:val="22"/>
          <w:lang w:val="en-US"/>
        </w:rPr>
        <w:lastRenderedPageBreak/>
        <w:t xml:space="preserve">Section </w:t>
      </w:r>
      <w:r w:rsidR="00CD25B1" w:rsidRPr="007D770B">
        <w:rPr>
          <w:rFonts w:ascii="Times New Roman" w:hAnsi="Times New Roman"/>
          <w:sz w:val="22"/>
          <w:szCs w:val="22"/>
          <w:lang w:val="en-US"/>
        </w:rPr>
        <w:t>4</w:t>
      </w:r>
      <w:r w:rsidRPr="007D770B">
        <w:rPr>
          <w:rFonts w:ascii="Times New Roman" w:hAnsi="Times New Roman"/>
          <w:sz w:val="22"/>
          <w:szCs w:val="22"/>
          <w:lang w:val="en-US"/>
        </w:rPr>
        <w:t>: Accounting for pledged property</w:t>
      </w:r>
      <w:bookmarkEnd w:id="416"/>
      <w:bookmarkEnd w:id="417"/>
    </w:p>
    <w:p w14:paraId="454606B2" w14:textId="283254C3" w:rsidR="00BB7AB8" w:rsidRPr="007D770B" w:rsidRDefault="00CD25B1" w:rsidP="00E61D21">
      <w:pPr>
        <w:pStyle w:val="3"/>
        <w:rPr>
          <w:lang w:val="en-US"/>
        </w:rPr>
      </w:pPr>
      <w:bookmarkStart w:id="418" w:name="_Toc335757838"/>
      <w:bookmarkStart w:id="419" w:name="_Toc168502128"/>
      <w:r w:rsidRPr="007D770B">
        <w:rPr>
          <w:lang w:val="en-US"/>
        </w:rPr>
        <w:t>4</w:t>
      </w:r>
      <w:r w:rsidR="00BB7AB8" w:rsidRPr="007D770B">
        <w:rPr>
          <w:lang w:val="en-US"/>
        </w:rPr>
        <w:t>.1 Scope of application</w:t>
      </w:r>
      <w:bookmarkEnd w:id="418"/>
      <w:bookmarkEnd w:id="419"/>
    </w:p>
    <w:p w14:paraId="645306DB" w14:textId="3805BA00" w:rsidR="00BB7AB8" w:rsidRPr="007D770B" w:rsidRDefault="00BB7AB8" w:rsidP="00BB7AB8">
      <w:pPr>
        <w:autoSpaceDE w:val="0"/>
        <w:autoSpaceDN w:val="0"/>
        <w:adjustRightInd w:val="0"/>
        <w:spacing w:line="240" w:lineRule="auto"/>
        <w:ind w:left="0"/>
        <w:rPr>
          <w:rFonts w:ascii="Times New Roman" w:hAnsi="Times New Roman"/>
          <w:lang w:val="en-US"/>
        </w:rPr>
      </w:pPr>
      <w:r w:rsidRPr="007D770B">
        <w:rPr>
          <w:rFonts w:ascii="Times New Roman" w:hAnsi="Times New Roman"/>
          <w:lang w:val="en-US"/>
        </w:rPr>
        <w:t xml:space="preserve">These accounting policies are applied to determine the classification of assets transferred to the </w:t>
      </w:r>
      <w:r w:rsidR="006B64E7" w:rsidRPr="007D770B">
        <w:rPr>
          <w:rFonts w:ascii="Times New Roman" w:hAnsi="Times New Roman"/>
          <w:lang w:val="en-US"/>
        </w:rPr>
        <w:t xml:space="preserve">Bank </w:t>
      </w:r>
      <w:r w:rsidRPr="007D770B">
        <w:rPr>
          <w:rFonts w:ascii="Times New Roman" w:hAnsi="Times New Roman"/>
          <w:lang w:val="en-US"/>
        </w:rPr>
        <w:t xml:space="preserve">as a result of full and partial </w:t>
      </w:r>
      <w:r w:rsidR="00CC1C39" w:rsidRPr="007D770B">
        <w:rPr>
          <w:rFonts w:ascii="Times New Roman" w:hAnsi="Times New Roman"/>
          <w:lang w:val="en-US"/>
        </w:rPr>
        <w:t xml:space="preserve">settlement of overdue loans </w:t>
      </w:r>
      <w:r w:rsidRPr="007D770B">
        <w:rPr>
          <w:rFonts w:ascii="Times New Roman" w:hAnsi="Times New Roman"/>
          <w:lang w:val="en-US"/>
        </w:rPr>
        <w:t>to</w:t>
      </w:r>
      <w:r w:rsidR="00CC1C39" w:rsidRPr="007D770B">
        <w:rPr>
          <w:rFonts w:ascii="Times New Roman" w:hAnsi="Times New Roman"/>
          <w:lang w:val="en-US"/>
        </w:rPr>
        <w:t xml:space="preserve"> the </w:t>
      </w:r>
      <w:r w:rsidR="00F9744B" w:rsidRPr="007D770B">
        <w:rPr>
          <w:rFonts w:ascii="Times New Roman" w:hAnsi="Times New Roman"/>
          <w:lang w:val="en-US"/>
        </w:rPr>
        <w:t>Bank</w:t>
      </w:r>
      <w:r w:rsidRPr="007D770B">
        <w:rPr>
          <w:rFonts w:ascii="Times New Roman" w:hAnsi="Times New Roman"/>
          <w:lang w:val="en-US"/>
        </w:rPr>
        <w:t>. Other aspects of accounting for these assets are governed by other accounting policies.</w:t>
      </w:r>
    </w:p>
    <w:p w14:paraId="603AED1A" w14:textId="2DEA9242" w:rsidR="00BB7AB8" w:rsidRPr="007D770B" w:rsidRDefault="00CD25B1" w:rsidP="00E61D21">
      <w:pPr>
        <w:pStyle w:val="3"/>
        <w:rPr>
          <w:lang w:val="en-US"/>
        </w:rPr>
      </w:pPr>
      <w:bookmarkStart w:id="420" w:name="_Toc335757839"/>
      <w:bookmarkStart w:id="421" w:name="_Toc168502129"/>
      <w:r w:rsidRPr="007D770B">
        <w:rPr>
          <w:lang w:val="en-US"/>
        </w:rPr>
        <w:t>4</w:t>
      </w:r>
      <w:r w:rsidR="00BB7AB8" w:rsidRPr="007D770B">
        <w:rPr>
          <w:lang w:val="en-US"/>
        </w:rPr>
        <w:t>.2 Classification</w:t>
      </w:r>
      <w:bookmarkEnd w:id="420"/>
      <w:bookmarkEnd w:id="421"/>
    </w:p>
    <w:p w14:paraId="51FA5534" w14:textId="514B6E1D" w:rsidR="007C4584" w:rsidRPr="007D770B" w:rsidRDefault="005E28A5" w:rsidP="00CC1A2C">
      <w:pPr>
        <w:autoSpaceDE w:val="0"/>
        <w:autoSpaceDN w:val="0"/>
        <w:adjustRightInd w:val="0"/>
        <w:spacing w:line="240" w:lineRule="auto"/>
        <w:ind w:left="0"/>
        <w:rPr>
          <w:rFonts w:ascii="Times New Roman" w:hAnsi="Times New Roman"/>
          <w:lang w:val="en-US"/>
        </w:rPr>
      </w:pPr>
      <w:r w:rsidRPr="007D770B">
        <w:rPr>
          <w:rFonts w:ascii="Times New Roman" w:hAnsi="Times New Roman"/>
          <w:lang w:val="en-US"/>
        </w:rPr>
        <w:t xml:space="preserve">Repossessed collateral represents financial and non-financial assets received by the </w:t>
      </w:r>
      <w:r w:rsidR="00F9744B" w:rsidRPr="007D770B">
        <w:rPr>
          <w:rFonts w:ascii="Times New Roman" w:hAnsi="Times New Roman"/>
          <w:lang w:val="en-US"/>
        </w:rPr>
        <w:t xml:space="preserve">Bank </w:t>
      </w:r>
      <w:r w:rsidRPr="007D770B">
        <w:rPr>
          <w:rFonts w:ascii="Times New Roman" w:hAnsi="Times New Roman"/>
          <w:lang w:val="en-US"/>
        </w:rPr>
        <w:t xml:space="preserve">in settlement of overdue loans. These assets are initially recognized at fair value when received and are included in inventories within other assets depending on their nature </w:t>
      </w:r>
      <w:r w:rsidR="003D79F7" w:rsidRPr="007D770B">
        <w:rPr>
          <w:rFonts w:ascii="Times New Roman" w:hAnsi="Times New Roman"/>
          <w:lang w:val="en-US"/>
        </w:rPr>
        <w:t xml:space="preserve">as described in section </w:t>
      </w:r>
      <w:r w:rsidR="00644F90" w:rsidRPr="007D770B">
        <w:rPr>
          <w:rFonts w:ascii="Times New Roman" w:hAnsi="Times New Roman"/>
          <w:lang w:val="en-US"/>
        </w:rPr>
        <w:t xml:space="preserve">4 </w:t>
      </w:r>
      <w:r w:rsidR="00802136" w:rsidRPr="007D770B">
        <w:rPr>
          <w:rFonts w:ascii="Times New Roman" w:hAnsi="Times New Roman"/>
          <w:lang w:val="en-US"/>
        </w:rPr>
        <w:t>"</w:t>
      </w:r>
      <w:r w:rsidR="00644F90" w:rsidRPr="007D770B">
        <w:rPr>
          <w:rFonts w:ascii="Times New Roman" w:hAnsi="Times New Roman"/>
          <w:lang w:val="en-US"/>
        </w:rPr>
        <w:t>Inventories</w:t>
      </w:r>
      <w:r w:rsidR="00802136" w:rsidRPr="007D770B">
        <w:rPr>
          <w:rFonts w:ascii="Times New Roman" w:hAnsi="Times New Roman"/>
          <w:lang w:val="en-US"/>
        </w:rPr>
        <w:t xml:space="preserve">" </w:t>
      </w:r>
      <w:r w:rsidR="003D79F7" w:rsidRPr="007D770B">
        <w:rPr>
          <w:rFonts w:ascii="Times New Roman" w:hAnsi="Times New Roman"/>
          <w:lang w:val="en-US"/>
        </w:rPr>
        <w:t xml:space="preserve">in </w:t>
      </w:r>
      <w:r w:rsidR="00644F90" w:rsidRPr="007D770B">
        <w:rPr>
          <w:rFonts w:ascii="Times New Roman" w:hAnsi="Times New Roman"/>
          <w:lang w:val="en-US"/>
        </w:rPr>
        <w:t>Chapter 2</w:t>
      </w:r>
      <w:r w:rsidR="00CC1A2C" w:rsidRPr="007D770B">
        <w:rPr>
          <w:rFonts w:ascii="Times New Roman" w:hAnsi="Times New Roman"/>
          <w:lang w:val="en-US"/>
        </w:rPr>
        <w:t>.</w:t>
      </w:r>
    </w:p>
    <w:p w14:paraId="0BA38FEC" w14:textId="77777777" w:rsidR="006816CF" w:rsidRPr="007D770B" w:rsidRDefault="006816CF" w:rsidP="00CC1A2C">
      <w:pPr>
        <w:autoSpaceDE w:val="0"/>
        <w:autoSpaceDN w:val="0"/>
        <w:adjustRightInd w:val="0"/>
        <w:spacing w:line="240" w:lineRule="auto"/>
        <w:ind w:left="0"/>
        <w:rPr>
          <w:rFonts w:ascii="Times New Roman" w:hAnsi="Times New Roman"/>
          <w:lang w:val="en-US"/>
        </w:rPr>
      </w:pPr>
    </w:p>
    <w:p w14:paraId="1CD51705" w14:textId="77777777" w:rsidR="00421D23" w:rsidRPr="007D770B" w:rsidRDefault="00421D23" w:rsidP="00421D23">
      <w:pPr>
        <w:rPr>
          <w:lang w:val="en-US"/>
        </w:rPr>
        <w:sectPr w:rsidR="00421D23" w:rsidRPr="007D770B" w:rsidSect="000610F9">
          <w:headerReference w:type="even" r:id="rId89"/>
          <w:headerReference w:type="default" r:id="rId90"/>
          <w:headerReference w:type="first" r:id="rId91"/>
          <w:pgSz w:w="11906" w:h="16838"/>
          <w:pgMar w:top="1268" w:right="680" w:bottom="900" w:left="1134" w:header="510" w:footer="404" w:gutter="0"/>
          <w:cols w:space="708"/>
          <w:titlePg/>
          <w:docGrid w:linePitch="360"/>
        </w:sectPr>
      </w:pPr>
    </w:p>
    <w:p w14:paraId="35E0DCD4" w14:textId="39E8389D" w:rsidR="009E2B77" w:rsidRPr="007D770B" w:rsidRDefault="009E2B77" w:rsidP="00FA7EFF">
      <w:pPr>
        <w:pStyle w:val="2"/>
        <w:pageBreakBefore/>
        <w:tabs>
          <w:tab w:val="left" w:pos="0"/>
        </w:tabs>
        <w:spacing w:before="240"/>
        <w:jc w:val="both"/>
        <w:rPr>
          <w:rFonts w:ascii="Times New Roman" w:hAnsi="Times New Roman"/>
          <w:szCs w:val="20"/>
          <w:lang w:val="en-US"/>
        </w:rPr>
      </w:pPr>
      <w:bookmarkStart w:id="422" w:name="_Toc168502130"/>
      <w:r w:rsidRPr="007D770B">
        <w:rPr>
          <w:rFonts w:ascii="Times New Roman" w:hAnsi="Times New Roman"/>
          <w:szCs w:val="20"/>
          <w:lang w:val="en-US"/>
        </w:rPr>
        <w:lastRenderedPageBreak/>
        <w:t xml:space="preserve">Section </w:t>
      </w:r>
      <w:r w:rsidR="00CD25B1" w:rsidRPr="007D770B">
        <w:rPr>
          <w:rFonts w:ascii="Times New Roman" w:hAnsi="Times New Roman"/>
          <w:szCs w:val="20"/>
          <w:lang w:val="en-US"/>
        </w:rPr>
        <w:t>5</w:t>
      </w:r>
      <w:r w:rsidRPr="007D770B">
        <w:rPr>
          <w:rFonts w:ascii="Times New Roman" w:hAnsi="Times New Roman"/>
          <w:szCs w:val="20"/>
          <w:lang w:val="en-US"/>
        </w:rPr>
        <w:t>: Fair Value Measurement (IFRS 13)</w:t>
      </w:r>
      <w:bookmarkEnd w:id="422"/>
    </w:p>
    <w:p w14:paraId="0E848BD5" w14:textId="00652EC1" w:rsidR="009E2B77" w:rsidRPr="007D770B" w:rsidRDefault="00CD25B1" w:rsidP="00E61D21">
      <w:pPr>
        <w:pStyle w:val="3"/>
        <w:rPr>
          <w:lang w:val="en-US"/>
        </w:rPr>
      </w:pPr>
      <w:bookmarkStart w:id="423" w:name="_Toc168502131"/>
      <w:r w:rsidRPr="007D770B">
        <w:rPr>
          <w:lang w:val="en-US"/>
        </w:rPr>
        <w:t>5</w:t>
      </w:r>
      <w:r w:rsidR="009E2B77" w:rsidRPr="007D770B">
        <w:rPr>
          <w:lang w:val="en-US"/>
        </w:rPr>
        <w:t xml:space="preserve">.1 </w:t>
      </w:r>
      <w:r w:rsidR="00A519B6" w:rsidRPr="007D770B">
        <w:rPr>
          <w:lang w:val="en-US"/>
        </w:rPr>
        <w:t>General provisions</w:t>
      </w:r>
      <w:bookmarkEnd w:id="423"/>
    </w:p>
    <w:p w14:paraId="0DF5238D"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These accounting policies are applied when any other section requires or permits fair value measurements or disclosures about fair value measurements (as well as measurements such as fair value less costs to sell based on fair value or disclosures about such measurements), except as provided below:</w:t>
      </w:r>
    </w:p>
    <w:p w14:paraId="1061A268" w14:textId="16E1DDC5" w:rsidR="009E2B77" w:rsidRPr="007D770B" w:rsidRDefault="009E2B77" w:rsidP="00AE698A">
      <w:pPr>
        <w:pStyle w:val="aa"/>
        <w:numPr>
          <w:ilvl w:val="0"/>
          <w:numId w:val="239"/>
        </w:numPr>
        <w:autoSpaceDE w:val="0"/>
        <w:autoSpaceDN w:val="0"/>
        <w:adjustRightInd w:val="0"/>
        <w:spacing w:before="240" w:line="240" w:lineRule="auto"/>
        <w:contextualSpacing w:val="0"/>
        <w:rPr>
          <w:rFonts w:ascii="Times New Roman" w:hAnsi="Times New Roman"/>
          <w:lang w:val="en-US"/>
        </w:rPr>
      </w:pPr>
      <w:r w:rsidRPr="007D770B">
        <w:rPr>
          <w:rFonts w:ascii="Times New Roman" w:hAnsi="Times New Roman"/>
          <w:lang w:val="en-US"/>
        </w:rPr>
        <w:t xml:space="preserve">Share-based payment transactions that fall within </w:t>
      </w:r>
      <w:r w:rsidR="00D65649" w:rsidRPr="007D770B">
        <w:rPr>
          <w:rFonts w:ascii="Times New Roman" w:hAnsi="Times New Roman"/>
          <w:lang w:val="en-US"/>
        </w:rPr>
        <w:t>the</w:t>
      </w:r>
      <w:r w:rsidRPr="007D770B">
        <w:rPr>
          <w:rFonts w:ascii="Times New Roman" w:hAnsi="Times New Roman"/>
          <w:lang w:val="en-US"/>
        </w:rPr>
        <w:t xml:space="preserve"> scope of Share-based </w:t>
      </w:r>
      <w:r w:rsidR="00D65649" w:rsidRPr="007D770B">
        <w:rPr>
          <w:rFonts w:ascii="Times New Roman" w:hAnsi="Times New Roman"/>
          <w:lang w:val="en-US"/>
        </w:rPr>
        <w:t xml:space="preserve">Payment </w:t>
      </w:r>
      <w:r w:rsidRPr="007D770B">
        <w:rPr>
          <w:rFonts w:ascii="Times New Roman" w:hAnsi="Times New Roman"/>
          <w:lang w:val="en-US"/>
        </w:rPr>
        <w:t>(IFRS 2);</w:t>
      </w:r>
    </w:p>
    <w:p w14:paraId="0CA01C84" w14:textId="059345F5" w:rsidR="009E2B77" w:rsidRPr="007D770B" w:rsidRDefault="009E2B77" w:rsidP="00AE698A">
      <w:pPr>
        <w:pStyle w:val="aa"/>
        <w:numPr>
          <w:ilvl w:val="0"/>
          <w:numId w:val="239"/>
        </w:numPr>
        <w:autoSpaceDE w:val="0"/>
        <w:autoSpaceDN w:val="0"/>
        <w:adjustRightInd w:val="0"/>
        <w:spacing w:before="240" w:line="240" w:lineRule="auto"/>
        <w:contextualSpacing w:val="0"/>
        <w:rPr>
          <w:rFonts w:ascii="Times New Roman" w:hAnsi="Times New Roman"/>
          <w:lang w:val="en-US"/>
        </w:rPr>
      </w:pPr>
      <w:r w:rsidRPr="007D770B">
        <w:rPr>
          <w:rFonts w:ascii="Times New Roman" w:hAnsi="Times New Roman"/>
          <w:lang w:val="en-US"/>
        </w:rPr>
        <w:t xml:space="preserve">Lease transactions within the scope of Chapter 2, Section </w:t>
      </w:r>
      <w:r w:rsidR="00B703CC" w:rsidRPr="007D770B">
        <w:rPr>
          <w:rFonts w:ascii="Times New Roman" w:hAnsi="Times New Roman"/>
          <w:lang w:val="en-US"/>
        </w:rPr>
        <w:t xml:space="preserve">12 </w:t>
      </w:r>
      <w:r w:rsidRPr="007D770B">
        <w:rPr>
          <w:rFonts w:ascii="Times New Roman" w:hAnsi="Times New Roman"/>
          <w:lang w:val="en-US"/>
        </w:rPr>
        <w:t>Leases (</w:t>
      </w:r>
      <w:r w:rsidR="00B703CC" w:rsidRPr="007D770B">
        <w:rPr>
          <w:rFonts w:ascii="Times New Roman" w:hAnsi="Times New Roman"/>
          <w:lang w:val="en-US"/>
        </w:rPr>
        <w:t>IFRS 16</w:t>
      </w:r>
      <w:r w:rsidRPr="007D770B">
        <w:rPr>
          <w:rFonts w:ascii="Times New Roman" w:hAnsi="Times New Roman"/>
          <w:lang w:val="en-US"/>
        </w:rPr>
        <w:t>);</w:t>
      </w:r>
    </w:p>
    <w:p w14:paraId="7572B849" w14:textId="3A3D646A" w:rsidR="009E2B77" w:rsidRPr="007D770B" w:rsidRDefault="009E2B77" w:rsidP="00AE698A">
      <w:pPr>
        <w:pStyle w:val="aa"/>
        <w:numPr>
          <w:ilvl w:val="0"/>
          <w:numId w:val="239"/>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 xml:space="preserve">estimates that bear some resemblance to fair value but are not fair value, such as net realizable value in section 4 </w:t>
      </w:r>
      <w:r w:rsidR="00802136" w:rsidRPr="007D770B">
        <w:rPr>
          <w:rFonts w:ascii="Times New Roman" w:hAnsi="Times New Roman"/>
          <w:lang w:val="en-US"/>
        </w:rPr>
        <w:t>"</w:t>
      </w:r>
      <w:r w:rsidRPr="007D770B">
        <w:rPr>
          <w:rFonts w:ascii="Times New Roman" w:hAnsi="Times New Roman"/>
          <w:lang w:val="en-US"/>
        </w:rPr>
        <w:t>Inventories (IAS 2)</w:t>
      </w:r>
      <w:r w:rsidR="00802136" w:rsidRPr="007D770B">
        <w:rPr>
          <w:rFonts w:ascii="Times New Roman" w:hAnsi="Times New Roman"/>
          <w:lang w:val="en-US"/>
        </w:rPr>
        <w:t xml:space="preserve">" </w:t>
      </w:r>
      <w:r w:rsidRPr="007D770B">
        <w:rPr>
          <w:rFonts w:ascii="Times New Roman" w:hAnsi="Times New Roman"/>
          <w:lang w:val="en-US"/>
        </w:rPr>
        <w:t xml:space="preserve">of Chapter 2 or the value in use of an asset in section </w:t>
      </w:r>
      <w:r w:rsidR="00B703CC" w:rsidRPr="007D770B">
        <w:rPr>
          <w:rFonts w:ascii="Times New Roman" w:hAnsi="Times New Roman"/>
          <w:lang w:val="en-US"/>
        </w:rPr>
        <w:t xml:space="preserve">11 </w:t>
      </w:r>
      <w:r w:rsidR="00802136" w:rsidRPr="007D770B">
        <w:rPr>
          <w:rFonts w:ascii="Times New Roman" w:hAnsi="Times New Roman"/>
          <w:lang w:val="en-US"/>
        </w:rPr>
        <w:t>"</w:t>
      </w:r>
      <w:r w:rsidRPr="007D770B">
        <w:rPr>
          <w:rFonts w:ascii="Times New Roman" w:hAnsi="Times New Roman"/>
          <w:lang w:val="en-US"/>
        </w:rPr>
        <w:t>Impairment of Assets (IAS 36)</w:t>
      </w:r>
      <w:r w:rsidR="00802136" w:rsidRPr="007D770B">
        <w:rPr>
          <w:rFonts w:ascii="Times New Roman" w:hAnsi="Times New Roman"/>
          <w:lang w:val="en-US"/>
        </w:rPr>
        <w:t xml:space="preserve">" of </w:t>
      </w:r>
      <w:r w:rsidRPr="007D770B">
        <w:rPr>
          <w:rFonts w:ascii="Times New Roman" w:hAnsi="Times New Roman"/>
          <w:lang w:val="en-US"/>
        </w:rPr>
        <w:t>Chapter 2.</w:t>
      </w:r>
    </w:p>
    <w:p w14:paraId="3729FCF2" w14:textId="25752720" w:rsidR="008723EF" w:rsidRPr="007D770B" w:rsidRDefault="009E2B77" w:rsidP="008723EF">
      <w:pPr>
        <w:widowControl w:val="0"/>
        <w:tabs>
          <w:tab w:val="left" w:pos="0"/>
        </w:tabs>
        <w:spacing w:line="240" w:lineRule="auto"/>
        <w:ind w:left="0"/>
        <w:rPr>
          <w:rFonts w:ascii="Times New Roman" w:eastAsia="Times New Roman" w:hAnsi="Times New Roman"/>
          <w:i/>
          <w:snapToGrid w:val="0"/>
          <w:color w:val="3366FF"/>
          <w:szCs w:val="22"/>
          <w:lang w:val="en-US" w:eastAsia="ru-RU"/>
        </w:rPr>
      </w:pPr>
      <w:r w:rsidRPr="007D770B">
        <w:rPr>
          <w:rFonts w:ascii="Times New Roman" w:hAnsi="Times New Roman"/>
          <w:lang w:val="en-US"/>
        </w:rPr>
        <w:t xml:space="preserve">The fair value measurement framework described in this section applies to both initial and subsequent measurement if the use of fair value is required or permitted by other accounting policies of the </w:t>
      </w:r>
      <w:r w:rsidR="00F9744B" w:rsidRPr="007D770B">
        <w:rPr>
          <w:rFonts w:ascii="Times New Roman" w:hAnsi="Times New Roman"/>
          <w:lang w:val="en-US"/>
        </w:rPr>
        <w:t>Bank</w:t>
      </w:r>
      <w:r w:rsidRPr="007D770B">
        <w:rPr>
          <w:rFonts w:ascii="Times New Roman" w:hAnsi="Times New Roman"/>
          <w:lang w:val="en-US"/>
        </w:rPr>
        <w:t xml:space="preserve">. </w:t>
      </w:r>
      <w:r w:rsidR="008723EF" w:rsidRPr="007D770B">
        <w:rPr>
          <w:rFonts w:ascii="Times New Roman" w:eastAsia="Times New Roman" w:hAnsi="Times New Roman"/>
          <w:i/>
          <w:snapToGrid w:val="0"/>
          <w:color w:val="3366FF"/>
          <w:szCs w:val="22"/>
          <w:lang w:val="en-US" w:eastAsia="ru-RU"/>
        </w:rPr>
        <w:t xml:space="preserve">(Paragraph 5.1. "General Provisions" was amended by the resolution of the Board of Directors dated </w:t>
      </w:r>
      <w:r w:rsidR="00D9317C" w:rsidRPr="007D770B">
        <w:rPr>
          <w:rFonts w:ascii="Times New Roman" w:eastAsia="Times New Roman" w:hAnsi="Times New Roman"/>
          <w:i/>
          <w:snapToGrid w:val="0"/>
          <w:color w:val="3366FF"/>
          <w:szCs w:val="22"/>
          <w:lang w:val="en-US" w:eastAsia="ru-RU"/>
        </w:rPr>
        <w:t>31</w:t>
      </w:r>
      <w:r w:rsidR="008723EF" w:rsidRPr="007D770B">
        <w:rPr>
          <w:rFonts w:ascii="Times New Roman" w:eastAsia="Times New Roman" w:hAnsi="Times New Roman"/>
          <w:i/>
          <w:snapToGrid w:val="0"/>
          <w:color w:val="3366FF"/>
          <w:szCs w:val="22"/>
          <w:lang w:val="en-US" w:eastAsia="ru-RU"/>
        </w:rPr>
        <w:t>.</w:t>
      </w:r>
      <w:r w:rsidR="00D9317C" w:rsidRPr="007D770B">
        <w:rPr>
          <w:rFonts w:ascii="Times New Roman" w:eastAsia="Times New Roman" w:hAnsi="Times New Roman"/>
          <w:i/>
          <w:snapToGrid w:val="0"/>
          <w:color w:val="3366FF"/>
          <w:szCs w:val="22"/>
          <w:lang w:val="en-US" w:eastAsia="ru-RU"/>
        </w:rPr>
        <w:t>10</w:t>
      </w:r>
      <w:r w:rsidR="008723EF" w:rsidRPr="007D770B">
        <w:rPr>
          <w:rFonts w:ascii="Times New Roman" w:eastAsia="Times New Roman" w:hAnsi="Times New Roman"/>
          <w:i/>
          <w:snapToGrid w:val="0"/>
          <w:color w:val="3366FF"/>
          <w:szCs w:val="22"/>
          <w:lang w:val="en-US" w:eastAsia="ru-RU"/>
        </w:rPr>
        <w:t xml:space="preserve">.2019 (Minutes No. </w:t>
      </w:r>
      <w:r w:rsidR="00D9317C" w:rsidRPr="007D770B">
        <w:rPr>
          <w:rFonts w:ascii="Times New Roman" w:eastAsia="Times New Roman" w:hAnsi="Times New Roman"/>
          <w:i/>
          <w:snapToGrid w:val="0"/>
          <w:color w:val="3366FF"/>
          <w:szCs w:val="22"/>
          <w:lang w:val="en-US" w:eastAsia="ru-RU"/>
        </w:rPr>
        <w:t>13</w:t>
      </w:r>
      <w:r w:rsidR="008723EF" w:rsidRPr="007D770B">
        <w:rPr>
          <w:rFonts w:ascii="Times New Roman" w:eastAsia="Times New Roman" w:hAnsi="Times New Roman"/>
          <w:i/>
          <w:snapToGrid w:val="0"/>
          <w:color w:val="3366FF"/>
          <w:szCs w:val="22"/>
          <w:lang w:val="en-US" w:eastAsia="ru-RU"/>
        </w:rPr>
        <w:t>)</w:t>
      </w:r>
    </w:p>
    <w:p w14:paraId="2F6B49B7" w14:textId="4B9C54C6" w:rsidR="009E2B77" w:rsidRPr="007D770B" w:rsidRDefault="00CD25B1" w:rsidP="00E61D21">
      <w:pPr>
        <w:pStyle w:val="3"/>
        <w:rPr>
          <w:lang w:val="en-US"/>
        </w:rPr>
      </w:pPr>
      <w:bookmarkStart w:id="424" w:name="_Toc168502132"/>
      <w:r w:rsidRPr="007D770B">
        <w:rPr>
          <w:lang w:val="en-US"/>
        </w:rPr>
        <w:t>5</w:t>
      </w:r>
      <w:r w:rsidR="009E2B77" w:rsidRPr="007D770B">
        <w:rPr>
          <w:lang w:val="en-US"/>
        </w:rPr>
        <w:t>.2 Definitions</w:t>
      </w:r>
      <w:bookmarkEnd w:id="424"/>
    </w:p>
    <w:p w14:paraId="41F7CE3E"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b/>
          <w:lang w:val="en-US"/>
        </w:rPr>
        <w:t xml:space="preserve">An active market </w:t>
      </w:r>
      <w:r w:rsidRPr="007D770B">
        <w:rPr>
          <w:rFonts w:ascii="Times New Roman" w:hAnsi="Times New Roman"/>
          <w:lang w:val="en-US"/>
        </w:rPr>
        <w:t>is a market in which transactions in an asset or liability occur with sufficient frequency and volume to provide pricing information on an ongoing basis.</w:t>
      </w:r>
    </w:p>
    <w:p w14:paraId="5AAFF56A"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b/>
          <w:lang w:val="en-US"/>
        </w:rPr>
        <w:t xml:space="preserve">The cost approach </w:t>
      </w:r>
      <w:r w:rsidRPr="007D770B">
        <w:rPr>
          <w:rFonts w:ascii="Times New Roman" w:hAnsi="Times New Roman"/>
          <w:lang w:val="en-US"/>
        </w:rPr>
        <w:t>is a valuation method that reflects the amount that would currently be required to replace the productive capacity of an asset (often referred to as current replacement cost).</w:t>
      </w:r>
    </w:p>
    <w:p w14:paraId="2B66DBFE"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b/>
          <w:lang w:val="en-US"/>
        </w:rPr>
        <w:t xml:space="preserve">The input price </w:t>
      </w:r>
      <w:r w:rsidRPr="007D770B">
        <w:rPr>
          <w:rFonts w:ascii="Times New Roman" w:hAnsi="Times New Roman"/>
          <w:lang w:val="en-US"/>
        </w:rPr>
        <w:t>is the price paid to acquire an asset or received for assuming a liability in an exchange transaction.</w:t>
      </w:r>
    </w:p>
    <w:p w14:paraId="24127C1D"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b/>
          <w:lang w:val="en-US"/>
        </w:rPr>
        <w:t xml:space="preserve">The exit price </w:t>
      </w:r>
      <w:r w:rsidRPr="007D770B">
        <w:rPr>
          <w:rFonts w:ascii="Times New Roman" w:hAnsi="Times New Roman"/>
          <w:lang w:val="en-US"/>
        </w:rPr>
        <w:t xml:space="preserve">is the price that would be received on the sale of an asset or paid on the transfer of a liability. </w:t>
      </w:r>
    </w:p>
    <w:p w14:paraId="74301A08"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b/>
          <w:lang w:val="en-US"/>
        </w:rPr>
        <w:t xml:space="preserve">Expected cash flow </w:t>
      </w:r>
      <w:r w:rsidRPr="007D770B">
        <w:rPr>
          <w:rFonts w:ascii="Times New Roman" w:hAnsi="Times New Roman"/>
          <w:lang w:val="en-US"/>
        </w:rPr>
        <w:t>is the probability-weighted average (i.e., the mean of the distribution) of possible future cash flows.</w:t>
      </w:r>
    </w:p>
    <w:p w14:paraId="74639944"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b/>
          <w:lang w:val="en-US" w:eastAsia="ru-RU"/>
        </w:rPr>
        <w:t xml:space="preserve">Fair value </w:t>
      </w:r>
      <w:r w:rsidRPr="007D770B">
        <w:rPr>
          <w:rFonts w:ascii="Times New Roman" w:hAnsi="Times New Roman"/>
          <w:lang w:val="en-US" w:eastAsia="ru-RU"/>
        </w:rPr>
        <w:t xml:space="preserve">is the </w:t>
      </w:r>
      <w:r w:rsidRPr="007D770B">
        <w:rPr>
          <w:rFonts w:ascii="Times New Roman" w:hAnsi="Times New Roman"/>
          <w:lang w:val="en-US"/>
        </w:rPr>
        <w:t>price that would be received to sell an asset or paid to transfer a liability in an orderly transaction between market participants at the measurement date.</w:t>
      </w:r>
    </w:p>
    <w:p w14:paraId="2BFBC95B"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b/>
          <w:lang w:val="en-US"/>
        </w:rPr>
        <w:t xml:space="preserve">The best and most efficient use </w:t>
      </w:r>
      <w:r w:rsidRPr="007D770B">
        <w:rPr>
          <w:rFonts w:ascii="Times New Roman" w:hAnsi="Times New Roman"/>
          <w:lang w:val="en-US"/>
        </w:rPr>
        <w:t>is the use of a non-financial asset by market participants that would maximize the value of the asset or the group of assets and liabilities (e.g., a business) in which the asset would be used.</w:t>
      </w:r>
    </w:p>
    <w:p w14:paraId="75686113"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b/>
          <w:lang w:val="en-US"/>
        </w:rPr>
        <w:t xml:space="preserve">The income approach </w:t>
      </w:r>
      <w:r w:rsidRPr="007D770B">
        <w:rPr>
          <w:rFonts w:ascii="Times New Roman" w:hAnsi="Times New Roman"/>
          <w:lang w:val="en-US"/>
        </w:rPr>
        <w:t>is a valuation technique that converts future amounts (e.g. cash flows or income and expenses) into a single present value (i.e. discounted) amount. Fair value measurements are determined based on the value indicated by current market expectations of such future amounts.</w:t>
      </w:r>
    </w:p>
    <w:p w14:paraId="40611EDF"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b/>
          <w:lang w:val="en-US"/>
        </w:rPr>
        <w:t xml:space="preserve">The market approach </w:t>
      </w:r>
      <w:r w:rsidRPr="007D770B">
        <w:rPr>
          <w:rFonts w:ascii="Times New Roman" w:hAnsi="Times New Roman"/>
          <w:lang w:val="en-US"/>
        </w:rPr>
        <w:t>is a valuation technique that uses prices and other relevant information generated by market transactions involving identical or comparable (i.e., similar) assets, liabilities or a group of assets and liabilities, such as a business.</w:t>
      </w:r>
    </w:p>
    <w:p w14:paraId="68EA2C59"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b/>
          <w:lang w:val="en-US"/>
        </w:rPr>
        <w:t xml:space="preserve">Inputs </w:t>
      </w:r>
      <w:r w:rsidRPr="007D770B">
        <w:rPr>
          <w:rFonts w:ascii="Times New Roman" w:hAnsi="Times New Roman"/>
          <w:lang w:val="en-US"/>
        </w:rPr>
        <w:t>are assumptions that market participants would use when pricing the asset or liability, including assumptions about risks such as those described below:</w:t>
      </w:r>
    </w:p>
    <w:p w14:paraId="7AB43C47" w14:textId="77777777" w:rsidR="009E2B77" w:rsidRPr="007D770B" w:rsidRDefault="009E2B77" w:rsidP="00AE698A">
      <w:pPr>
        <w:pStyle w:val="aa"/>
        <w:numPr>
          <w:ilvl w:val="0"/>
          <w:numId w:val="123"/>
        </w:numPr>
        <w:autoSpaceDE w:val="0"/>
        <w:autoSpaceDN w:val="0"/>
        <w:adjustRightInd w:val="0"/>
        <w:spacing w:before="240" w:line="240" w:lineRule="auto"/>
        <w:contextualSpacing w:val="0"/>
        <w:rPr>
          <w:rFonts w:ascii="Times New Roman" w:hAnsi="Times New Roman"/>
          <w:lang w:val="en-US"/>
        </w:rPr>
      </w:pPr>
      <w:r w:rsidRPr="007D770B">
        <w:rPr>
          <w:rFonts w:ascii="Times New Roman" w:hAnsi="Times New Roman"/>
          <w:lang w:val="en-US"/>
        </w:rPr>
        <w:t>The risk inherent in the particular valuation technique used to measure fair value (such as a pricing model); and</w:t>
      </w:r>
    </w:p>
    <w:p w14:paraId="6F7969D9" w14:textId="77777777" w:rsidR="009E2B77" w:rsidRPr="007D770B" w:rsidRDefault="009E2B77" w:rsidP="00AE698A">
      <w:pPr>
        <w:pStyle w:val="aa"/>
        <w:numPr>
          <w:ilvl w:val="0"/>
          <w:numId w:val="123"/>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the risk inherent in the inputs to the valuation technique.</w:t>
      </w:r>
    </w:p>
    <w:p w14:paraId="1FDEA5FE"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The raw data can be observable or unobservable.</w:t>
      </w:r>
    </w:p>
    <w:p w14:paraId="3B92B400"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b/>
          <w:lang w:val="en-US"/>
        </w:rPr>
        <w:t xml:space="preserve">Level 1 inputs </w:t>
      </w:r>
      <w:r w:rsidRPr="007D770B">
        <w:rPr>
          <w:rFonts w:ascii="Times New Roman" w:hAnsi="Times New Roman"/>
          <w:lang w:val="en-US"/>
        </w:rPr>
        <w:t xml:space="preserve">are quoted prices (unadjusted) in active markets for identical assets or liabilities that the </w:t>
      </w:r>
      <w:r w:rsidR="00F9744B" w:rsidRPr="007D770B">
        <w:rPr>
          <w:rFonts w:ascii="Times New Roman" w:hAnsi="Times New Roman"/>
          <w:lang w:val="en-US"/>
        </w:rPr>
        <w:t xml:space="preserve">Bank </w:t>
      </w:r>
      <w:r w:rsidRPr="007D770B">
        <w:rPr>
          <w:rFonts w:ascii="Times New Roman" w:hAnsi="Times New Roman"/>
          <w:lang w:val="en-US"/>
        </w:rPr>
        <w:t>can access at the measurement date.</w:t>
      </w:r>
    </w:p>
    <w:p w14:paraId="06103CB8"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b/>
          <w:lang w:val="en-US"/>
        </w:rPr>
        <w:t xml:space="preserve">Level 2 inputs </w:t>
      </w:r>
      <w:r w:rsidRPr="007D770B">
        <w:rPr>
          <w:rFonts w:ascii="Times New Roman" w:hAnsi="Times New Roman"/>
          <w:lang w:val="en-US"/>
        </w:rPr>
        <w:t>are inputs other than quoted prices included within Level 1 that are observable, either directly or indirectly, for the asset or liability.</w:t>
      </w:r>
    </w:p>
    <w:p w14:paraId="37F614B8"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b/>
          <w:lang w:val="en-US"/>
        </w:rPr>
        <w:lastRenderedPageBreak/>
        <w:t xml:space="preserve">Level 3 inputs </w:t>
      </w:r>
      <w:r w:rsidRPr="007D770B">
        <w:rPr>
          <w:rFonts w:ascii="Times New Roman" w:hAnsi="Times New Roman"/>
          <w:lang w:val="en-US"/>
        </w:rPr>
        <w:t>- unobservable inputs for the asset or liability.</w:t>
      </w:r>
    </w:p>
    <w:p w14:paraId="7685A152"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b/>
          <w:bCs/>
          <w:lang w:val="en-US"/>
        </w:rPr>
        <w:t xml:space="preserve">Market </w:t>
      </w:r>
      <w:r w:rsidRPr="007D770B">
        <w:rPr>
          <w:rFonts w:ascii="Times New Roman" w:hAnsi="Times New Roman"/>
          <w:lang w:val="en-US"/>
        </w:rPr>
        <w:t xml:space="preserve">corroborated inputs </w:t>
      </w:r>
      <w:r w:rsidRPr="007D770B">
        <w:rPr>
          <w:rFonts w:ascii="Times New Roman" w:hAnsi="Times New Roman"/>
          <w:b/>
          <w:bCs/>
          <w:lang w:val="en-US"/>
        </w:rPr>
        <w:t xml:space="preserve">- </w:t>
      </w:r>
      <w:r w:rsidRPr="007D770B">
        <w:rPr>
          <w:rFonts w:ascii="Times New Roman" w:hAnsi="Times New Roman"/>
          <w:lang w:val="en-US"/>
        </w:rPr>
        <w:t>inputs primarily arising from or corroborated by observable market data through correlation or other means.</w:t>
      </w:r>
    </w:p>
    <w:p w14:paraId="7F8AB5C1"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b/>
          <w:bCs/>
          <w:lang w:val="en-US"/>
        </w:rPr>
        <w:t xml:space="preserve">Market participants are </w:t>
      </w:r>
      <w:r w:rsidRPr="007D770B">
        <w:rPr>
          <w:rFonts w:ascii="Times New Roman" w:hAnsi="Times New Roman"/>
          <w:lang w:val="en-US"/>
        </w:rPr>
        <w:t>buyers and sellers in the principal (or most advantageous) market for the asset or liability that have all of the following characteristics:</w:t>
      </w:r>
    </w:p>
    <w:p w14:paraId="076BADC5" w14:textId="5161121A" w:rsidR="009E2B77" w:rsidRPr="007D770B" w:rsidRDefault="009E2B77" w:rsidP="00AE698A">
      <w:pPr>
        <w:pStyle w:val="aa"/>
        <w:numPr>
          <w:ilvl w:val="0"/>
          <w:numId w:val="124"/>
        </w:numPr>
        <w:autoSpaceDE w:val="0"/>
        <w:autoSpaceDN w:val="0"/>
        <w:adjustRightInd w:val="0"/>
        <w:spacing w:before="240" w:after="0" w:line="240" w:lineRule="auto"/>
        <w:ind w:left="714" w:hanging="357"/>
        <w:contextualSpacing w:val="0"/>
        <w:rPr>
          <w:rFonts w:ascii="Times New Roman" w:hAnsi="Times New Roman"/>
          <w:lang w:val="en-US"/>
        </w:rPr>
      </w:pPr>
      <w:r w:rsidRPr="007D770B">
        <w:rPr>
          <w:rFonts w:ascii="Times New Roman" w:hAnsi="Times New Roman"/>
          <w:lang w:val="en-US"/>
        </w:rPr>
        <w:t xml:space="preserve">they are independent of each other, i.e. they are not related parties as defined in section </w:t>
      </w:r>
      <w:r w:rsidR="00B703CC" w:rsidRPr="007D770B">
        <w:rPr>
          <w:rFonts w:ascii="Times New Roman" w:hAnsi="Times New Roman"/>
          <w:lang w:val="en-US"/>
        </w:rPr>
        <w:t xml:space="preserve">2 </w:t>
      </w:r>
      <w:r w:rsidR="00802136" w:rsidRPr="007D770B">
        <w:rPr>
          <w:rFonts w:ascii="Times New Roman" w:hAnsi="Times New Roman"/>
          <w:lang w:val="en-US"/>
        </w:rPr>
        <w:t>"</w:t>
      </w:r>
      <w:r w:rsidRPr="007D770B">
        <w:rPr>
          <w:rFonts w:ascii="Times New Roman" w:hAnsi="Times New Roman"/>
          <w:lang w:val="en-US"/>
        </w:rPr>
        <w:t>Related parties (IAS 24)</w:t>
      </w:r>
      <w:r w:rsidR="00802136" w:rsidRPr="007D770B">
        <w:rPr>
          <w:rFonts w:ascii="Times New Roman" w:hAnsi="Times New Roman"/>
          <w:lang w:val="en-US"/>
        </w:rPr>
        <w:t xml:space="preserve">" </w:t>
      </w:r>
      <w:r w:rsidRPr="007D770B">
        <w:rPr>
          <w:rFonts w:ascii="Times New Roman" w:hAnsi="Times New Roman"/>
          <w:lang w:val="en-US"/>
        </w:rPr>
        <w:t xml:space="preserve">of Chapter 3, although the price in a transaction between related parties may be used as an input to fair value measurement if the </w:t>
      </w:r>
      <w:r w:rsidR="00F9744B" w:rsidRPr="007D770B">
        <w:rPr>
          <w:rFonts w:ascii="Times New Roman" w:hAnsi="Times New Roman"/>
          <w:lang w:val="en-US"/>
        </w:rPr>
        <w:t xml:space="preserve">Bank </w:t>
      </w:r>
      <w:r w:rsidRPr="007D770B">
        <w:rPr>
          <w:rFonts w:ascii="Times New Roman" w:hAnsi="Times New Roman"/>
          <w:lang w:val="en-US"/>
        </w:rPr>
        <w:t>has evidence that the transaction was conducted at arm's length</w:t>
      </w:r>
    </w:p>
    <w:p w14:paraId="42A52BFC" w14:textId="2C88F8AA" w:rsidR="008723EF" w:rsidRPr="007D770B" w:rsidRDefault="008723EF" w:rsidP="008723EF">
      <w:pPr>
        <w:pStyle w:val="aa"/>
        <w:widowControl w:val="0"/>
        <w:tabs>
          <w:tab w:val="left" w:pos="0"/>
        </w:tabs>
        <w:spacing w:line="240" w:lineRule="auto"/>
        <w:rPr>
          <w:rFonts w:ascii="Times New Roman" w:eastAsia="Times New Roman" w:hAnsi="Times New Roman"/>
          <w:i/>
          <w:snapToGrid w:val="0"/>
          <w:color w:val="3366FF"/>
          <w:szCs w:val="22"/>
          <w:lang w:val="en-US" w:eastAsia="ru-RU"/>
        </w:rPr>
      </w:pPr>
      <w:r w:rsidRPr="007D770B">
        <w:rPr>
          <w:rFonts w:ascii="Times New Roman" w:eastAsia="Times New Roman" w:hAnsi="Times New Roman"/>
          <w:i/>
          <w:snapToGrid w:val="0"/>
          <w:color w:val="3366FF"/>
          <w:szCs w:val="22"/>
          <w:lang w:val="en-US" w:eastAsia="ru-RU"/>
        </w:rPr>
        <w:t xml:space="preserve">(Subparagraph amended by the decision of the Board of Directors dated </w:t>
      </w:r>
      <w:r w:rsidR="00E80648" w:rsidRPr="007D770B">
        <w:rPr>
          <w:rFonts w:ascii="Times New Roman" w:eastAsia="Times New Roman" w:hAnsi="Times New Roman"/>
          <w:i/>
          <w:snapToGrid w:val="0"/>
          <w:color w:val="3366FF"/>
          <w:szCs w:val="22"/>
          <w:lang w:val="en-US" w:eastAsia="ru-RU"/>
        </w:rPr>
        <w:t>31</w:t>
      </w:r>
      <w:r w:rsidRPr="007D770B">
        <w:rPr>
          <w:rFonts w:ascii="Times New Roman" w:eastAsia="Times New Roman" w:hAnsi="Times New Roman"/>
          <w:i/>
          <w:snapToGrid w:val="0"/>
          <w:color w:val="3366FF"/>
          <w:szCs w:val="22"/>
          <w:lang w:val="en-US" w:eastAsia="ru-RU"/>
        </w:rPr>
        <w:t>.</w:t>
      </w:r>
      <w:r w:rsidR="00E80648" w:rsidRPr="007D770B">
        <w:rPr>
          <w:rFonts w:ascii="Times New Roman" w:eastAsia="Times New Roman" w:hAnsi="Times New Roman"/>
          <w:i/>
          <w:snapToGrid w:val="0"/>
          <w:color w:val="3366FF"/>
          <w:szCs w:val="22"/>
          <w:lang w:val="en-US" w:eastAsia="ru-RU"/>
        </w:rPr>
        <w:t>10</w:t>
      </w:r>
      <w:r w:rsidRPr="007D770B">
        <w:rPr>
          <w:rFonts w:ascii="Times New Roman" w:eastAsia="Times New Roman" w:hAnsi="Times New Roman"/>
          <w:i/>
          <w:snapToGrid w:val="0"/>
          <w:color w:val="3366FF"/>
          <w:szCs w:val="22"/>
          <w:lang w:val="en-US" w:eastAsia="ru-RU"/>
        </w:rPr>
        <w:t xml:space="preserve">.2019 (Minutes No. </w:t>
      </w:r>
      <w:r w:rsidR="00E80648" w:rsidRPr="007D770B">
        <w:rPr>
          <w:rFonts w:ascii="Times New Roman" w:eastAsia="Times New Roman" w:hAnsi="Times New Roman"/>
          <w:i/>
          <w:snapToGrid w:val="0"/>
          <w:color w:val="3366FF"/>
          <w:szCs w:val="22"/>
          <w:lang w:val="en-US" w:eastAsia="ru-RU"/>
        </w:rPr>
        <w:t>13</w:t>
      </w:r>
      <w:r w:rsidRPr="007D770B">
        <w:rPr>
          <w:rFonts w:ascii="Times New Roman" w:eastAsia="Times New Roman" w:hAnsi="Times New Roman"/>
          <w:i/>
          <w:snapToGrid w:val="0"/>
          <w:color w:val="3366FF"/>
          <w:szCs w:val="22"/>
          <w:lang w:val="en-US" w:eastAsia="ru-RU"/>
        </w:rPr>
        <w:t>)</w:t>
      </w:r>
    </w:p>
    <w:p w14:paraId="14006263" w14:textId="77777777" w:rsidR="008723EF" w:rsidRPr="007D770B" w:rsidRDefault="008723EF" w:rsidP="008723EF">
      <w:pPr>
        <w:pStyle w:val="aa"/>
        <w:widowControl w:val="0"/>
        <w:tabs>
          <w:tab w:val="left" w:pos="0"/>
        </w:tabs>
        <w:spacing w:line="240" w:lineRule="auto"/>
        <w:rPr>
          <w:rFonts w:ascii="Times New Roman" w:hAnsi="Times New Roman"/>
          <w:b/>
          <w:iCs/>
          <w:color w:val="00B0F0"/>
          <w:sz w:val="18"/>
          <w:lang w:val="en-US"/>
        </w:rPr>
      </w:pPr>
    </w:p>
    <w:p w14:paraId="48F60D65" w14:textId="77777777" w:rsidR="009E2B77" w:rsidRPr="007D770B" w:rsidRDefault="009E2B77" w:rsidP="00AE698A">
      <w:pPr>
        <w:pStyle w:val="aa"/>
        <w:numPr>
          <w:ilvl w:val="0"/>
          <w:numId w:val="124"/>
        </w:numPr>
        <w:autoSpaceDE w:val="0"/>
        <w:autoSpaceDN w:val="0"/>
        <w:adjustRightInd w:val="0"/>
        <w:spacing w:before="240" w:line="240" w:lineRule="auto"/>
        <w:contextualSpacing w:val="0"/>
        <w:rPr>
          <w:rFonts w:ascii="Times New Roman" w:hAnsi="Times New Roman"/>
          <w:lang w:val="en-US"/>
        </w:rPr>
      </w:pPr>
      <w:r w:rsidRPr="007D770B">
        <w:rPr>
          <w:rFonts w:ascii="Times New Roman" w:hAnsi="Times New Roman"/>
          <w:lang w:val="en-US"/>
        </w:rPr>
        <w:t>they are knowledgeable, have a reasonable understanding of the asset or liability and of the transaction based on all available information, including information that would be obtained from standardized and customary due diligence.</w:t>
      </w:r>
    </w:p>
    <w:p w14:paraId="226CC9B0" w14:textId="77777777" w:rsidR="009E2B77" w:rsidRPr="007D770B" w:rsidRDefault="009E2B77" w:rsidP="00AE698A">
      <w:pPr>
        <w:pStyle w:val="aa"/>
        <w:numPr>
          <w:ilvl w:val="0"/>
          <w:numId w:val="124"/>
        </w:numPr>
        <w:autoSpaceDE w:val="0"/>
        <w:autoSpaceDN w:val="0"/>
        <w:adjustRightInd w:val="0"/>
        <w:spacing w:before="240" w:line="240" w:lineRule="auto"/>
        <w:contextualSpacing w:val="0"/>
        <w:rPr>
          <w:rFonts w:ascii="Times New Roman" w:hAnsi="Times New Roman"/>
          <w:lang w:val="en-US"/>
        </w:rPr>
      </w:pPr>
      <w:r w:rsidRPr="007D770B">
        <w:rPr>
          <w:rFonts w:ascii="Times New Roman" w:hAnsi="Times New Roman"/>
          <w:lang w:val="en-US"/>
        </w:rPr>
        <w:t>they may engage in a transaction involving that asset or liability.</w:t>
      </w:r>
    </w:p>
    <w:p w14:paraId="4282314A" w14:textId="77777777" w:rsidR="009E2B77" w:rsidRPr="007D770B" w:rsidRDefault="009E2B77" w:rsidP="00AE698A">
      <w:pPr>
        <w:pStyle w:val="aa"/>
        <w:numPr>
          <w:ilvl w:val="0"/>
          <w:numId w:val="124"/>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they are willing participants in the transaction for the asset or liability in question, that is, they have a motive but are not coerced or otherwise compelled to participate in the transaction.</w:t>
      </w:r>
    </w:p>
    <w:p w14:paraId="17A9C13F"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b/>
          <w:bCs/>
          <w:lang w:val="en-US"/>
        </w:rPr>
        <w:t xml:space="preserve">The most advantageous market is the </w:t>
      </w:r>
      <w:r w:rsidRPr="007D770B">
        <w:rPr>
          <w:rFonts w:ascii="Times New Roman" w:hAnsi="Times New Roman"/>
          <w:lang w:val="en-US"/>
        </w:rPr>
        <w:t>market that maximizes the amount that would be received on the sale of an asset or reduces the amount that would be paid on the transfer of a liability, after taking into account all transaction costs and transportation costs.</w:t>
      </w:r>
    </w:p>
    <w:p w14:paraId="66674DCC"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b/>
          <w:bCs/>
          <w:lang w:val="en-US"/>
        </w:rPr>
        <w:t xml:space="preserve">Default risk is the </w:t>
      </w:r>
      <w:r w:rsidRPr="007D770B">
        <w:rPr>
          <w:rFonts w:ascii="Times New Roman" w:hAnsi="Times New Roman"/>
          <w:lang w:val="en-US"/>
        </w:rPr>
        <w:t xml:space="preserve">risk that the </w:t>
      </w:r>
      <w:r w:rsidR="00F9744B" w:rsidRPr="007D770B">
        <w:rPr>
          <w:rFonts w:ascii="Times New Roman" w:hAnsi="Times New Roman"/>
          <w:lang w:val="en-US"/>
        </w:rPr>
        <w:t xml:space="preserve">Bank </w:t>
      </w:r>
      <w:r w:rsidRPr="007D770B">
        <w:rPr>
          <w:rFonts w:ascii="Times New Roman" w:hAnsi="Times New Roman"/>
          <w:lang w:val="en-US"/>
        </w:rPr>
        <w:t xml:space="preserve">will fail to discharge an obligation. Default risk includes, among other things, the </w:t>
      </w:r>
      <w:r w:rsidR="00F9744B" w:rsidRPr="007D770B">
        <w:rPr>
          <w:rFonts w:ascii="Times New Roman" w:hAnsi="Times New Roman"/>
          <w:lang w:val="en-US"/>
        </w:rPr>
        <w:t xml:space="preserve">Bank's </w:t>
      </w:r>
      <w:r w:rsidRPr="007D770B">
        <w:rPr>
          <w:rFonts w:ascii="Times New Roman" w:hAnsi="Times New Roman"/>
          <w:lang w:val="en-US"/>
        </w:rPr>
        <w:t>own credit risk.</w:t>
      </w:r>
    </w:p>
    <w:p w14:paraId="242088FE"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b/>
          <w:bCs/>
          <w:lang w:val="en-US"/>
        </w:rPr>
        <w:t xml:space="preserve">Observable inputs </w:t>
      </w:r>
      <w:r w:rsidRPr="007D770B">
        <w:rPr>
          <w:rFonts w:ascii="Times New Roman" w:hAnsi="Times New Roman"/>
          <w:b/>
          <w:bCs/>
          <w:i/>
          <w:lang w:val="en-US"/>
        </w:rPr>
        <w:t xml:space="preserve">are </w:t>
      </w:r>
      <w:r w:rsidRPr="007D770B">
        <w:rPr>
          <w:rFonts w:ascii="Times New Roman" w:hAnsi="Times New Roman"/>
          <w:lang w:val="en-US"/>
        </w:rPr>
        <w:t>inputs that are developed using market data, such as publicly available information about actual events or transactions, that reflect the assumptions market participants would use in pricing the asset or liability.</w:t>
      </w:r>
    </w:p>
    <w:p w14:paraId="0F3431BF"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b/>
          <w:bCs/>
          <w:lang w:val="en-US"/>
        </w:rPr>
        <w:t xml:space="preserve">A voluntary transaction </w:t>
      </w:r>
      <w:r w:rsidRPr="007D770B">
        <w:rPr>
          <w:rFonts w:ascii="Times New Roman" w:hAnsi="Times New Roman"/>
          <w:bCs/>
          <w:lang w:val="en-US"/>
        </w:rPr>
        <w:t xml:space="preserve">is </w:t>
      </w:r>
      <w:r w:rsidRPr="007D770B">
        <w:rPr>
          <w:rFonts w:ascii="Times New Roman" w:hAnsi="Times New Roman"/>
          <w:lang w:val="en-US"/>
        </w:rPr>
        <w:t>a type of transaction that occurs in the market for a period of time before the measurement date that is sufficient to observe market activity that is usual and customary for transactions involving those assets or liabilities; it is not a forced transaction (e.g., forced liquidation or forced disposition).</w:t>
      </w:r>
    </w:p>
    <w:p w14:paraId="60652C13"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b/>
          <w:bCs/>
          <w:lang w:val="en-US"/>
        </w:rPr>
        <w:t xml:space="preserve">The principal market is the </w:t>
      </w:r>
      <w:r w:rsidRPr="007D770B">
        <w:rPr>
          <w:rFonts w:ascii="Times New Roman" w:hAnsi="Times New Roman"/>
          <w:lang w:val="en-US"/>
        </w:rPr>
        <w:t>market with the largest volume and level of transaction activity for an asset or liability.</w:t>
      </w:r>
    </w:p>
    <w:p w14:paraId="2458BDE1" w14:textId="0952539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b/>
          <w:bCs/>
          <w:lang w:val="en-US"/>
        </w:rPr>
        <w:t xml:space="preserve">Risk premium is the </w:t>
      </w:r>
      <w:r w:rsidRPr="007D770B">
        <w:rPr>
          <w:rFonts w:ascii="Times New Roman" w:hAnsi="Times New Roman"/>
          <w:lang w:val="en-US"/>
        </w:rPr>
        <w:t xml:space="preserve">compensation required by risk-averse market participants for accepting the uncertainty inherent in the cash flows of an asset or liability. Also referred to as </w:t>
      </w:r>
      <w:r w:rsidR="00802136" w:rsidRPr="007D770B">
        <w:rPr>
          <w:rFonts w:ascii="Times New Roman" w:hAnsi="Times New Roman"/>
          <w:lang w:val="en-US"/>
        </w:rPr>
        <w:t>"</w:t>
      </w:r>
      <w:r w:rsidRPr="007D770B">
        <w:rPr>
          <w:rFonts w:ascii="Times New Roman" w:hAnsi="Times New Roman"/>
          <w:lang w:val="en-US"/>
        </w:rPr>
        <w:t>risk adjustment</w:t>
      </w:r>
      <w:r w:rsidR="00802136" w:rsidRPr="007D770B">
        <w:rPr>
          <w:rFonts w:ascii="Times New Roman" w:hAnsi="Times New Roman"/>
          <w:lang w:val="en-US"/>
        </w:rPr>
        <w:t>"</w:t>
      </w:r>
      <w:r w:rsidRPr="007D770B">
        <w:rPr>
          <w:rFonts w:ascii="Times New Roman" w:hAnsi="Times New Roman"/>
          <w:lang w:val="en-US"/>
        </w:rPr>
        <w:t>.</w:t>
      </w:r>
    </w:p>
    <w:p w14:paraId="7B792691" w14:textId="0217081F" w:rsidR="009E2B77" w:rsidRPr="007D770B" w:rsidRDefault="009E2B77" w:rsidP="00815153">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b/>
          <w:bCs/>
          <w:lang w:val="en-US"/>
        </w:rPr>
        <w:t xml:space="preserve">Transaction </w:t>
      </w:r>
      <w:r w:rsidRPr="007D770B">
        <w:rPr>
          <w:rFonts w:ascii="Times New Roman" w:hAnsi="Times New Roman"/>
          <w:lang w:val="en-US"/>
        </w:rPr>
        <w:t xml:space="preserve">costs </w:t>
      </w:r>
      <w:r w:rsidRPr="007D770B">
        <w:rPr>
          <w:rFonts w:ascii="Times New Roman" w:hAnsi="Times New Roman"/>
          <w:b/>
          <w:bCs/>
          <w:lang w:val="en-US"/>
        </w:rPr>
        <w:t xml:space="preserve">are </w:t>
      </w:r>
      <w:r w:rsidRPr="007D770B">
        <w:rPr>
          <w:rFonts w:ascii="Times New Roman" w:hAnsi="Times New Roman"/>
          <w:lang w:val="en-US"/>
        </w:rPr>
        <w:t xml:space="preserve">costs to sell an asset or transfer a liability in the principal (or most advantageous) market for the asset or liability that are directly attributable to the disposal of the asset or transfer of the liability </w:t>
      </w:r>
      <w:r w:rsidR="00815153" w:rsidRPr="007D770B">
        <w:rPr>
          <w:rFonts w:ascii="Times New Roman" w:hAnsi="Times New Roman"/>
          <w:lang w:val="en-US"/>
        </w:rPr>
        <w:t xml:space="preserve">and </w:t>
      </w:r>
      <w:r w:rsidRPr="007D770B">
        <w:rPr>
          <w:rFonts w:ascii="Times New Roman" w:hAnsi="Times New Roman"/>
          <w:lang w:val="en-US"/>
        </w:rPr>
        <w:t xml:space="preserve">that meet the </w:t>
      </w:r>
      <w:r w:rsidR="00F34077" w:rsidRPr="007D770B">
        <w:rPr>
          <w:rFonts w:ascii="Times New Roman" w:hAnsi="Times New Roman"/>
          <w:lang w:val="en-US"/>
        </w:rPr>
        <w:t xml:space="preserve">criterion </w:t>
      </w:r>
      <w:r w:rsidRPr="007D770B">
        <w:rPr>
          <w:rFonts w:ascii="Times New Roman" w:hAnsi="Times New Roman"/>
          <w:lang w:val="en-US"/>
        </w:rPr>
        <w:t>and are directly attributable to, and necessary for, the transaction.</w:t>
      </w:r>
    </w:p>
    <w:p w14:paraId="71C993F7"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b/>
          <w:bCs/>
          <w:lang w:val="en-US"/>
        </w:rPr>
        <w:t xml:space="preserve">Transportation </w:t>
      </w:r>
      <w:r w:rsidRPr="007D770B">
        <w:rPr>
          <w:rFonts w:ascii="Times New Roman" w:hAnsi="Times New Roman"/>
          <w:bCs/>
          <w:lang w:val="en-US"/>
        </w:rPr>
        <w:t xml:space="preserve">costs are the </w:t>
      </w:r>
      <w:r w:rsidRPr="007D770B">
        <w:rPr>
          <w:rFonts w:ascii="Times New Roman" w:hAnsi="Times New Roman"/>
          <w:lang w:val="en-US"/>
        </w:rPr>
        <w:t>costs that would be incurred in transporting an asset from its current location to its principal (or most profitable) market.</w:t>
      </w:r>
    </w:p>
    <w:p w14:paraId="5D3E5E58" w14:textId="094C6432"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b/>
          <w:bCs/>
          <w:lang w:val="en-US"/>
        </w:rPr>
        <w:t xml:space="preserve">Unit of account </w:t>
      </w:r>
      <w:r w:rsidRPr="007D770B">
        <w:rPr>
          <w:rFonts w:ascii="Times New Roman" w:hAnsi="Times New Roman"/>
          <w:bCs/>
          <w:lang w:val="en-US"/>
        </w:rPr>
        <w:t xml:space="preserve">- the </w:t>
      </w:r>
      <w:r w:rsidRPr="007D770B">
        <w:rPr>
          <w:rFonts w:ascii="Times New Roman" w:hAnsi="Times New Roman"/>
          <w:lang w:val="en-US"/>
        </w:rPr>
        <w:t xml:space="preserve">extent to which </w:t>
      </w:r>
      <w:r w:rsidR="00F34077" w:rsidRPr="007D770B">
        <w:rPr>
          <w:rFonts w:ascii="Times New Roman" w:hAnsi="Times New Roman"/>
          <w:lang w:val="en-US"/>
        </w:rPr>
        <w:t xml:space="preserve">assets, </w:t>
      </w:r>
      <w:r w:rsidRPr="007D770B">
        <w:rPr>
          <w:rFonts w:ascii="Times New Roman" w:hAnsi="Times New Roman"/>
          <w:lang w:val="en-US"/>
        </w:rPr>
        <w:t>or liabilities, are aggregated or disaggregated in IFRS for recognition purposes.</w:t>
      </w:r>
    </w:p>
    <w:p w14:paraId="3CB63A4C"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b/>
          <w:bCs/>
          <w:lang w:val="en-US"/>
        </w:rPr>
        <w:t xml:space="preserve">Unobservable inputs </w:t>
      </w:r>
      <w:r w:rsidRPr="007D770B">
        <w:rPr>
          <w:rFonts w:ascii="Times New Roman" w:hAnsi="Times New Roman"/>
          <w:bCs/>
          <w:lang w:val="en-US"/>
        </w:rPr>
        <w:t xml:space="preserve">are </w:t>
      </w:r>
      <w:r w:rsidRPr="007D770B">
        <w:rPr>
          <w:rFonts w:ascii="Times New Roman" w:hAnsi="Times New Roman"/>
          <w:lang w:val="en-US"/>
        </w:rPr>
        <w:t>inputs for which market data are not available and that are developed using all available information about the assumptions market participants would use in pricing the asset or liability.</w:t>
      </w:r>
    </w:p>
    <w:p w14:paraId="35E757C4" w14:textId="1AF9CA84" w:rsidR="009E2B77" w:rsidRPr="007D770B" w:rsidRDefault="00CD25B1" w:rsidP="00E61D21">
      <w:pPr>
        <w:pStyle w:val="3"/>
        <w:rPr>
          <w:lang w:val="en-US"/>
        </w:rPr>
      </w:pPr>
      <w:bookmarkStart w:id="425" w:name="_Toc168502133"/>
      <w:r w:rsidRPr="007D770B">
        <w:rPr>
          <w:lang w:val="en-US"/>
        </w:rPr>
        <w:t>5</w:t>
      </w:r>
      <w:r w:rsidR="009E2B77" w:rsidRPr="007D770B">
        <w:rPr>
          <w:lang w:val="en-US"/>
        </w:rPr>
        <w:t xml:space="preserve">.3 </w:t>
      </w:r>
      <w:r w:rsidR="009C5C7D" w:rsidRPr="007D770B">
        <w:rPr>
          <w:lang w:val="en-US"/>
        </w:rPr>
        <w:t xml:space="preserve">Determination of </w:t>
      </w:r>
      <w:r w:rsidR="002C51A4" w:rsidRPr="007D770B">
        <w:rPr>
          <w:lang w:val="en-US"/>
        </w:rPr>
        <w:t>fair value</w:t>
      </w:r>
      <w:bookmarkEnd w:id="425"/>
    </w:p>
    <w:p w14:paraId="071ED219" w14:textId="77777777" w:rsidR="008577A6" w:rsidRPr="007D770B" w:rsidRDefault="002C51A4"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 xml:space="preserve">In estimating fair value, the </w:t>
      </w:r>
      <w:r w:rsidR="00F9744B" w:rsidRPr="007D770B">
        <w:rPr>
          <w:rFonts w:ascii="Times New Roman" w:hAnsi="Times New Roman"/>
          <w:lang w:val="en-US"/>
        </w:rPr>
        <w:t xml:space="preserve">Bank </w:t>
      </w:r>
      <w:r w:rsidRPr="007D770B">
        <w:rPr>
          <w:rFonts w:ascii="Times New Roman" w:hAnsi="Times New Roman"/>
          <w:lang w:val="en-US"/>
        </w:rPr>
        <w:t>considers the following factors:</w:t>
      </w:r>
    </w:p>
    <w:p w14:paraId="446EBF08" w14:textId="77777777" w:rsidR="002C51A4" w:rsidRPr="007D770B" w:rsidRDefault="002C51A4" w:rsidP="00AE698A">
      <w:pPr>
        <w:numPr>
          <w:ilvl w:val="0"/>
          <w:numId w:val="240"/>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The characteristics of the asset or liability;</w:t>
      </w:r>
    </w:p>
    <w:p w14:paraId="67A3675A" w14:textId="77777777" w:rsidR="002C51A4" w:rsidRDefault="00D4301C" w:rsidP="00AE698A">
      <w:pPr>
        <w:numPr>
          <w:ilvl w:val="0"/>
          <w:numId w:val="240"/>
        </w:numPr>
        <w:autoSpaceDE w:val="0"/>
        <w:autoSpaceDN w:val="0"/>
        <w:adjustRightInd w:val="0"/>
        <w:spacing w:before="240" w:line="240" w:lineRule="auto"/>
        <w:rPr>
          <w:rFonts w:ascii="Times New Roman" w:hAnsi="Times New Roman"/>
        </w:rPr>
      </w:pPr>
      <w:r>
        <w:rPr>
          <w:rFonts w:ascii="Times New Roman" w:hAnsi="Times New Roman"/>
        </w:rPr>
        <w:t>Operations</w:t>
      </w:r>
      <w:r w:rsidR="002C51A4">
        <w:rPr>
          <w:rFonts w:ascii="Times New Roman" w:hAnsi="Times New Roman"/>
        </w:rPr>
        <w:t>;</w:t>
      </w:r>
    </w:p>
    <w:p w14:paraId="02C0D28C" w14:textId="77777777" w:rsidR="002C51A4" w:rsidRDefault="002C51A4" w:rsidP="00AE698A">
      <w:pPr>
        <w:numPr>
          <w:ilvl w:val="0"/>
          <w:numId w:val="240"/>
        </w:numPr>
        <w:autoSpaceDE w:val="0"/>
        <w:autoSpaceDN w:val="0"/>
        <w:adjustRightInd w:val="0"/>
        <w:spacing w:before="240" w:line="240" w:lineRule="auto"/>
        <w:rPr>
          <w:rFonts w:ascii="Times New Roman" w:hAnsi="Times New Roman"/>
        </w:rPr>
      </w:pPr>
      <w:r>
        <w:rPr>
          <w:rFonts w:ascii="Times New Roman" w:hAnsi="Times New Roman"/>
        </w:rPr>
        <w:t>Market participants;</w:t>
      </w:r>
    </w:p>
    <w:p w14:paraId="3A59F916" w14:textId="77777777" w:rsidR="002C51A4" w:rsidRDefault="002C51A4" w:rsidP="00AE698A">
      <w:pPr>
        <w:numPr>
          <w:ilvl w:val="0"/>
          <w:numId w:val="240"/>
        </w:numPr>
        <w:autoSpaceDE w:val="0"/>
        <w:autoSpaceDN w:val="0"/>
        <w:adjustRightInd w:val="0"/>
        <w:spacing w:before="240" w:line="240" w:lineRule="auto"/>
        <w:rPr>
          <w:rFonts w:ascii="Times New Roman" w:hAnsi="Times New Roman"/>
        </w:rPr>
      </w:pPr>
      <w:r>
        <w:rPr>
          <w:rFonts w:ascii="Times New Roman" w:hAnsi="Times New Roman"/>
        </w:rPr>
        <w:lastRenderedPageBreak/>
        <w:t>Price.</w:t>
      </w:r>
    </w:p>
    <w:p w14:paraId="28B58BA0" w14:textId="77777777" w:rsidR="002C51A4" w:rsidRPr="007D770B" w:rsidRDefault="002C51A4" w:rsidP="0099465C">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b/>
          <w:lang w:val="en-US"/>
        </w:rPr>
        <w:t xml:space="preserve">The characteristics of the asset </w:t>
      </w:r>
      <w:r w:rsidR="009E2B77" w:rsidRPr="007D770B">
        <w:rPr>
          <w:rFonts w:ascii="Times New Roman" w:hAnsi="Times New Roman"/>
          <w:b/>
          <w:lang w:val="en-US"/>
        </w:rPr>
        <w:t xml:space="preserve">or </w:t>
      </w:r>
      <w:r w:rsidRPr="007D770B">
        <w:rPr>
          <w:rFonts w:ascii="Times New Roman" w:hAnsi="Times New Roman"/>
          <w:b/>
          <w:lang w:val="en-US"/>
        </w:rPr>
        <w:t>liability</w:t>
      </w:r>
      <w:r w:rsidR="00BC39BA" w:rsidRPr="007D770B">
        <w:rPr>
          <w:rFonts w:ascii="Times New Roman" w:hAnsi="Times New Roman"/>
          <w:b/>
          <w:lang w:val="en-US"/>
        </w:rPr>
        <w:t xml:space="preserve">. </w:t>
      </w:r>
      <w:r w:rsidR="009E2B77" w:rsidRPr="007D770B">
        <w:rPr>
          <w:rFonts w:ascii="Times New Roman" w:hAnsi="Times New Roman"/>
          <w:lang w:val="en-US"/>
        </w:rPr>
        <w:t xml:space="preserve">Fair value measurements are specific to the asset or liability. When measuring fair value, </w:t>
      </w:r>
      <w:r w:rsidR="00F9744B" w:rsidRPr="007D770B">
        <w:rPr>
          <w:rFonts w:ascii="Times New Roman" w:hAnsi="Times New Roman"/>
          <w:lang w:val="en-US"/>
        </w:rPr>
        <w:t xml:space="preserve">the Bank </w:t>
      </w:r>
      <w:r w:rsidR="009E2B77" w:rsidRPr="007D770B">
        <w:rPr>
          <w:rFonts w:ascii="Times New Roman" w:hAnsi="Times New Roman"/>
          <w:lang w:val="en-US"/>
        </w:rPr>
        <w:t xml:space="preserve">takes into account the characteristics of the asset or liability </w:t>
      </w:r>
      <w:r w:rsidR="00D4301C" w:rsidRPr="007D770B">
        <w:rPr>
          <w:rFonts w:ascii="Times New Roman" w:hAnsi="Times New Roman"/>
          <w:lang w:val="en-US"/>
        </w:rPr>
        <w:t xml:space="preserve">as </w:t>
      </w:r>
      <w:r w:rsidR="009E2B77" w:rsidRPr="007D770B">
        <w:rPr>
          <w:rFonts w:ascii="Times New Roman" w:hAnsi="Times New Roman"/>
          <w:lang w:val="en-US"/>
        </w:rPr>
        <w:t xml:space="preserve">if market participants would take those characteristics into account when pricing the asset or liability at the </w:t>
      </w:r>
      <w:r w:rsidRPr="007D770B">
        <w:rPr>
          <w:rFonts w:ascii="Times New Roman" w:hAnsi="Times New Roman"/>
          <w:lang w:val="en-US"/>
        </w:rPr>
        <w:t>measurement</w:t>
      </w:r>
      <w:r w:rsidR="009E2B77" w:rsidRPr="007D770B">
        <w:rPr>
          <w:rFonts w:ascii="Times New Roman" w:hAnsi="Times New Roman"/>
          <w:lang w:val="en-US"/>
        </w:rPr>
        <w:t xml:space="preserve"> date</w:t>
      </w:r>
    </w:p>
    <w:p w14:paraId="57BA404E" w14:textId="77777777" w:rsidR="002C51A4" w:rsidRDefault="009E2B77" w:rsidP="00AE698A">
      <w:pPr>
        <w:numPr>
          <w:ilvl w:val="0"/>
          <w:numId w:val="241"/>
        </w:numPr>
        <w:autoSpaceDE w:val="0"/>
        <w:autoSpaceDN w:val="0"/>
        <w:adjustRightInd w:val="0"/>
        <w:spacing w:before="240" w:line="240" w:lineRule="auto"/>
        <w:rPr>
          <w:rFonts w:ascii="Times New Roman" w:hAnsi="Times New Roman"/>
        </w:rPr>
      </w:pPr>
      <w:r w:rsidRPr="002D4EA3">
        <w:rPr>
          <w:rFonts w:ascii="Times New Roman" w:hAnsi="Times New Roman"/>
        </w:rPr>
        <w:t>Condition</w:t>
      </w:r>
      <w:r w:rsidR="002C51A4">
        <w:rPr>
          <w:rFonts w:ascii="Times New Roman" w:hAnsi="Times New Roman"/>
        </w:rPr>
        <w:t>;</w:t>
      </w:r>
    </w:p>
    <w:p w14:paraId="1F41DF9B" w14:textId="77777777" w:rsidR="002C51A4" w:rsidRDefault="009E2B77" w:rsidP="00AE698A">
      <w:pPr>
        <w:numPr>
          <w:ilvl w:val="0"/>
          <w:numId w:val="241"/>
        </w:numPr>
        <w:autoSpaceDE w:val="0"/>
        <w:autoSpaceDN w:val="0"/>
        <w:adjustRightInd w:val="0"/>
        <w:spacing w:before="240" w:line="240" w:lineRule="auto"/>
        <w:rPr>
          <w:rFonts w:ascii="Times New Roman" w:hAnsi="Times New Roman"/>
        </w:rPr>
      </w:pPr>
      <w:r w:rsidRPr="002D4EA3">
        <w:rPr>
          <w:rFonts w:ascii="Times New Roman" w:hAnsi="Times New Roman"/>
        </w:rPr>
        <w:t>location</w:t>
      </w:r>
      <w:r w:rsidR="00496691">
        <w:rPr>
          <w:rFonts w:ascii="Times New Roman" w:hAnsi="Times New Roman"/>
        </w:rPr>
        <w:t>;</w:t>
      </w:r>
    </w:p>
    <w:p w14:paraId="3D2C0D08" w14:textId="77777777" w:rsidR="009E2B77" w:rsidRPr="007D770B" w:rsidRDefault="009E2B77" w:rsidP="00AE698A">
      <w:pPr>
        <w:numPr>
          <w:ilvl w:val="0"/>
          <w:numId w:val="241"/>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restrictions on sale or use, if any.</w:t>
      </w:r>
    </w:p>
    <w:p w14:paraId="5DFCCFEF" w14:textId="77777777" w:rsidR="00496691"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 xml:space="preserve">The effect of a particular characteristic on the measurement will vary depending on how that characteristic would have been accounted for by market participants. An asset or liability measured at fair value could be any of the following: </w:t>
      </w:r>
    </w:p>
    <w:p w14:paraId="46C1F078" w14:textId="77777777" w:rsidR="00496691" w:rsidRPr="007D770B" w:rsidRDefault="009E2B77" w:rsidP="00AE698A">
      <w:pPr>
        <w:numPr>
          <w:ilvl w:val="0"/>
          <w:numId w:val="242"/>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 xml:space="preserve">A separate asset or liability (for example, a financial instrument or a non-financial asset); or </w:t>
      </w:r>
    </w:p>
    <w:p w14:paraId="193313F9" w14:textId="77777777" w:rsidR="009E2B77" w:rsidRPr="007D770B" w:rsidRDefault="009E2B77" w:rsidP="00AE698A">
      <w:pPr>
        <w:numPr>
          <w:ilvl w:val="0"/>
          <w:numId w:val="242"/>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a group of assets, a group of liabilities, or a group of assets and liabilities (e.g., a cash-generating unit or a business)</w:t>
      </w:r>
      <w:r w:rsidR="0099465C" w:rsidRPr="007D770B">
        <w:rPr>
          <w:rFonts w:ascii="Times New Roman" w:hAnsi="Times New Roman"/>
          <w:lang w:val="en-US"/>
        </w:rPr>
        <w:t>.</w:t>
      </w:r>
    </w:p>
    <w:p w14:paraId="5791EBE8"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 xml:space="preserve">Whether an asset or liability is a single asset or liability, a group of assets, a group of liabilities or a group of assets and liabilities for recognition or disclosure purposes depends on its unit of account. The unit of account for an asset or liability is determined in accordance with the </w:t>
      </w:r>
      <w:r w:rsidR="00F9744B" w:rsidRPr="007D770B">
        <w:rPr>
          <w:rFonts w:ascii="Times New Roman" w:hAnsi="Times New Roman"/>
          <w:lang w:val="en-US"/>
        </w:rPr>
        <w:t xml:space="preserve">Bank's </w:t>
      </w:r>
      <w:r w:rsidRPr="007D770B">
        <w:rPr>
          <w:rFonts w:ascii="Times New Roman" w:hAnsi="Times New Roman"/>
          <w:lang w:val="en-US"/>
        </w:rPr>
        <w:t>accounting policies that require or permit fair value measurement, except as otherwise described in this section.</w:t>
      </w:r>
    </w:p>
    <w:p w14:paraId="141402D1" w14:textId="3FAF54D4" w:rsidR="009E2B77" w:rsidRPr="007D770B" w:rsidRDefault="009E2B77" w:rsidP="00BC39BA">
      <w:pPr>
        <w:pStyle w:val="afff1"/>
        <w:rPr>
          <w:rFonts w:ascii="Times New Roman" w:hAnsi="Times New Roman"/>
          <w:lang w:val="en-US"/>
        </w:rPr>
      </w:pPr>
      <w:r w:rsidRPr="007D770B">
        <w:rPr>
          <w:rFonts w:ascii="Times New Roman" w:hAnsi="Times New Roman"/>
          <w:b/>
          <w:lang w:val="en-US"/>
        </w:rPr>
        <w:t>Transaction</w:t>
      </w:r>
      <w:r w:rsidR="00BC39BA" w:rsidRPr="007D770B">
        <w:rPr>
          <w:rFonts w:ascii="Times New Roman" w:hAnsi="Times New Roman"/>
          <w:b/>
          <w:i/>
          <w:lang w:val="en-US"/>
        </w:rPr>
        <w:t xml:space="preserve">. </w:t>
      </w:r>
      <w:r w:rsidRPr="007D770B">
        <w:rPr>
          <w:rFonts w:ascii="Times New Roman" w:hAnsi="Times New Roman"/>
          <w:lang w:val="en-US"/>
        </w:rPr>
        <w:t xml:space="preserve">A fair value measurement involves the exchange of an asset or liability in an orderly transaction between market participants in an arm's length transaction to sell an asset or transfer a liability at the measurement date under current market conditions. The fair value measurement assumes a transaction to sell the asset or </w:t>
      </w:r>
      <w:r w:rsidR="00F34077" w:rsidRPr="007D770B">
        <w:rPr>
          <w:rFonts w:ascii="Times New Roman" w:hAnsi="Times New Roman"/>
          <w:lang w:val="en-US"/>
        </w:rPr>
        <w:t>transfer the liability</w:t>
      </w:r>
      <w:r w:rsidRPr="007D770B">
        <w:rPr>
          <w:rFonts w:ascii="Times New Roman" w:hAnsi="Times New Roman"/>
          <w:lang w:val="en-US"/>
        </w:rPr>
        <w:t>:</w:t>
      </w:r>
    </w:p>
    <w:p w14:paraId="5EBCD61A" w14:textId="77777777" w:rsidR="009E2B77" w:rsidRPr="007D770B" w:rsidRDefault="009E2B77" w:rsidP="00AE698A">
      <w:pPr>
        <w:pStyle w:val="aa"/>
        <w:numPr>
          <w:ilvl w:val="0"/>
          <w:numId w:val="125"/>
        </w:numPr>
        <w:autoSpaceDE w:val="0"/>
        <w:autoSpaceDN w:val="0"/>
        <w:adjustRightInd w:val="0"/>
        <w:spacing w:before="240" w:line="240" w:lineRule="auto"/>
        <w:contextualSpacing w:val="0"/>
        <w:rPr>
          <w:rFonts w:ascii="Times New Roman" w:hAnsi="Times New Roman"/>
          <w:lang w:val="en-US"/>
        </w:rPr>
      </w:pPr>
      <w:r w:rsidRPr="007D770B">
        <w:rPr>
          <w:rFonts w:ascii="Times New Roman" w:hAnsi="Times New Roman"/>
          <w:lang w:val="en-US"/>
        </w:rPr>
        <w:t>in the market that is principal to the asset or liability; or</w:t>
      </w:r>
    </w:p>
    <w:p w14:paraId="0D6E9CE8" w14:textId="77777777" w:rsidR="009E2B77" w:rsidRPr="007D770B" w:rsidRDefault="009E2B77" w:rsidP="00AE698A">
      <w:pPr>
        <w:pStyle w:val="aa"/>
        <w:numPr>
          <w:ilvl w:val="0"/>
          <w:numId w:val="125"/>
        </w:numPr>
        <w:autoSpaceDE w:val="0"/>
        <w:autoSpaceDN w:val="0"/>
        <w:adjustRightInd w:val="0"/>
        <w:spacing w:before="240" w:line="240" w:lineRule="auto"/>
        <w:contextualSpacing w:val="0"/>
        <w:rPr>
          <w:rFonts w:ascii="Times New Roman" w:hAnsi="Times New Roman"/>
          <w:lang w:val="en-US"/>
        </w:rPr>
      </w:pPr>
      <w:r w:rsidRPr="007D770B">
        <w:rPr>
          <w:rFonts w:ascii="Times New Roman" w:hAnsi="Times New Roman"/>
          <w:lang w:val="en-US"/>
        </w:rPr>
        <w:t xml:space="preserve">in the absence of a principal market in the market most advantageous to the asset or liability </w:t>
      </w:r>
      <w:r w:rsidR="00BC39BA" w:rsidRPr="007D770B">
        <w:rPr>
          <w:rFonts w:ascii="Times New Roman" w:hAnsi="Times New Roman"/>
          <w:lang w:val="en-US"/>
        </w:rPr>
        <w:t>(taking into account transportation and transaction costs)</w:t>
      </w:r>
      <w:r w:rsidRPr="007D770B">
        <w:rPr>
          <w:rFonts w:ascii="Times New Roman" w:hAnsi="Times New Roman"/>
          <w:lang w:val="en-US"/>
        </w:rPr>
        <w:t>.</w:t>
      </w:r>
    </w:p>
    <w:p w14:paraId="6786349D"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If there is a principal market for an asset or liability, the fair value measurement shall be a price in that market (that is either directly observable or calculated using another valuation technique), even if the price in another market is potentially more favorable at the measurement date.</w:t>
      </w:r>
    </w:p>
    <w:p w14:paraId="229D5E0D" w14:textId="77777777" w:rsidR="00A41E8E" w:rsidRPr="007D770B" w:rsidRDefault="00572DED"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 xml:space="preserve">The </w:t>
      </w:r>
      <w:r w:rsidR="00F9744B" w:rsidRPr="007D770B">
        <w:rPr>
          <w:rFonts w:ascii="Times New Roman" w:hAnsi="Times New Roman"/>
          <w:lang w:val="en-US"/>
        </w:rPr>
        <w:t xml:space="preserve">Bank </w:t>
      </w:r>
      <w:r w:rsidRPr="007D770B">
        <w:rPr>
          <w:rFonts w:ascii="Times New Roman" w:hAnsi="Times New Roman"/>
          <w:lang w:val="en-US"/>
        </w:rPr>
        <w:t xml:space="preserve">must </w:t>
      </w:r>
      <w:r w:rsidR="009E2B77" w:rsidRPr="007D770B">
        <w:rPr>
          <w:rFonts w:ascii="Times New Roman" w:hAnsi="Times New Roman"/>
          <w:lang w:val="en-US"/>
        </w:rPr>
        <w:t xml:space="preserve">have access to the principal (or most advantageous) market at the measurement date. Because different </w:t>
      </w:r>
      <w:r w:rsidR="00B05A46" w:rsidRPr="007D770B">
        <w:rPr>
          <w:rFonts w:ascii="Times New Roman" w:hAnsi="Times New Roman"/>
          <w:lang w:val="en-US"/>
        </w:rPr>
        <w:t xml:space="preserve">entities </w:t>
      </w:r>
      <w:r w:rsidR="009E2B77" w:rsidRPr="007D770B">
        <w:rPr>
          <w:rFonts w:ascii="Times New Roman" w:hAnsi="Times New Roman"/>
          <w:lang w:val="en-US"/>
        </w:rPr>
        <w:t xml:space="preserve">(and lines of business within such entities) engaged in different activities may have access to different markets, the principal (or most advantageous) market for the same asset or liability may be different for different </w:t>
      </w:r>
      <w:r w:rsidR="00B05A46" w:rsidRPr="007D770B">
        <w:rPr>
          <w:rFonts w:ascii="Times New Roman" w:hAnsi="Times New Roman"/>
          <w:lang w:val="en-US"/>
        </w:rPr>
        <w:t xml:space="preserve">entities </w:t>
      </w:r>
      <w:r w:rsidR="009E2B77" w:rsidRPr="007D770B">
        <w:rPr>
          <w:rFonts w:ascii="Times New Roman" w:hAnsi="Times New Roman"/>
          <w:lang w:val="en-US"/>
        </w:rPr>
        <w:t xml:space="preserve">(and lines of business within such </w:t>
      </w:r>
      <w:r w:rsidR="00B05A46" w:rsidRPr="007D770B">
        <w:rPr>
          <w:rFonts w:ascii="Times New Roman" w:hAnsi="Times New Roman"/>
          <w:lang w:val="en-US"/>
        </w:rPr>
        <w:t>entities</w:t>
      </w:r>
      <w:r w:rsidR="009E2B77" w:rsidRPr="007D770B">
        <w:rPr>
          <w:rFonts w:ascii="Times New Roman" w:hAnsi="Times New Roman"/>
          <w:lang w:val="en-US"/>
        </w:rPr>
        <w:t xml:space="preserve">). Consequently, the principal (or most advantageous) market (and, accordingly, market participants) should be viewed from the </w:t>
      </w:r>
      <w:r w:rsidR="00F9744B" w:rsidRPr="007D770B">
        <w:rPr>
          <w:rFonts w:ascii="Times New Roman" w:hAnsi="Times New Roman"/>
          <w:lang w:val="en-US"/>
        </w:rPr>
        <w:t xml:space="preserve">Bank's </w:t>
      </w:r>
      <w:r w:rsidR="009E2B77" w:rsidRPr="007D770B">
        <w:rPr>
          <w:rFonts w:ascii="Times New Roman" w:hAnsi="Times New Roman"/>
          <w:lang w:val="en-US"/>
        </w:rPr>
        <w:t>perspective</w:t>
      </w:r>
      <w:r w:rsidR="00BF2826" w:rsidRPr="007D770B">
        <w:rPr>
          <w:rFonts w:ascii="Times New Roman" w:hAnsi="Times New Roman"/>
          <w:lang w:val="en-US"/>
        </w:rPr>
        <w:t xml:space="preserve">, </w:t>
      </w:r>
      <w:r w:rsidR="009E2B77" w:rsidRPr="007D770B">
        <w:rPr>
          <w:rFonts w:ascii="Times New Roman" w:hAnsi="Times New Roman"/>
          <w:lang w:val="en-US"/>
        </w:rPr>
        <w:t>thus taking into account differences between and among entities engaged in different activities</w:t>
      </w:r>
    </w:p>
    <w:p w14:paraId="0A2DEB99" w14:textId="36676A09"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 xml:space="preserve">Although the </w:t>
      </w:r>
      <w:r w:rsidR="00F9744B" w:rsidRPr="007D770B">
        <w:rPr>
          <w:rFonts w:ascii="Times New Roman" w:hAnsi="Times New Roman"/>
          <w:lang w:val="en-US"/>
        </w:rPr>
        <w:t xml:space="preserve">Bank </w:t>
      </w:r>
      <w:r w:rsidR="00572DED" w:rsidRPr="007D770B">
        <w:rPr>
          <w:rFonts w:ascii="Times New Roman" w:hAnsi="Times New Roman"/>
          <w:lang w:val="en-US"/>
        </w:rPr>
        <w:t xml:space="preserve">must </w:t>
      </w:r>
      <w:r w:rsidRPr="007D770B">
        <w:rPr>
          <w:rFonts w:ascii="Times New Roman" w:hAnsi="Times New Roman"/>
          <w:lang w:val="en-US"/>
        </w:rPr>
        <w:t xml:space="preserve">have access to a market, the </w:t>
      </w:r>
      <w:r w:rsidR="00F9744B" w:rsidRPr="007D770B">
        <w:rPr>
          <w:rFonts w:ascii="Times New Roman" w:hAnsi="Times New Roman"/>
          <w:lang w:val="en-US"/>
        </w:rPr>
        <w:t xml:space="preserve">Bank </w:t>
      </w:r>
      <w:r w:rsidRPr="007D770B">
        <w:rPr>
          <w:rFonts w:ascii="Times New Roman" w:hAnsi="Times New Roman"/>
          <w:lang w:val="en-US"/>
        </w:rPr>
        <w:t xml:space="preserve">is not required to sell a specific asset </w:t>
      </w:r>
      <w:r w:rsidR="00F34077" w:rsidRPr="007D770B">
        <w:rPr>
          <w:rFonts w:ascii="Times New Roman" w:hAnsi="Times New Roman"/>
          <w:lang w:val="en-US"/>
        </w:rPr>
        <w:t xml:space="preserve">or transfer a </w:t>
      </w:r>
      <w:r w:rsidRPr="007D770B">
        <w:rPr>
          <w:rFonts w:ascii="Times New Roman" w:hAnsi="Times New Roman"/>
          <w:lang w:val="en-US"/>
        </w:rPr>
        <w:t>specific liability at the measurement date in order to be able to estimate fair value based on a price in a given market.</w:t>
      </w:r>
    </w:p>
    <w:p w14:paraId="1EB3FC04"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Even if there is no observable market that provides pricing information for the sale of an asset or transfer of a liability at the measurement date, the fair value measurement shall assume that the transaction occurs at that date and is viewed from the perspective of the market participant that holds the asset or has the liability. This assumption provides a basis for determining the selling price of the asset or transfer of the liability.</w:t>
      </w:r>
    </w:p>
    <w:p w14:paraId="79D7D81A" w14:textId="77777777" w:rsidR="009E2B77" w:rsidRDefault="009E2B77" w:rsidP="00F96B17">
      <w:pPr>
        <w:autoSpaceDE w:val="0"/>
        <w:autoSpaceDN w:val="0"/>
        <w:adjustRightInd w:val="0"/>
        <w:spacing w:before="240" w:line="240" w:lineRule="auto"/>
        <w:ind w:left="0"/>
        <w:rPr>
          <w:rFonts w:ascii="Times New Roman" w:hAnsi="Times New Roman"/>
        </w:rPr>
      </w:pPr>
      <w:r w:rsidRPr="007D770B">
        <w:rPr>
          <w:rFonts w:ascii="Times New Roman" w:hAnsi="Times New Roman"/>
          <w:b/>
          <w:lang w:val="en-US"/>
        </w:rPr>
        <w:t>Market participants</w:t>
      </w:r>
      <w:r w:rsidR="00A41E8E" w:rsidRPr="007D770B">
        <w:rPr>
          <w:rFonts w:ascii="Times New Roman" w:hAnsi="Times New Roman"/>
          <w:b/>
          <w:i/>
          <w:lang w:val="en-US"/>
        </w:rPr>
        <w:t xml:space="preserve">. </w:t>
      </w:r>
      <w:r w:rsidR="0041206F" w:rsidRPr="007D770B">
        <w:rPr>
          <w:rFonts w:ascii="Times New Roman" w:hAnsi="Times New Roman"/>
          <w:lang w:val="en-US"/>
        </w:rPr>
        <w:t xml:space="preserve">Market participants would seek to maximize the fair value of an asset and minimize the fair value of a </w:t>
      </w:r>
      <w:r w:rsidR="00A55F25" w:rsidRPr="007D770B">
        <w:rPr>
          <w:rFonts w:ascii="Times New Roman" w:hAnsi="Times New Roman"/>
          <w:lang w:val="en-US"/>
        </w:rPr>
        <w:t xml:space="preserve">liability in a transaction where the asset is sold or the liability is transferred in the principal (or most advantageous) market. </w:t>
      </w:r>
      <w:r w:rsidR="00572DED" w:rsidRPr="007D770B">
        <w:rPr>
          <w:rFonts w:ascii="Times New Roman" w:hAnsi="Times New Roman"/>
          <w:lang w:val="en-US"/>
        </w:rPr>
        <w:t xml:space="preserve">The </w:t>
      </w:r>
      <w:r w:rsidR="00F9744B" w:rsidRPr="007D770B">
        <w:rPr>
          <w:rFonts w:ascii="Times New Roman" w:hAnsi="Times New Roman"/>
          <w:lang w:val="en-US"/>
        </w:rPr>
        <w:t xml:space="preserve">Bank </w:t>
      </w:r>
      <w:r w:rsidR="00572DED" w:rsidRPr="007D770B">
        <w:rPr>
          <w:rFonts w:ascii="Times New Roman" w:hAnsi="Times New Roman"/>
          <w:lang w:val="en-US"/>
        </w:rPr>
        <w:t xml:space="preserve">is required to </w:t>
      </w:r>
      <w:r w:rsidRPr="007D770B">
        <w:rPr>
          <w:rFonts w:ascii="Times New Roman" w:hAnsi="Times New Roman"/>
          <w:lang w:val="en-US"/>
        </w:rPr>
        <w:t>estimate the fair value of an asset or a liability using assumptions that market participants would use when pricing the asset or liability assuming that market participants act in their economic interest.</w:t>
      </w:r>
      <w:r w:rsidR="003A03C8" w:rsidRPr="007D770B">
        <w:rPr>
          <w:rFonts w:ascii="Times New Roman" w:hAnsi="Times New Roman"/>
          <w:lang w:val="en-US"/>
        </w:rPr>
        <w:t xml:space="preserve"> </w:t>
      </w:r>
      <w:r w:rsidR="003A03C8">
        <w:rPr>
          <w:rFonts w:ascii="Times New Roman" w:hAnsi="Times New Roman"/>
        </w:rPr>
        <w:t>Market participants have the following characteristics:</w:t>
      </w:r>
    </w:p>
    <w:p w14:paraId="688A558E" w14:textId="77777777" w:rsidR="003A03C8" w:rsidRDefault="003A03C8" w:rsidP="00AE698A">
      <w:pPr>
        <w:numPr>
          <w:ilvl w:val="0"/>
          <w:numId w:val="243"/>
        </w:numPr>
        <w:autoSpaceDE w:val="0"/>
        <w:autoSpaceDN w:val="0"/>
        <w:adjustRightInd w:val="0"/>
        <w:spacing w:before="240" w:line="240" w:lineRule="auto"/>
        <w:rPr>
          <w:rFonts w:ascii="Times New Roman" w:hAnsi="Times New Roman"/>
        </w:rPr>
      </w:pPr>
      <w:r>
        <w:rPr>
          <w:rFonts w:ascii="Times New Roman" w:hAnsi="Times New Roman"/>
        </w:rPr>
        <w:t>are independent;</w:t>
      </w:r>
    </w:p>
    <w:p w14:paraId="1E010905" w14:textId="77777777" w:rsidR="003A03C8" w:rsidRDefault="003A03C8" w:rsidP="00AE698A">
      <w:pPr>
        <w:numPr>
          <w:ilvl w:val="0"/>
          <w:numId w:val="243"/>
        </w:numPr>
        <w:autoSpaceDE w:val="0"/>
        <w:autoSpaceDN w:val="0"/>
        <w:adjustRightInd w:val="0"/>
        <w:spacing w:before="240" w:line="240" w:lineRule="auto"/>
        <w:rPr>
          <w:rFonts w:ascii="Times New Roman" w:hAnsi="Times New Roman"/>
        </w:rPr>
      </w:pPr>
      <w:r>
        <w:rPr>
          <w:rFonts w:ascii="Times New Roman" w:hAnsi="Times New Roman"/>
        </w:rPr>
        <w:t>have sufficient information;</w:t>
      </w:r>
    </w:p>
    <w:p w14:paraId="28C3D5E4" w14:textId="77777777" w:rsidR="003A03C8" w:rsidRDefault="003A03C8" w:rsidP="00AE698A">
      <w:pPr>
        <w:numPr>
          <w:ilvl w:val="0"/>
          <w:numId w:val="243"/>
        </w:numPr>
        <w:autoSpaceDE w:val="0"/>
        <w:autoSpaceDN w:val="0"/>
        <w:adjustRightInd w:val="0"/>
        <w:spacing w:before="240" w:line="240" w:lineRule="auto"/>
        <w:rPr>
          <w:rFonts w:ascii="Times New Roman" w:hAnsi="Times New Roman"/>
        </w:rPr>
      </w:pPr>
      <w:r>
        <w:rPr>
          <w:rFonts w:ascii="Times New Roman" w:hAnsi="Times New Roman"/>
        </w:rPr>
        <w:lastRenderedPageBreak/>
        <w:t>can make a deal;</w:t>
      </w:r>
    </w:p>
    <w:p w14:paraId="7BF153D5" w14:textId="77777777" w:rsidR="003A03C8" w:rsidRPr="007D770B" w:rsidRDefault="003A03C8" w:rsidP="00AE698A">
      <w:pPr>
        <w:numPr>
          <w:ilvl w:val="0"/>
          <w:numId w:val="243"/>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are willing to make a deal.</w:t>
      </w:r>
    </w:p>
    <w:p w14:paraId="742A0192"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 xml:space="preserve">In developing these assumptions, </w:t>
      </w:r>
      <w:r w:rsidR="00F9744B" w:rsidRPr="007D770B">
        <w:rPr>
          <w:rFonts w:ascii="Times New Roman" w:hAnsi="Times New Roman"/>
          <w:lang w:val="en-US"/>
        </w:rPr>
        <w:t xml:space="preserve">the Bank </w:t>
      </w:r>
      <w:r w:rsidRPr="007D770B">
        <w:rPr>
          <w:rFonts w:ascii="Times New Roman" w:hAnsi="Times New Roman"/>
          <w:lang w:val="en-US"/>
        </w:rPr>
        <w:t xml:space="preserve">does not need to identify specific market participants. Instead, the </w:t>
      </w:r>
      <w:r w:rsidR="00F9744B" w:rsidRPr="007D770B">
        <w:rPr>
          <w:rFonts w:ascii="Times New Roman" w:hAnsi="Times New Roman"/>
          <w:lang w:val="en-US"/>
        </w:rPr>
        <w:t xml:space="preserve">Bank </w:t>
      </w:r>
      <w:r w:rsidR="00572DED" w:rsidRPr="007D770B">
        <w:rPr>
          <w:rFonts w:ascii="Times New Roman" w:hAnsi="Times New Roman"/>
          <w:lang w:val="en-US"/>
        </w:rPr>
        <w:t xml:space="preserve">should </w:t>
      </w:r>
      <w:r w:rsidRPr="007D770B">
        <w:rPr>
          <w:rFonts w:ascii="Times New Roman" w:hAnsi="Times New Roman"/>
          <w:lang w:val="en-US"/>
        </w:rPr>
        <w:t>identify common characteristics that distinguish market participants by considering factors specific to all of the following:</w:t>
      </w:r>
    </w:p>
    <w:p w14:paraId="0A8B2D29" w14:textId="77777777" w:rsidR="009E2B77" w:rsidRPr="002D4EA3" w:rsidRDefault="009E2B77" w:rsidP="00AE698A">
      <w:pPr>
        <w:pStyle w:val="aa"/>
        <w:numPr>
          <w:ilvl w:val="0"/>
          <w:numId w:val="126"/>
        </w:numPr>
        <w:autoSpaceDE w:val="0"/>
        <w:autoSpaceDN w:val="0"/>
        <w:adjustRightInd w:val="0"/>
        <w:spacing w:before="240" w:line="240" w:lineRule="auto"/>
        <w:contextualSpacing w:val="0"/>
        <w:rPr>
          <w:rFonts w:ascii="Times New Roman" w:hAnsi="Times New Roman"/>
        </w:rPr>
      </w:pPr>
      <w:r w:rsidRPr="002D4EA3">
        <w:rPr>
          <w:rFonts w:ascii="Times New Roman" w:hAnsi="Times New Roman"/>
        </w:rPr>
        <w:t>asset or liability;</w:t>
      </w:r>
    </w:p>
    <w:p w14:paraId="18503FC2" w14:textId="77777777" w:rsidR="009E2B77" w:rsidRPr="007D770B" w:rsidRDefault="009E2B77" w:rsidP="00AE698A">
      <w:pPr>
        <w:pStyle w:val="aa"/>
        <w:numPr>
          <w:ilvl w:val="0"/>
          <w:numId w:val="126"/>
        </w:numPr>
        <w:autoSpaceDE w:val="0"/>
        <w:autoSpaceDN w:val="0"/>
        <w:adjustRightInd w:val="0"/>
        <w:spacing w:before="240" w:line="240" w:lineRule="auto"/>
        <w:contextualSpacing w:val="0"/>
        <w:rPr>
          <w:rFonts w:ascii="Times New Roman" w:hAnsi="Times New Roman"/>
          <w:lang w:val="en-US"/>
        </w:rPr>
      </w:pPr>
      <w:r w:rsidRPr="007D770B">
        <w:rPr>
          <w:rFonts w:ascii="Times New Roman" w:hAnsi="Times New Roman"/>
          <w:lang w:val="en-US"/>
        </w:rPr>
        <w:t>The principal (or most advantageous) market for the asset or liability; and</w:t>
      </w:r>
    </w:p>
    <w:p w14:paraId="59AAC25A" w14:textId="77777777" w:rsidR="009E2B77" w:rsidRPr="007D770B" w:rsidRDefault="009E2B77" w:rsidP="00AE698A">
      <w:pPr>
        <w:pStyle w:val="aa"/>
        <w:numPr>
          <w:ilvl w:val="0"/>
          <w:numId w:val="126"/>
        </w:numPr>
        <w:autoSpaceDE w:val="0"/>
        <w:autoSpaceDN w:val="0"/>
        <w:adjustRightInd w:val="0"/>
        <w:spacing w:before="240" w:line="240" w:lineRule="auto"/>
        <w:contextualSpacing w:val="0"/>
        <w:rPr>
          <w:rFonts w:ascii="Times New Roman" w:hAnsi="Times New Roman"/>
          <w:lang w:val="en-US"/>
        </w:rPr>
      </w:pPr>
      <w:r w:rsidRPr="007D770B">
        <w:rPr>
          <w:rFonts w:ascii="Times New Roman" w:hAnsi="Times New Roman"/>
          <w:lang w:val="en-US"/>
        </w:rPr>
        <w:t xml:space="preserve">market participants with whom the </w:t>
      </w:r>
      <w:r w:rsidR="00F9744B" w:rsidRPr="007D770B">
        <w:rPr>
          <w:rFonts w:ascii="Times New Roman" w:hAnsi="Times New Roman"/>
          <w:lang w:val="en-US"/>
        </w:rPr>
        <w:t xml:space="preserve">Bank </w:t>
      </w:r>
      <w:r w:rsidRPr="007D770B">
        <w:rPr>
          <w:rFonts w:ascii="Times New Roman" w:hAnsi="Times New Roman"/>
          <w:lang w:val="en-US"/>
        </w:rPr>
        <w:t xml:space="preserve">would </w:t>
      </w:r>
      <w:r w:rsidR="001C3EB6" w:rsidRPr="007D770B">
        <w:rPr>
          <w:rFonts w:ascii="Times New Roman" w:hAnsi="Times New Roman"/>
          <w:lang w:val="en-US"/>
        </w:rPr>
        <w:t xml:space="preserve">enter into </w:t>
      </w:r>
      <w:r w:rsidRPr="007D770B">
        <w:rPr>
          <w:rFonts w:ascii="Times New Roman" w:hAnsi="Times New Roman"/>
          <w:lang w:val="en-US"/>
        </w:rPr>
        <w:t>a transaction in that market.</w:t>
      </w:r>
    </w:p>
    <w:p w14:paraId="06EEDE7A" w14:textId="77777777" w:rsidR="00DB7442" w:rsidRPr="007D770B" w:rsidRDefault="009E2B77" w:rsidP="00DB7442">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b/>
          <w:lang w:val="en-US"/>
        </w:rPr>
        <w:t>Price</w:t>
      </w:r>
      <w:r w:rsidR="00B30011" w:rsidRPr="007D770B">
        <w:rPr>
          <w:rFonts w:ascii="Times New Roman" w:hAnsi="Times New Roman"/>
          <w:b/>
          <w:lang w:val="en-US"/>
        </w:rPr>
        <w:t xml:space="preserve">. </w:t>
      </w:r>
      <w:r w:rsidR="00DB7442" w:rsidRPr="007D770B">
        <w:rPr>
          <w:rFonts w:ascii="Times New Roman" w:hAnsi="Times New Roman"/>
          <w:lang w:val="en-US"/>
        </w:rPr>
        <w:t>Price determination is based on the following factors:</w:t>
      </w:r>
    </w:p>
    <w:p w14:paraId="14D99164" w14:textId="77777777" w:rsidR="00DB7442" w:rsidRPr="007D770B" w:rsidRDefault="00DB7442" w:rsidP="00AE698A">
      <w:pPr>
        <w:numPr>
          <w:ilvl w:val="0"/>
          <w:numId w:val="244"/>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the current price in the main (or most favorable) market;</w:t>
      </w:r>
    </w:p>
    <w:p w14:paraId="79AB5D1A" w14:textId="77777777" w:rsidR="00DB7442" w:rsidRPr="007D770B" w:rsidRDefault="00D4301C" w:rsidP="00AE698A">
      <w:pPr>
        <w:numPr>
          <w:ilvl w:val="0"/>
          <w:numId w:val="244"/>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 xml:space="preserve">exit </w:t>
      </w:r>
      <w:r w:rsidR="00DB7442" w:rsidRPr="007D770B">
        <w:rPr>
          <w:rFonts w:ascii="Times New Roman" w:hAnsi="Times New Roman"/>
          <w:lang w:val="en-US"/>
        </w:rPr>
        <w:t>price (the price at which the asset is sold or the liability transferred</w:t>
      </w:r>
      <w:r w:rsidR="00B30011" w:rsidRPr="007D770B">
        <w:rPr>
          <w:rFonts w:ascii="Times New Roman" w:hAnsi="Times New Roman"/>
          <w:lang w:val="en-US"/>
        </w:rPr>
        <w:t>, rather than the purchase price</w:t>
      </w:r>
      <w:r w:rsidR="00DB7442" w:rsidRPr="007D770B">
        <w:rPr>
          <w:rFonts w:ascii="Times New Roman" w:hAnsi="Times New Roman"/>
          <w:lang w:val="en-US"/>
        </w:rPr>
        <w:t>);</w:t>
      </w:r>
    </w:p>
    <w:p w14:paraId="3E1F9BFE" w14:textId="77777777" w:rsidR="00DB7442" w:rsidRPr="007D770B" w:rsidRDefault="00DB7442" w:rsidP="00AE698A">
      <w:pPr>
        <w:numPr>
          <w:ilvl w:val="0"/>
          <w:numId w:val="244"/>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 xml:space="preserve">not adjusted for transaction costs </w:t>
      </w:r>
      <w:r w:rsidR="00F079E5" w:rsidRPr="007D770B">
        <w:rPr>
          <w:rFonts w:ascii="Times New Roman" w:hAnsi="Times New Roman"/>
          <w:lang w:val="en-US"/>
        </w:rPr>
        <w:t>(</w:t>
      </w:r>
      <w:r w:rsidR="00B30011" w:rsidRPr="007D770B">
        <w:rPr>
          <w:rFonts w:ascii="Times New Roman" w:hAnsi="Times New Roman"/>
          <w:lang w:val="en-US"/>
        </w:rPr>
        <w:t xml:space="preserve">transaction costs </w:t>
      </w:r>
      <w:r w:rsidR="00F079E5" w:rsidRPr="007D770B">
        <w:rPr>
          <w:rFonts w:ascii="Times New Roman" w:hAnsi="Times New Roman"/>
          <w:lang w:val="en-US"/>
        </w:rPr>
        <w:t xml:space="preserve">are not a characteristic of the asset or liability; rather, they are transaction specific and will vary depending on how the </w:t>
      </w:r>
      <w:r w:rsidR="00F9744B" w:rsidRPr="007D770B">
        <w:rPr>
          <w:rFonts w:ascii="Times New Roman" w:hAnsi="Times New Roman"/>
          <w:lang w:val="en-US"/>
        </w:rPr>
        <w:t xml:space="preserve">Bank </w:t>
      </w:r>
      <w:r w:rsidR="00F079E5" w:rsidRPr="007D770B">
        <w:rPr>
          <w:rFonts w:ascii="Times New Roman" w:hAnsi="Times New Roman"/>
          <w:lang w:val="en-US"/>
        </w:rPr>
        <w:t>enters into the transaction for the asset or liability</w:t>
      </w:r>
      <w:r w:rsidR="00616319" w:rsidRPr="007D770B">
        <w:rPr>
          <w:rFonts w:ascii="Times New Roman" w:hAnsi="Times New Roman"/>
          <w:lang w:val="en-US"/>
        </w:rPr>
        <w:t>, but such costs should be taken into account in determining the most advantageous market</w:t>
      </w:r>
      <w:r w:rsidR="00F079E5" w:rsidRPr="007D770B">
        <w:rPr>
          <w:rFonts w:ascii="Times New Roman" w:hAnsi="Times New Roman"/>
          <w:lang w:val="en-US"/>
        </w:rPr>
        <w:t>)</w:t>
      </w:r>
      <w:r w:rsidRPr="007D770B">
        <w:rPr>
          <w:rFonts w:ascii="Times New Roman" w:hAnsi="Times New Roman"/>
          <w:lang w:val="en-US"/>
        </w:rPr>
        <w:t>;</w:t>
      </w:r>
    </w:p>
    <w:p w14:paraId="5DB02854" w14:textId="77777777" w:rsidR="00774F15" w:rsidRPr="007D770B" w:rsidRDefault="00F079E5" w:rsidP="00AE698A">
      <w:pPr>
        <w:numPr>
          <w:ilvl w:val="0"/>
          <w:numId w:val="244"/>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 xml:space="preserve">should take into account transportation costs if the location of the asset or </w:t>
      </w:r>
      <w:r w:rsidR="00B30011" w:rsidRPr="007D770B">
        <w:rPr>
          <w:rFonts w:ascii="Times New Roman" w:hAnsi="Times New Roman"/>
          <w:lang w:val="en-US"/>
        </w:rPr>
        <w:t xml:space="preserve">liability </w:t>
      </w:r>
      <w:r w:rsidRPr="007D770B">
        <w:rPr>
          <w:rFonts w:ascii="Times New Roman" w:hAnsi="Times New Roman"/>
          <w:lang w:val="en-US"/>
        </w:rPr>
        <w:t xml:space="preserve">is an important factor in </w:t>
      </w:r>
      <w:r w:rsidR="00A31CC0" w:rsidRPr="007D770B">
        <w:rPr>
          <w:rFonts w:ascii="Times New Roman" w:hAnsi="Times New Roman"/>
          <w:lang w:val="en-US"/>
        </w:rPr>
        <w:t>the valuation</w:t>
      </w:r>
      <w:r w:rsidRPr="007D770B">
        <w:rPr>
          <w:rFonts w:ascii="Times New Roman" w:hAnsi="Times New Roman"/>
          <w:lang w:val="en-US"/>
        </w:rPr>
        <w:t>.</w:t>
      </w:r>
    </w:p>
    <w:p w14:paraId="4A07FC2D" w14:textId="77777777" w:rsidR="0070210F" w:rsidRPr="007D770B" w:rsidRDefault="0070210F" w:rsidP="00CC7F72">
      <w:pPr>
        <w:autoSpaceDE w:val="0"/>
        <w:autoSpaceDN w:val="0"/>
        <w:adjustRightInd w:val="0"/>
        <w:spacing w:before="240" w:line="240" w:lineRule="auto"/>
        <w:ind w:left="0"/>
        <w:rPr>
          <w:rFonts w:ascii="Times New Roman" w:hAnsi="Times New Roman"/>
          <w:lang w:val="en-US"/>
        </w:rPr>
      </w:pPr>
    </w:p>
    <w:p w14:paraId="2F622623" w14:textId="77777777" w:rsidR="00CD25B1" w:rsidRPr="007D770B" w:rsidRDefault="00CD25B1" w:rsidP="00E61D21">
      <w:pPr>
        <w:pStyle w:val="3"/>
        <w:rPr>
          <w:lang w:val="en-US"/>
        </w:rPr>
      </w:pPr>
      <w:bookmarkStart w:id="426" w:name="_Toc378283544"/>
    </w:p>
    <w:p w14:paraId="635DD3BF" w14:textId="77777777" w:rsidR="00CD25B1" w:rsidRPr="007D770B" w:rsidRDefault="00CD25B1" w:rsidP="00E61D21">
      <w:pPr>
        <w:pStyle w:val="3"/>
        <w:rPr>
          <w:lang w:val="en-US"/>
        </w:rPr>
      </w:pPr>
    </w:p>
    <w:p w14:paraId="219127B9" w14:textId="77777777" w:rsidR="00CD25B1" w:rsidRPr="007D770B" w:rsidRDefault="00CD25B1" w:rsidP="00E61D21">
      <w:pPr>
        <w:pStyle w:val="3"/>
        <w:rPr>
          <w:lang w:val="en-US"/>
        </w:rPr>
      </w:pPr>
    </w:p>
    <w:p w14:paraId="58AD95CF" w14:textId="77777777" w:rsidR="00CD25B1" w:rsidRPr="007D770B" w:rsidRDefault="00CD25B1" w:rsidP="00E61D21">
      <w:pPr>
        <w:pStyle w:val="3"/>
        <w:rPr>
          <w:lang w:val="en-US"/>
        </w:rPr>
      </w:pPr>
    </w:p>
    <w:p w14:paraId="6DBF856B" w14:textId="76043AF5" w:rsidR="009E2B77" w:rsidRPr="007D770B" w:rsidRDefault="00CD25B1" w:rsidP="00E61D21">
      <w:pPr>
        <w:pStyle w:val="3"/>
        <w:rPr>
          <w:lang w:val="en-US"/>
        </w:rPr>
      </w:pPr>
      <w:bookmarkStart w:id="427" w:name="_Toc168502134"/>
      <w:r w:rsidRPr="007D770B">
        <w:rPr>
          <w:lang w:val="en-US"/>
        </w:rPr>
        <w:t>5</w:t>
      </w:r>
      <w:r w:rsidR="009C5C7D" w:rsidRPr="007D770B">
        <w:rPr>
          <w:lang w:val="en-US"/>
        </w:rPr>
        <w:t xml:space="preserve">.4 </w:t>
      </w:r>
      <w:r w:rsidR="009E2B77" w:rsidRPr="007D770B">
        <w:rPr>
          <w:lang w:val="en-US"/>
        </w:rPr>
        <w:t>Application to non-financial assets</w:t>
      </w:r>
      <w:bookmarkEnd w:id="426"/>
      <w:bookmarkEnd w:id="427"/>
    </w:p>
    <w:p w14:paraId="676E3D39" w14:textId="77777777" w:rsidR="009E2B77" w:rsidRPr="007D770B" w:rsidRDefault="009E2B77" w:rsidP="00F96B17">
      <w:pPr>
        <w:keepNext/>
        <w:autoSpaceDE w:val="0"/>
        <w:autoSpaceDN w:val="0"/>
        <w:adjustRightInd w:val="0"/>
        <w:spacing w:before="240" w:line="240" w:lineRule="auto"/>
        <w:ind w:left="0"/>
        <w:rPr>
          <w:rFonts w:ascii="Times New Roman" w:hAnsi="Times New Roman"/>
          <w:b/>
          <w:i/>
          <w:lang w:val="en-US"/>
        </w:rPr>
      </w:pPr>
      <w:r w:rsidRPr="007D770B">
        <w:rPr>
          <w:rFonts w:ascii="Times New Roman" w:hAnsi="Times New Roman"/>
          <w:b/>
          <w:i/>
          <w:lang w:val="en-US"/>
        </w:rPr>
        <w:t>Best and most efficient use in respect of non-financial assets</w:t>
      </w:r>
    </w:p>
    <w:p w14:paraId="0B2FAE85" w14:textId="77777777" w:rsidR="00C450B3" w:rsidRPr="007D770B" w:rsidRDefault="009E2B77" w:rsidP="00F96B17">
      <w:pPr>
        <w:keepNext/>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In estimating the fair value of a non-financial asset, consideration is given to</w:t>
      </w:r>
      <w:r w:rsidR="00C450B3" w:rsidRPr="007D770B">
        <w:rPr>
          <w:rFonts w:ascii="Times New Roman" w:hAnsi="Times New Roman"/>
          <w:lang w:val="en-US"/>
        </w:rPr>
        <w:t>:</w:t>
      </w:r>
    </w:p>
    <w:p w14:paraId="3F46CCA1" w14:textId="77777777" w:rsidR="00C450B3" w:rsidRPr="007D770B" w:rsidRDefault="009E2B77" w:rsidP="00AE698A">
      <w:pPr>
        <w:numPr>
          <w:ilvl w:val="0"/>
          <w:numId w:val="245"/>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A market participant's ability to generate economic benefits through the best and most efficient use of an asset</w:t>
      </w:r>
      <w:r w:rsidR="00C450B3" w:rsidRPr="007D770B">
        <w:rPr>
          <w:rFonts w:ascii="Times New Roman" w:hAnsi="Times New Roman"/>
          <w:lang w:val="en-US"/>
        </w:rPr>
        <w:t xml:space="preserve">, </w:t>
      </w:r>
      <w:r w:rsidRPr="007D770B">
        <w:rPr>
          <w:rFonts w:ascii="Times New Roman" w:hAnsi="Times New Roman"/>
          <w:lang w:val="en-US"/>
        </w:rPr>
        <w:t>or</w:t>
      </w:r>
      <w:r w:rsidR="00C450B3" w:rsidRPr="007D770B">
        <w:rPr>
          <w:rFonts w:ascii="Times New Roman" w:hAnsi="Times New Roman"/>
          <w:lang w:val="en-US"/>
        </w:rPr>
        <w:t>;</w:t>
      </w:r>
    </w:p>
    <w:p w14:paraId="1A250BB1" w14:textId="77777777" w:rsidR="00BC6A02" w:rsidRPr="007D770B" w:rsidRDefault="00BC6A02" w:rsidP="00AE698A">
      <w:pPr>
        <w:numPr>
          <w:ilvl w:val="0"/>
          <w:numId w:val="245"/>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by selling it to another market participant that would make the best and most efficient use of the asset.</w:t>
      </w:r>
    </w:p>
    <w:p w14:paraId="1A3E388E" w14:textId="77777777" w:rsidR="00874204" w:rsidRPr="007D770B" w:rsidRDefault="00874204" w:rsidP="00BC6A02">
      <w:pPr>
        <w:autoSpaceDE w:val="0"/>
        <w:autoSpaceDN w:val="0"/>
        <w:adjustRightInd w:val="0"/>
        <w:spacing w:before="240" w:line="240" w:lineRule="auto"/>
        <w:ind w:left="0"/>
        <w:rPr>
          <w:rFonts w:ascii="Times New Roman" w:hAnsi="Times New Roman"/>
          <w:lang w:val="en-US"/>
        </w:rPr>
      </w:pPr>
    </w:p>
    <w:p w14:paraId="600C5C5A" w14:textId="77777777" w:rsidR="00815153" w:rsidRDefault="00BD6A60" w:rsidP="00BC6A02">
      <w:pPr>
        <w:spacing w:before="240" w:line="240" w:lineRule="auto"/>
        <w:ind w:left="0"/>
        <w:rPr>
          <w:rFonts w:ascii="Times New Roman" w:hAnsi="Times New Roman"/>
        </w:rPr>
      </w:pPr>
      <w:r>
        <w:rPr>
          <w:rFonts w:ascii="Times New Roman" w:hAnsi="Times New Roman"/>
          <w:noProof/>
          <w:lang w:eastAsia="ru-RU"/>
        </w:rPr>
        <w:lastRenderedPageBreak/>
        <mc:AlternateContent>
          <mc:Choice Requires="wpg">
            <w:drawing>
              <wp:inline distT="0" distB="0" distL="0" distR="0" wp14:anchorId="036AFF40" wp14:editId="3ACEDDD7">
                <wp:extent cx="6419850" cy="2788285"/>
                <wp:effectExtent l="9525" t="0" r="9525" b="12065"/>
                <wp:docPr id="132" name="Group 18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9850" cy="2788285"/>
                          <a:chOff x="1107" y="4009"/>
                          <a:chExt cx="10110" cy="4391"/>
                        </a:xfrm>
                      </wpg:grpSpPr>
                      <wps:wsp>
                        <wps:cNvPr id="133" name="Text Box 1837"/>
                        <wps:cNvSpPr txBox="1">
                          <a:spLocks noChangeArrowheads="1"/>
                        </wps:cNvSpPr>
                        <wps:spPr bwMode="auto">
                          <a:xfrm>
                            <a:off x="4545" y="4150"/>
                            <a:ext cx="3133" cy="656"/>
                          </a:xfrm>
                          <a:prstGeom prst="rect">
                            <a:avLst/>
                          </a:prstGeom>
                          <a:solidFill>
                            <a:srgbClr val="FFFFFF"/>
                          </a:solidFill>
                          <a:ln w="9525">
                            <a:solidFill>
                              <a:srgbClr val="000000"/>
                            </a:solidFill>
                            <a:miter lim="800000"/>
                            <a:headEnd/>
                            <a:tailEnd/>
                          </a:ln>
                        </wps:spPr>
                        <wps:txbx>
                          <w:txbxContent>
                            <w:p w14:paraId="6679340B" w14:textId="77777777" w:rsidR="003A587C" w:rsidRPr="007D770B" w:rsidRDefault="003A587C" w:rsidP="00815153">
                              <w:pPr>
                                <w:spacing w:after="0" w:line="240" w:lineRule="auto"/>
                                <w:ind w:left="0"/>
                                <w:jc w:val="center"/>
                                <w:rPr>
                                  <w:rFonts w:ascii="Times New Roman" w:hAnsi="Times New Roman"/>
                                  <w:b/>
                                  <w:lang w:val="en-US"/>
                                </w:rPr>
                              </w:pPr>
                              <w:r w:rsidRPr="007D770B">
                                <w:rPr>
                                  <w:rFonts w:ascii="Times New Roman" w:hAnsi="Times New Roman"/>
                                  <w:b/>
                                  <w:lang w:val="en-US"/>
                                </w:rPr>
                                <w:t>The best and most efficient use of a financial asset</w:t>
                              </w:r>
                            </w:p>
                          </w:txbxContent>
                        </wps:txbx>
                        <wps:bodyPr rot="0" vert="horz" wrap="square" lIns="91440" tIns="45720" rIns="91440" bIns="45720" anchor="t" anchorCtr="0" upright="1">
                          <a:noAutofit/>
                        </wps:bodyPr>
                      </wps:wsp>
                      <wps:wsp>
                        <wps:cNvPr id="134" name="Text Box 1838"/>
                        <wps:cNvSpPr txBox="1">
                          <a:spLocks noChangeArrowheads="1"/>
                        </wps:cNvSpPr>
                        <wps:spPr bwMode="auto">
                          <a:xfrm>
                            <a:off x="1107" y="5325"/>
                            <a:ext cx="3133" cy="3006"/>
                          </a:xfrm>
                          <a:prstGeom prst="rect">
                            <a:avLst/>
                          </a:prstGeom>
                          <a:solidFill>
                            <a:srgbClr val="FFFFFF"/>
                          </a:solidFill>
                          <a:ln w="9525">
                            <a:solidFill>
                              <a:srgbClr val="000000"/>
                            </a:solidFill>
                            <a:miter lim="800000"/>
                            <a:headEnd/>
                            <a:tailEnd/>
                          </a:ln>
                        </wps:spPr>
                        <wps:txbx>
                          <w:txbxContent>
                            <w:p w14:paraId="580E9E68" w14:textId="77777777" w:rsidR="003A587C" w:rsidRPr="007D770B" w:rsidRDefault="003A587C" w:rsidP="00815153">
                              <w:pPr>
                                <w:spacing w:after="0" w:line="240" w:lineRule="auto"/>
                                <w:ind w:left="0"/>
                                <w:jc w:val="center"/>
                                <w:rPr>
                                  <w:rFonts w:ascii="Times New Roman" w:hAnsi="Times New Roman"/>
                                  <w:sz w:val="18"/>
                                  <w:szCs w:val="18"/>
                                  <w:lang w:val="en-US"/>
                                </w:rPr>
                              </w:pPr>
                              <w:r w:rsidRPr="007D770B">
                                <w:rPr>
                                  <w:rFonts w:ascii="Times New Roman" w:hAnsi="Times New Roman"/>
                                  <w:b/>
                                  <w:sz w:val="18"/>
                                  <w:szCs w:val="18"/>
                                  <w:lang w:val="en-US"/>
                                </w:rPr>
                                <w:t xml:space="preserve">physically feasible </w:t>
                              </w:r>
                              <w:r w:rsidRPr="007D770B">
                                <w:rPr>
                                  <w:rFonts w:ascii="Times New Roman" w:hAnsi="Times New Roman"/>
                                  <w:sz w:val="18"/>
                                  <w:szCs w:val="18"/>
                                  <w:lang w:val="en-US"/>
                                </w:rPr>
                                <w:t>use involves taking into account the physical characteristics of the asset that market participants would consider when pricing the asset (e.g., location or size of the property)</w:t>
                              </w:r>
                            </w:p>
                          </w:txbxContent>
                        </wps:txbx>
                        <wps:bodyPr rot="0" vert="horz" wrap="square" lIns="91440" tIns="45720" rIns="91440" bIns="45720" anchor="t" anchorCtr="0" upright="1">
                          <a:noAutofit/>
                        </wps:bodyPr>
                      </wps:wsp>
                      <wps:wsp>
                        <wps:cNvPr id="135" name="Text Box 1839"/>
                        <wps:cNvSpPr txBox="1">
                          <a:spLocks noChangeArrowheads="1"/>
                        </wps:cNvSpPr>
                        <wps:spPr bwMode="auto">
                          <a:xfrm>
                            <a:off x="4579" y="5325"/>
                            <a:ext cx="3133" cy="3075"/>
                          </a:xfrm>
                          <a:prstGeom prst="rect">
                            <a:avLst/>
                          </a:prstGeom>
                          <a:solidFill>
                            <a:srgbClr val="FFFFFF"/>
                          </a:solidFill>
                          <a:ln w="9525">
                            <a:solidFill>
                              <a:srgbClr val="000000"/>
                            </a:solidFill>
                            <a:miter lim="800000"/>
                            <a:headEnd/>
                            <a:tailEnd/>
                          </a:ln>
                        </wps:spPr>
                        <wps:txbx>
                          <w:txbxContent>
                            <w:p w14:paraId="7DE7BCDC" w14:textId="77777777" w:rsidR="003A587C" w:rsidRPr="007D770B" w:rsidRDefault="003A587C" w:rsidP="00815153">
                              <w:pPr>
                                <w:spacing w:after="0" w:line="240" w:lineRule="auto"/>
                                <w:ind w:left="0"/>
                                <w:jc w:val="center"/>
                                <w:rPr>
                                  <w:rFonts w:ascii="Times New Roman" w:hAnsi="Times New Roman"/>
                                  <w:sz w:val="18"/>
                                  <w:szCs w:val="18"/>
                                  <w:lang w:val="en-US"/>
                                </w:rPr>
                              </w:pPr>
                              <w:r w:rsidRPr="007D770B">
                                <w:rPr>
                                  <w:rFonts w:ascii="Times New Roman" w:hAnsi="Times New Roman"/>
                                  <w:b/>
                                  <w:sz w:val="18"/>
                                  <w:szCs w:val="18"/>
                                  <w:lang w:val="en-US"/>
                                </w:rPr>
                                <w:t xml:space="preserve">legally permissible </w:t>
                              </w:r>
                              <w:r w:rsidRPr="007D770B">
                                <w:rPr>
                                  <w:rFonts w:ascii="Times New Roman" w:hAnsi="Times New Roman"/>
                                  <w:sz w:val="18"/>
                                  <w:szCs w:val="18"/>
                                  <w:lang w:val="en-US"/>
                                </w:rPr>
                                <w:t>use involves taking into account any legal restrictions on the use of the asset that market participants would consider when pricing the asset (e.g., zoning regulations applicable to the property)</w:t>
                              </w:r>
                            </w:p>
                          </w:txbxContent>
                        </wps:txbx>
                        <wps:bodyPr rot="0" vert="horz" wrap="square" lIns="91440" tIns="45720" rIns="91440" bIns="45720" anchor="t" anchorCtr="0" upright="1">
                          <a:noAutofit/>
                        </wps:bodyPr>
                      </wps:wsp>
                      <wps:wsp>
                        <wps:cNvPr id="136" name="Text Box 1840"/>
                        <wps:cNvSpPr txBox="1">
                          <a:spLocks noChangeArrowheads="1"/>
                        </wps:cNvSpPr>
                        <wps:spPr bwMode="auto">
                          <a:xfrm>
                            <a:off x="8084" y="5325"/>
                            <a:ext cx="3133" cy="3075"/>
                          </a:xfrm>
                          <a:prstGeom prst="rect">
                            <a:avLst/>
                          </a:prstGeom>
                          <a:solidFill>
                            <a:srgbClr val="FFFFFF"/>
                          </a:solidFill>
                          <a:ln w="9525">
                            <a:solidFill>
                              <a:srgbClr val="000000"/>
                            </a:solidFill>
                            <a:miter lim="800000"/>
                            <a:headEnd/>
                            <a:tailEnd/>
                          </a:ln>
                        </wps:spPr>
                        <wps:txbx>
                          <w:txbxContent>
                            <w:p w14:paraId="028CCECA" w14:textId="77777777" w:rsidR="003A587C" w:rsidRPr="007D770B" w:rsidRDefault="003A587C" w:rsidP="00815153">
                              <w:pPr>
                                <w:spacing w:after="0" w:line="240" w:lineRule="auto"/>
                                <w:ind w:left="0"/>
                                <w:jc w:val="center"/>
                                <w:rPr>
                                  <w:rFonts w:ascii="Times New Roman" w:hAnsi="Times New Roman"/>
                                  <w:sz w:val="18"/>
                                  <w:lang w:val="en-US"/>
                                </w:rPr>
                              </w:pPr>
                              <w:r w:rsidRPr="007D770B">
                                <w:rPr>
                                  <w:rFonts w:ascii="Times New Roman" w:hAnsi="Times New Roman"/>
                                  <w:b/>
                                  <w:sz w:val="18"/>
                                  <w:lang w:val="en-US"/>
                                </w:rPr>
                                <w:t xml:space="preserve">Financially justifiable </w:t>
                              </w:r>
                              <w:r w:rsidRPr="007D770B">
                                <w:rPr>
                                  <w:rFonts w:ascii="Times New Roman" w:hAnsi="Times New Roman"/>
                                  <w:sz w:val="18"/>
                                  <w:lang w:val="en-US"/>
                                </w:rPr>
                                <w:t>use considers whether a physically feasible and legally permissible use of the asset generates sufficient income or cash flows (taking into account the costs of converting the asset to that use) to generate the return on investment that market participants would require from an investment in the asset for that use.</w:t>
                              </w:r>
                            </w:p>
                          </w:txbxContent>
                        </wps:txbx>
                        <wps:bodyPr rot="0" vert="horz" wrap="square" lIns="91440" tIns="45720" rIns="91440" bIns="45720" anchor="t" anchorCtr="0" upright="1">
                          <a:noAutofit/>
                        </wps:bodyPr>
                      </wps:wsp>
                      <wps:wsp>
                        <wps:cNvPr id="137" name="Text Box 1841"/>
                        <wps:cNvSpPr txBox="1">
                          <a:spLocks noChangeArrowheads="1"/>
                        </wps:cNvSpPr>
                        <wps:spPr bwMode="auto">
                          <a:xfrm>
                            <a:off x="1398" y="4078"/>
                            <a:ext cx="2588" cy="6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5D3E2D" w14:textId="77777777" w:rsidR="003A587C" w:rsidRPr="00C450B3" w:rsidRDefault="003A587C" w:rsidP="00815153">
                              <w:pPr>
                                <w:spacing w:after="0" w:line="240" w:lineRule="auto"/>
                                <w:ind w:left="0"/>
                                <w:jc w:val="center"/>
                                <w:rPr>
                                  <w:rFonts w:ascii="Times New Roman" w:hAnsi="Times New Roman"/>
                                  <w:b/>
                                  <w:i/>
                                </w:rPr>
                              </w:pPr>
                              <w:r w:rsidRPr="00C450B3">
                                <w:rPr>
                                  <w:rFonts w:ascii="Times New Roman" w:hAnsi="Times New Roman"/>
                                  <w:b/>
                                  <w:i/>
                                </w:rPr>
                                <w:t>from a market participant's perspective</w:t>
                              </w:r>
                            </w:p>
                          </w:txbxContent>
                        </wps:txbx>
                        <wps:bodyPr rot="0" vert="horz" wrap="square" lIns="91440" tIns="45720" rIns="91440" bIns="45720" anchor="t" anchorCtr="0" upright="1">
                          <a:noAutofit/>
                        </wps:bodyPr>
                      </wps:wsp>
                      <wps:wsp>
                        <wps:cNvPr id="138" name="AutoShape 1842"/>
                        <wps:cNvCnPr>
                          <a:cxnSpLocks noChangeShapeType="1"/>
                        </wps:cNvCnPr>
                        <wps:spPr bwMode="auto">
                          <a:xfrm>
                            <a:off x="3813" y="4380"/>
                            <a:ext cx="634"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9" name="AutoShape 1843"/>
                        <wps:cNvCnPr>
                          <a:cxnSpLocks noChangeShapeType="1"/>
                        </wps:cNvCnPr>
                        <wps:spPr bwMode="auto">
                          <a:xfrm>
                            <a:off x="6039" y="4806"/>
                            <a:ext cx="0" cy="5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0" name="AutoShape 1844"/>
                        <wps:cNvCnPr>
                          <a:cxnSpLocks noChangeShapeType="1"/>
                        </wps:cNvCnPr>
                        <wps:spPr bwMode="auto">
                          <a:xfrm flipH="1">
                            <a:off x="2520" y="4818"/>
                            <a:ext cx="2603" cy="5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1" name="AutoShape 1845"/>
                        <wps:cNvCnPr>
                          <a:cxnSpLocks noChangeShapeType="1"/>
                        </wps:cNvCnPr>
                        <wps:spPr bwMode="auto">
                          <a:xfrm>
                            <a:off x="7085" y="4806"/>
                            <a:ext cx="2673" cy="5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2" name="Text Box 1846"/>
                        <wps:cNvSpPr txBox="1">
                          <a:spLocks noChangeArrowheads="1"/>
                        </wps:cNvSpPr>
                        <wps:spPr bwMode="auto">
                          <a:xfrm>
                            <a:off x="8263" y="4009"/>
                            <a:ext cx="2588" cy="8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54106E" w14:textId="77777777" w:rsidR="003A587C" w:rsidRPr="007D770B" w:rsidRDefault="003A587C" w:rsidP="00815153">
                              <w:pPr>
                                <w:spacing w:after="0" w:line="240" w:lineRule="auto"/>
                                <w:ind w:left="0"/>
                                <w:jc w:val="center"/>
                                <w:rPr>
                                  <w:rFonts w:ascii="Times New Roman" w:hAnsi="Times New Roman"/>
                                  <w:b/>
                                  <w:i/>
                                  <w:lang w:val="en-US"/>
                                </w:rPr>
                              </w:pPr>
                              <w:r w:rsidRPr="007D770B">
                                <w:rPr>
                                  <w:rFonts w:ascii="Times New Roman" w:hAnsi="Times New Roman"/>
                                  <w:b/>
                                  <w:i/>
                                  <w:lang w:val="en-US"/>
                                </w:rPr>
                                <w:t>The Bank may provide for other uses of the asset</w:t>
                              </w:r>
                            </w:p>
                          </w:txbxContent>
                        </wps:txbx>
                        <wps:bodyPr rot="0" vert="horz" wrap="square" lIns="91440" tIns="45720" rIns="91440" bIns="45720" anchor="t" anchorCtr="0" upright="1">
                          <a:noAutofit/>
                        </wps:bodyPr>
                      </wps:wsp>
                      <wps:wsp>
                        <wps:cNvPr id="143" name="AutoShape 1847"/>
                        <wps:cNvCnPr>
                          <a:cxnSpLocks noChangeShapeType="1"/>
                        </wps:cNvCnPr>
                        <wps:spPr bwMode="auto">
                          <a:xfrm flipH="1">
                            <a:off x="7776" y="4380"/>
                            <a:ext cx="62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036AFF40" id="Group 1836" o:spid="_x0000_s1159" style="width:505.5pt;height:219.55pt;mso-position-horizontal-relative:char;mso-position-vertical-relative:line" coordorigin="1107,4009" coordsize="10110,4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VAAnQQAAIUdAAAOAAAAZHJzL2Uyb0RvYy54bWzsWV1v2zYUfR+w/0DwfbE+LVmIUnRukw3o&#10;tgLNfgAtUR+YRGokEzn99bskJdlx5HZtEech9oMgmhJFnnt0eM/V5Ztt26B7KmTNWYrdCwcjyjKe&#10;16xM8d+317/EGElFWE4azmiKH6jEb65+/umy7xLq8Yo3ORUIBmEy6bsUV0p1yWIhs4q2RF7wjjLo&#10;LLhoiYKmKBe5ID2M3jYLz3GWi56LvBM8o1LCv+9sJ74y4xcFzdRfRSGpQk2KYW7KHIU5bvRxcXVJ&#10;klKQrqqzYRrkO2bRkprBQ6eh3hFF0J2onwzV1pngkhfqIuPtghdFnVGzBliN6xys5kbwu86spUz6&#10;sptgAmgPcPruYbM/7z8KVOcQO9/DiJEWgmSei9zYX2p8+q5M4LIb0X3qPgq7SDj9wLN/JHQvDvt1&#10;u7QXo03/B89hRHKnuMFnW4hWDwErR1sThocpDHSrUAZ/LgN3FYcQrQz6vCiOvTi0gcoqiKa+z3Wd&#10;CCPoDhxnNfa9H+53Hei2dwf+ytXdC5LYJ5vZDrPTSwPWyR2w8seA/VSRjpp4SY3YBKw/Anurl/gr&#10;32psI4utuVIDi9QWemBpBidp8UWMryvCSvpWCN5XlOQwRbsiPXd4iI2Jbkg9yNcAD8IgtMC5gLBh&#10;/wi77/owUY35MjSBn0AjSSekuqG8RfokxQLeKzNNcv9BKovveImOruRNnV/XTWMaotysG4HuCbyD&#10;1+Y3hOTRZQ1DfYpXoRdaAI4O4Zjf3BBtrUBMmrpNcTxdRBIN23uWm8UqUjf2HFbXMENfC51lg9pu&#10;tuZ1iAw6GtcNzx8AWcGteIDYwUnFxWeMehCOFMt/74igGDW/M4jOyg0CrTSmEYSRBw2x37PZ7yEs&#10;g6FSrDCyp2tl1emuE3VZwZMsHxh/C69QURuwd7Ma5g8cPhmZgzkyxy9C5kkFQh9Yc4TMPuwSA1lG&#10;8Rmp+orYbDRjx5szm4c9D8TQ7nn70mx2FA3WoK+nkuZoZaT5y2yODNNftzZ7o9yctflRorGcYTNs&#10;RqCMJ2dz7MSwU0AycWbz1zINfwzQmc2P2AwZ/hNtDqaN7KTa7PorMLLGb0Qm1yHJmDZ7YQxdL5g2&#10;6xybcZ1t20T8i1ltcObarEWDEFqu6TTb+DjwaMG0zwDZ1sya32zLBvM7mTNz/e1DB0b3kTezt2jp&#10;/V/ezI9dMGCaZH584M2WPoip5pgdf3SzT4yZVIJo27DmjIFH48K6hyM2bWKNtkI/7L6gWDGYrBnD&#10;hZSBR4ka3GwDZgm8XktzME0U6kb67Ch5rSrqbo3kKa0OpGMzpJjk+iSkWDq+zQqD2PqYnfIMNY7Q&#10;Nfnq8YzwTIqhmvhNVbIjxRzt7WdIMenq85ECFU3d/TYWBIYCmhfq+oLWjNg93JiAOlY0zgw5pWxA&#10;ijLHEGPbhjT8+feSyIGaqeXFoWx4y+jMixfYTiCbGHixV2sIhhL7iWsNsbccUo2pfv40n42jFymc&#10;fVM+O71VZ++0750CiO7MLrX/zeGZNGh2l4oioNKRzNaD10JntibjffVJjPk+Bd/6zCer4buk/pi4&#10;3zaZ8O7r6dV/AAAA//8DAFBLAwQUAAYACAAAACEAFiPOTtwAAAAGAQAADwAAAGRycy9kb3ducmV2&#10;LnhtbEyPQUvDQBCF70L/wzJCb3azrYrGbEop1VMRbAXxNs1Ok9DsbMhuk/Tfu/WilwePN7z3TbYc&#10;bSN66nztWIOaJSCIC2dqLjV87l/vnkD4gGywcUwaLuRhmU9uMkyNG/iD+l0oRSxhn6KGKoQ2ldIX&#10;FVn0M9cSx+zoOosh2q6UpsMhlttGzpPkUVqsOS5U2NK6ouK0O1sNbwMOq4Xa9NvTcX353j+8f20V&#10;aT29HVcvIAKN4e8YrvgRHfLIdHBnNl40GuIj4VevWaJU9AcN94tnBTLP5H/8/AcAAP//AwBQSwEC&#10;LQAUAAYACAAAACEAtoM4kv4AAADhAQAAEwAAAAAAAAAAAAAAAAAAAAAAW0NvbnRlbnRfVHlwZXNd&#10;LnhtbFBLAQItABQABgAIAAAAIQA4/SH/1gAAAJQBAAALAAAAAAAAAAAAAAAAAC8BAABfcmVscy8u&#10;cmVsc1BLAQItABQABgAIAAAAIQDi6VAAnQQAAIUdAAAOAAAAAAAAAAAAAAAAAC4CAABkcnMvZTJv&#10;RG9jLnhtbFBLAQItABQABgAIAAAAIQAWI85O3AAAAAYBAAAPAAAAAAAAAAAAAAAAAPcGAABkcnMv&#10;ZG93bnJldi54bWxQSwUGAAAAAAQABADzAAAAAAgAAAAA&#10;">
                <v:shape id="Text Box 1837" o:spid="_x0000_s1160" type="#_x0000_t202" style="position:absolute;left:4545;top:4150;width:3133;height: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mjswwAAANwAAAAPAAAAZHJzL2Rvd25yZXYueG1sRE9Na8JA&#10;EL0X+h+WEbwU3bQpalNXKQVFb1ZFr0N2TILZ2XR3jfHfu0Kht3m8z5nOO1OLlpyvLCt4HSYgiHOr&#10;Ky4U7HeLwQSED8gaa8uk4EYe5rPnpylm2l75h9ptKEQMYZ+hgjKEJpPS5yUZ9EPbEEfuZJ3BEKEr&#10;pHZ4jeGmlm9JMpIGK44NJTb0XVJ+3l6Mgsn7qj36dbo55KNT/RFexu3y1ynV73VfnyACdeFf/Ode&#10;6Tg/TeHxTLxAzu4AAAD//wMAUEsBAi0AFAAGAAgAAAAhANvh9svuAAAAhQEAABMAAAAAAAAAAAAA&#10;AAAAAAAAAFtDb250ZW50X1R5cGVzXS54bWxQSwECLQAUAAYACAAAACEAWvQsW78AAAAVAQAACwAA&#10;AAAAAAAAAAAAAAAfAQAAX3JlbHMvLnJlbHNQSwECLQAUAAYACAAAACEAl25o7MMAAADcAAAADwAA&#10;AAAAAAAAAAAAAAAHAgAAZHJzL2Rvd25yZXYueG1sUEsFBgAAAAADAAMAtwAAAPcCAAAAAA==&#10;">
                  <v:textbox>
                    <w:txbxContent>
                      <w:p w14:paraId="6679340B" w14:textId="77777777" w:rsidR="003A587C" w:rsidRPr="007D770B" w:rsidRDefault="003A587C" w:rsidP="00815153">
                        <w:pPr>
                          <w:spacing w:after="0" w:line="240" w:lineRule="auto"/>
                          <w:ind w:left="0"/>
                          <w:jc w:val="center"/>
                          <w:rPr>
                            <w:rFonts w:ascii="Times New Roman" w:hAnsi="Times New Roman"/>
                            <w:b/>
                            <w:lang w:val="en-US"/>
                          </w:rPr>
                        </w:pPr>
                        <w:r w:rsidRPr="007D770B">
                          <w:rPr>
                            <w:rFonts w:ascii="Times New Roman" w:hAnsi="Times New Roman"/>
                            <w:b/>
                            <w:lang w:val="en-US"/>
                          </w:rPr>
                          <w:t>The best and most efficient use of a financial asset</w:t>
                        </w:r>
                      </w:p>
                    </w:txbxContent>
                  </v:textbox>
                </v:shape>
                <v:shape id="Text Box 1838" o:spid="_x0000_s1161" type="#_x0000_t202" style="position:absolute;left:1107;top:5325;width:3133;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CYwwAAANwAAAAPAAAAZHJzL2Rvd25yZXYueG1sRE9LawIx&#10;EL4X/A9hBC9Fsz7wsTWKCBV7a63oddiMu0s3kzVJ1/XfG6HQ23x8z1muW1OJhpwvLSsYDhIQxJnV&#10;JecKjt/v/TkIH5A1VpZJwZ08rFedlyWm2t74i5pDyEUMYZ+igiKEOpXSZwUZ9ANbE0fuYp3BEKHL&#10;pXZ4i+GmkqMkmUqDJceGAmvaFpT9HH6Ngvlk35z9x/jzlE0v1SK8zprd1SnV67abNxCB2vAv/nPv&#10;dZw/nsDzmXiBXD0AAAD//wMAUEsBAi0AFAAGAAgAAAAhANvh9svuAAAAhQEAABMAAAAAAAAAAAAA&#10;AAAAAAAAAFtDb250ZW50X1R5cGVzXS54bWxQSwECLQAUAAYACAAAACEAWvQsW78AAAAVAQAACwAA&#10;AAAAAAAAAAAAAAAfAQAAX3JlbHMvLnJlbHNQSwECLQAUAAYACAAAACEAGIfwmMMAAADcAAAADwAA&#10;AAAAAAAAAAAAAAAHAgAAZHJzL2Rvd25yZXYueG1sUEsFBgAAAAADAAMAtwAAAPcCAAAAAA==&#10;">
                  <v:textbox>
                    <w:txbxContent>
                      <w:p w14:paraId="580E9E68" w14:textId="77777777" w:rsidR="003A587C" w:rsidRPr="007D770B" w:rsidRDefault="003A587C" w:rsidP="00815153">
                        <w:pPr>
                          <w:spacing w:after="0" w:line="240" w:lineRule="auto"/>
                          <w:ind w:left="0"/>
                          <w:jc w:val="center"/>
                          <w:rPr>
                            <w:rFonts w:ascii="Times New Roman" w:hAnsi="Times New Roman"/>
                            <w:sz w:val="18"/>
                            <w:szCs w:val="18"/>
                            <w:lang w:val="en-US"/>
                          </w:rPr>
                        </w:pPr>
                        <w:r w:rsidRPr="007D770B">
                          <w:rPr>
                            <w:rFonts w:ascii="Times New Roman" w:hAnsi="Times New Roman"/>
                            <w:b/>
                            <w:sz w:val="18"/>
                            <w:szCs w:val="18"/>
                            <w:lang w:val="en-US"/>
                          </w:rPr>
                          <w:t xml:space="preserve">physically feasible </w:t>
                        </w:r>
                        <w:r w:rsidRPr="007D770B">
                          <w:rPr>
                            <w:rFonts w:ascii="Times New Roman" w:hAnsi="Times New Roman"/>
                            <w:sz w:val="18"/>
                            <w:szCs w:val="18"/>
                            <w:lang w:val="en-US"/>
                          </w:rPr>
                          <w:t>use involves taking into account the physical characteristics of the asset that market participants would consider when pricing the asset (e.g., location or size of the property)</w:t>
                        </w:r>
                      </w:p>
                    </w:txbxContent>
                  </v:textbox>
                </v:shape>
                <v:shape id="Text Box 1839" o:spid="_x0000_s1162" type="#_x0000_t202" style="position:absolute;left:4579;top:5325;width:3133;height:3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1UDwwAAANwAAAAPAAAAZHJzL2Rvd25yZXYueG1sRE9LawIx&#10;EL4L/ocwQi+lZq310a1RRGixt2pFr8Nm3F3cTNYkruu/N4WCt/n4njNbtKYSDTlfWlYw6CcgiDOr&#10;S84V7H4/X6YgfEDWWFkmBTfysJh3OzNMtb3yhpptyEUMYZ+igiKEOpXSZwUZ9H1bE0fuaJ3BEKHL&#10;pXZ4jeGmkq9JMpYGS44NBda0Kig7bS9GwfRt3Rz89/Bnn42P1Xt4njRfZ6fUU69dfoAI1IaH+N+9&#10;1nH+cAR/z8QL5PwOAAD//wMAUEsBAi0AFAAGAAgAAAAhANvh9svuAAAAhQEAABMAAAAAAAAAAAAA&#10;AAAAAAAAAFtDb250ZW50X1R5cGVzXS54bWxQSwECLQAUAAYACAAAACEAWvQsW78AAAAVAQAACwAA&#10;AAAAAAAAAAAAAAAfAQAAX3JlbHMvLnJlbHNQSwECLQAUAAYACAAAACEAd8tVA8MAAADcAAAADwAA&#10;AAAAAAAAAAAAAAAHAgAAZHJzL2Rvd25yZXYueG1sUEsFBgAAAAADAAMAtwAAAPcCAAAAAA==&#10;">
                  <v:textbox>
                    <w:txbxContent>
                      <w:p w14:paraId="7DE7BCDC" w14:textId="77777777" w:rsidR="003A587C" w:rsidRPr="007D770B" w:rsidRDefault="003A587C" w:rsidP="00815153">
                        <w:pPr>
                          <w:spacing w:after="0" w:line="240" w:lineRule="auto"/>
                          <w:ind w:left="0"/>
                          <w:jc w:val="center"/>
                          <w:rPr>
                            <w:rFonts w:ascii="Times New Roman" w:hAnsi="Times New Roman"/>
                            <w:sz w:val="18"/>
                            <w:szCs w:val="18"/>
                            <w:lang w:val="en-US"/>
                          </w:rPr>
                        </w:pPr>
                        <w:r w:rsidRPr="007D770B">
                          <w:rPr>
                            <w:rFonts w:ascii="Times New Roman" w:hAnsi="Times New Roman"/>
                            <w:b/>
                            <w:sz w:val="18"/>
                            <w:szCs w:val="18"/>
                            <w:lang w:val="en-US"/>
                          </w:rPr>
                          <w:t xml:space="preserve">legally permissible </w:t>
                        </w:r>
                        <w:r w:rsidRPr="007D770B">
                          <w:rPr>
                            <w:rFonts w:ascii="Times New Roman" w:hAnsi="Times New Roman"/>
                            <w:sz w:val="18"/>
                            <w:szCs w:val="18"/>
                            <w:lang w:val="en-US"/>
                          </w:rPr>
                          <w:t>use involves taking into account any legal restrictions on the use of the asset that market participants would consider when pricing the asset (e.g., zoning regulations applicable to the property)</w:t>
                        </w:r>
                      </w:p>
                    </w:txbxContent>
                  </v:textbox>
                </v:shape>
                <v:shape id="Text Box 1840" o:spid="_x0000_s1163" type="#_x0000_t202" style="position:absolute;left:8084;top:5325;width:3133;height:3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ct0wwAAANwAAAAPAAAAZHJzL2Rvd25yZXYueG1sRE9La8JA&#10;EL4X/A/LFLyUuvFBqtFVitBib5qW9jpkxyQ0O5vurjH+e7cgeJuP7zmrTW8a0ZHztWUF41ECgriw&#10;uuZSwdfn2/MchA/IGhvLpOBCHjbrwcMKM23PfKAuD6WIIewzVFCF0GZS+qIig35kW+LIHa0zGCJ0&#10;pdQOzzHcNHKSJKk0WHNsqLClbUXFb34yCuazXffjP6b77yI9Novw9NK9/zmlho/96xJEoD7cxTf3&#10;Tsf50xT+n4kXyPUVAAD//wMAUEsBAi0AFAAGAAgAAAAhANvh9svuAAAAhQEAABMAAAAAAAAAAAAA&#10;AAAAAAAAAFtDb250ZW50X1R5cGVzXS54bWxQSwECLQAUAAYACAAAACEAWvQsW78AAAAVAQAACwAA&#10;AAAAAAAAAAAAAAAfAQAAX3JlbHMvLnJlbHNQSwECLQAUAAYACAAAACEAhxnLdMMAAADcAAAADwAA&#10;AAAAAAAAAAAAAAAHAgAAZHJzL2Rvd25yZXYueG1sUEsFBgAAAAADAAMAtwAAAPcCAAAAAA==&#10;">
                  <v:textbox>
                    <w:txbxContent>
                      <w:p w14:paraId="028CCECA" w14:textId="77777777" w:rsidR="003A587C" w:rsidRPr="007D770B" w:rsidRDefault="003A587C" w:rsidP="00815153">
                        <w:pPr>
                          <w:spacing w:after="0" w:line="240" w:lineRule="auto"/>
                          <w:ind w:left="0"/>
                          <w:jc w:val="center"/>
                          <w:rPr>
                            <w:rFonts w:ascii="Times New Roman" w:hAnsi="Times New Roman"/>
                            <w:sz w:val="18"/>
                            <w:lang w:val="en-US"/>
                          </w:rPr>
                        </w:pPr>
                        <w:r w:rsidRPr="007D770B">
                          <w:rPr>
                            <w:rFonts w:ascii="Times New Roman" w:hAnsi="Times New Roman"/>
                            <w:b/>
                            <w:sz w:val="18"/>
                            <w:lang w:val="en-US"/>
                          </w:rPr>
                          <w:t xml:space="preserve">Financially justifiable </w:t>
                        </w:r>
                        <w:r w:rsidRPr="007D770B">
                          <w:rPr>
                            <w:rFonts w:ascii="Times New Roman" w:hAnsi="Times New Roman"/>
                            <w:sz w:val="18"/>
                            <w:lang w:val="en-US"/>
                          </w:rPr>
                          <w:t>use considers whether a physically feasible and legally permissible use of the asset generates sufficient income or cash flows (taking into account the costs of converting the asset to that use) to generate the return on investment that market participants would require from an investment in the asset for that use.</w:t>
                        </w:r>
                      </w:p>
                    </w:txbxContent>
                  </v:textbox>
                </v:shape>
                <v:shape id="Text Box 1841" o:spid="_x0000_s1164" type="#_x0000_t202" style="position:absolute;left:1398;top:4078;width:2588;height: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R3YwgAAANwAAAAPAAAAZHJzL2Rvd25yZXYueG1sRE/basJA&#10;EH0X+g/LFPoidWNtjUbX0AoteY31A8bsmASzsyG75vL33UKhb3M419mno2lET52rLStYLiIQxIXV&#10;NZcKzt+fzxsQziNrbCyTgokcpIeH2R4TbQfOqT/5UoQQdgkqqLxvEyldUZFBt7AtceCutjPoA+xK&#10;qTscQrhp5EsUraXBmkNDhS0dKypup7tRcM2G+dt2uHz5c5y/rj+wji92UurpcXzfgfA0+n/xnzvT&#10;Yf4qht9nwgXy8AMAAP//AwBQSwECLQAUAAYACAAAACEA2+H2y+4AAACFAQAAEwAAAAAAAAAAAAAA&#10;AAAAAAAAW0NvbnRlbnRfVHlwZXNdLnhtbFBLAQItABQABgAIAAAAIQBa9CxbvwAAABUBAAALAAAA&#10;AAAAAAAAAAAAAB8BAABfcmVscy8ucmVsc1BLAQItABQABgAIAAAAIQAOGR3YwgAAANwAAAAPAAAA&#10;AAAAAAAAAAAAAAcCAABkcnMvZG93bnJldi54bWxQSwUGAAAAAAMAAwC3AAAA9gIAAAAA&#10;" stroked="f">
                  <v:textbox>
                    <w:txbxContent>
                      <w:p w14:paraId="015D3E2D" w14:textId="77777777" w:rsidR="003A587C" w:rsidRPr="00C450B3" w:rsidRDefault="003A587C" w:rsidP="00815153">
                        <w:pPr>
                          <w:spacing w:after="0" w:line="240" w:lineRule="auto"/>
                          <w:ind w:left="0"/>
                          <w:jc w:val="center"/>
                          <w:rPr>
                            <w:rFonts w:ascii="Times New Roman" w:hAnsi="Times New Roman"/>
                            <w:b/>
                            <w:i/>
                          </w:rPr>
                        </w:pPr>
                        <w:r w:rsidRPr="00C450B3">
                          <w:rPr>
                            <w:rFonts w:ascii="Times New Roman" w:hAnsi="Times New Roman"/>
                            <w:b/>
                            <w:i/>
                          </w:rPr>
                          <w:t>from a market participant's perspective</w:t>
                        </w:r>
                      </w:p>
                    </w:txbxContent>
                  </v:textbox>
                </v:shape>
                <v:shape id="AutoShape 1842" o:spid="_x0000_s1165" type="#_x0000_t32" style="position:absolute;left:3813;top:4380;width:634;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egvxgAAANwAAAAPAAAAZHJzL2Rvd25yZXYueG1sRI9Ba8JA&#10;EIXvQv/DMgVvurFCqdFVSqGlWDxUJehtyE6T0Oxs2F019td3DoK3Gd6b975ZrHrXqjOF2Hg2MBln&#10;oIhLbxuuDOx376MXUDEhW2w9k4ErRVgtHwYLzK2/8Dedt6lSEsIxRwN1Sl2udSxrchjHviMW7ccH&#10;h0nWUGkb8CLhrtVPWfasHTYsDTV29FZT+bs9OQOHr9mpuBYbWheT2fqIwcW/3Ycxw8f+dQ4qUZ/u&#10;5tv1pxX8qdDKMzKBXv4DAAD//wMAUEsBAi0AFAAGAAgAAAAhANvh9svuAAAAhQEAABMAAAAAAAAA&#10;AAAAAAAAAAAAAFtDb250ZW50X1R5cGVzXS54bWxQSwECLQAUAAYACAAAACEAWvQsW78AAAAVAQAA&#10;CwAAAAAAAAAAAAAAAAAfAQAAX3JlbHMvLnJlbHNQSwECLQAUAAYACAAAACEAx6XoL8YAAADcAAAA&#10;DwAAAAAAAAAAAAAAAAAHAgAAZHJzL2Rvd25yZXYueG1sUEsFBgAAAAADAAMAtwAAAPoCAAAAAA==&#10;">
                  <v:stroke endarrow="block"/>
                </v:shape>
                <v:shape id="AutoShape 1843" o:spid="_x0000_s1166" type="#_x0000_t32" style="position:absolute;left:6039;top:4806;width:0;height:5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U20xAAAANwAAAAPAAAAZHJzL2Rvd25yZXYueG1sRE9La8JA&#10;EL4X+h+WEbzVjRWKSV2DFCpi6cEHwd6G7DQJzc6G3TVGf71bKPQ2H99zFvlgWtGT841lBdNJAoK4&#10;tLrhSsHx8P40B+EDssbWMim4kod8+fiwwEzbC++o34dKxBD2GSqoQ+gyKX1Zk0E/sR1x5L6tMxgi&#10;dJXUDi8x3LTyOUlepMGGY0ONHb3VVP7sz0bB6SM9F9fik7bFNN1+oTP+dlgrNR4Nq1cQgYbwL/5z&#10;b3ScP0vh95l4gVzeAQAA//8DAFBLAQItABQABgAIAAAAIQDb4fbL7gAAAIUBAAATAAAAAAAAAAAA&#10;AAAAAAAAAABbQ29udGVudF9UeXBlc10ueG1sUEsBAi0AFAAGAAgAAAAhAFr0LFu/AAAAFQEAAAsA&#10;AAAAAAAAAAAAAAAAHwEAAF9yZWxzLy5yZWxzUEsBAi0AFAAGAAgAAAAhAKjpTbTEAAAA3AAAAA8A&#10;AAAAAAAAAAAAAAAABwIAAGRycy9kb3ducmV2LnhtbFBLBQYAAAAAAwADALcAAAD4AgAAAAA=&#10;">
                  <v:stroke endarrow="block"/>
                </v:shape>
                <v:shape id="AutoShape 1844" o:spid="_x0000_s1167" type="#_x0000_t32" style="position:absolute;left:2520;top:4818;width:2603;height:51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NwXxAAAANwAAAAPAAAAZHJzL2Rvd25yZXYueG1sRI9BawIx&#10;EIXvhf6HMIXealZpS1mNooIgvZTaQj0Om3E3uJksm7hZ/33nIHib4b1575vFavStGqiPLrCB6aQA&#10;RVwF67g28Puze/kAFROyxTYwGbhShNXy8WGBpQ2Zv2k4pFpJCMcSDTQpdaXWsWrIY5yEjli0U+g9&#10;Jln7Wtses4T7Vs+K4l17dCwNDXa0bag6Hy7egMtfbuj227z5/DtGm8ld34Iz5vlpXM9BJRrT3Xy7&#10;3lvBfxV8eUYm0Mt/AAAA//8DAFBLAQItABQABgAIAAAAIQDb4fbL7gAAAIUBAAATAAAAAAAAAAAA&#10;AAAAAAAAAABbQ29udGVudF9UeXBlc10ueG1sUEsBAi0AFAAGAAgAAAAhAFr0LFu/AAAAFQEAAAsA&#10;AAAAAAAAAAAAAAAAHwEAAF9yZWxzLy5yZWxzUEsBAi0AFAAGAAgAAAAhAHDE3BfEAAAA3AAAAA8A&#10;AAAAAAAAAAAAAAAABwIAAGRycy9kb3ducmV2LnhtbFBLBQYAAAAAAwADALcAAAD4AgAAAAA=&#10;">
                  <v:stroke endarrow="block"/>
                </v:shape>
                <v:shape id="AutoShape 1845" o:spid="_x0000_s1168" type="#_x0000_t32" style="position:absolute;left:7085;top:4806;width:2673;height:5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TLPxAAAANwAAAAPAAAAZHJzL2Rvd25yZXYueG1sRE9Na8JA&#10;EL0X/A/LCN7qJkWkpq5BhIooPVQl2NuQnSah2dmwu8bYX98tFHqbx/ucZT6YVvTkfGNZQTpNQBCX&#10;VjdcKTifXh+fQfiArLG1TAru5CFfjR6WmGl743fqj6ESMYR9hgrqELpMSl/WZNBPbUccuU/rDIYI&#10;XSW1w1sMN618SpK5NNhwbKixo01N5dfxahRcDotrcS/eaF+ki/0HOuO/T1ulJuNh/QIi0BD+xX/u&#10;nY7zZyn8PhMvkKsfAAAA//8DAFBLAQItABQABgAIAAAAIQDb4fbL7gAAAIUBAAATAAAAAAAAAAAA&#10;AAAAAAAAAABbQ29udGVudF9UeXBlc10ueG1sUEsBAi0AFAAGAAgAAAAhAFr0LFu/AAAAFQEAAAsA&#10;AAAAAAAAAAAAAAAAHwEAAF9yZWxzLy5yZWxzUEsBAi0AFAAGAAgAAAAhAA6ZMs/EAAAA3AAAAA8A&#10;AAAAAAAAAAAAAAAABwIAAGRycy9kb3ducmV2LnhtbFBLBQYAAAAAAwADALcAAAD4AgAAAAA=&#10;">
                  <v:stroke endarrow="block"/>
                </v:shape>
                <v:shape id="Text Box 1846" o:spid="_x0000_s1169" type="#_x0000_t202" style="position:absolute;left:8263;top:4009;width:2588;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M09wAAAANwAAAAPAAAAZHJzL2Rvd25yZXYueG1sRE/bisIw&#10;EH0X/IcwC76ITRVv2zWKCiu+evmAaTO2ZZtJaaKtf28WBN/mcK6z2nSmEg9qXGlZwTiKQRBnVpec&#10;K7hefkdLEM4ja6wsk4InOdis+70VJtq2fKLH2ecihLBLUEHhfZ1I6bKCDLrI1sSBu9nGoA+wyaVu&#10;sA3hppKTOJ5LgyWHhgJr2heU/Z3vRsHt2A5n32168NfFaTrfYblI7VOpwVe3/QHhqfMf8dt91GH+&#10;dAL/z4QL5PoFAAD//wMAUEsBAi0AFAAGAAgAAAAhANvh9svuAAAAhQEAABMAAAAAAAAAAAAAAAAA&#10;AAAAAFtDb250ZW50X1R5cGVzXS54bWxQSwECLQAUAAYACAAAACEAWvQsW78AAAAVAQAACwAAAAAA&#10;AAAAAAAAAAAfAQAAX3JlbHMvLnJlbHNQSwECLQAUAAYACAAAACEARmjNPcAAAADcAAAADwAAAAAA&#10;AAAAAAAAAAAHAgAAZHJzL2Rvd25yZXYueG1sUEsFBgAAAAADAAMAtwAAAPQCAAAAAA==&#10;" stroked="f">
                  <v:textbox>
                    <w:txbxContent>
                      <w:p w14:paraId="0154106E" w14:textId="77777777" w:rsidR="003A587C" w:rsidRPr="007D770B" w:rsidRDefault="003A587C" w:rsidP="00815153">
                        <w:pPr>
                          <w:spacing w:after="0" w:line="240" w:lineRule="auto"/>
                          <w:ind w:left="0"/>
                          <w:jc w:val="center"/>
                          <w:rPr>
                            <w:rFonts w:ascii="Times New Roman" w:hAnsi="Times New Roman"/>
                            <w:b/>
                            <w:i/>
                            <w:lang w:val="en-US"/>
                          </w:rPr>
                        </w:pPr>
                        <w:r w:rsidRPr="007D770B">
                          <w:rPr>
                            <w:rFonts w:ascii="Times New Roman" w:hAnsi="Times New Roman"/>
                            <w:b/>
                            <w:i/>
                            <w:lang w:val="en-US"/>
                          </w:rPr>
                          <w:t>The Bank may provide for other uses of the asset</w:t>
                        </w:r>
                      </w:p>
                    </w:txbxContent>
                  </v:textbox>
                </v:shape>
                <v:shape id="AutoShape 1847" o:spid="_x0000_s1170" type="#_x0000_t32" style="position:absolute;left:7776;top:4380;width:62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kJgwQAAANwAAAAPAAAAZHJzL2Rvd25yZXYueG1sRE9NawIx&#10;EL0L/ocwQm+atVaRrVFUEKQXUQv1OGymu8HNZNmkm/XfN0Kht3m8z1lteluLjlpvHCuYTjIQxIXT&#10;hksFn9fDeAnCB2SNtWNS8CAPm/VwsMJcu8hn6i6hFCmEfY4KqhCaXEpfVGTRT1xDnLhv11oMCbal&#10;1C3GFG5r+ZplC2nRcGqosKF9RcX98mMVmHgyXXPcx93H183rSOYxd0apl1G/fQcRqA//4j/3Uaf5&#10;bzN4PpMukOtfAAAA//8DAFBLAQItABQABgAIAAAAIQDb4fbL7gAAAIUBAAATAAAAAAAAAAAAAAAA&#10;AAAAAABbQ29udGVudF9UeXBlc10ueG1sUEsBAi0AFAAGAAgAAAAhAFr0LFu/AAAAFQEAAAsAAAAA&#10;AAAAAAAAAAAAHwEAAF9yZWxzLy5yZWxzUEsBAi0AFAAGAAgAAAAhAIAWQmDBAAAA3AAAAA8AAAAA&#10;AAAAAAAAAAAABwIAAGRycy9kb3ducmV2LnhtbFBLBQYAAAAAAwADALcAAAD1AgAAAAA=&#10;">
                  <v:stroke endarrow="block"/>
                </v:shape>
                <w10:anchorlock/>
              </v:group>
            </w:pict>
          </mc:Fallback>
        </mc:AlternateContent>
      </w:r>
    </w:p>
    <w:p w14:paraId="553FCE72" w14:textId="77777777" w:rsidR="00815153" w:rsidRDefault="00815153" w:rsidP="00BC6A02">
      <w:pPr>
        <w:spacing w:before="240" w:line="240" w:lineRule="auto"/>
        <w:ind w:left="0"/>
        <w:rPr>
          <w:rFonts w:ascii="Times New Roman" w:hAnsi="Times New Roman"/>
        </w:rPr>
      </w:pPr>
    </w:p>
    <w:p w14:paraId="0BDFDEE2" w14:textId="77777777" w:rsidR="00815153" w:rsidRDefault="00815153" w:rsidP="00BC6A02">
      <w:pPr>
        <w:spacing w:before="240" w:line="240" w:lineRule="auto"/>
        <w:ind w:left="0"/>
        <w:rPr>
          <w:rFonts w:ascii="Times New Roman" w:hAnsi="Times New Roman"/>
        </w:rPr>
      </w:pPr>
    </w:p>
    <w:p w14:paraId="2676340F" w14:textId="77777777" w:rsidR="00A31CC0" w:rsidRPr="007D770B" w:rsidRDefault="00815153" w:rsidP="00BC6A02">
      <w:pPr>
        <w:spacing w:before="240" w:line="240" w:lineRule="auto"/>
        <w:ind w:left="0"/>
        <w:rPr>
          <w:rFonts w:ascii="Times New Roman" w:hAnsi="Times New Roman"/>
          <w:lang w:val="en-US"/>
        </w:rPr>
      </w:pPr>
      <w:r w:rsidRPr="007D770B">
        <w:rPr>
          <w:rFonts w:ascii="Times New Roman" w:hAnsi="Times New Roman"/>
          <w:lang w:val="en-US"/>
        </w:rPr>
        <w:t xml:space="preserve">Cost method, used </w:t>
      </w:r>
      <w:r w:rsidR="00A31CC0" w:rsidRPr="007D770B">
        <w:rPr>
          <w:rFonts w:ascii="Times New Roman" w:hAnsi="Times New Roman"/>
          <w:lang w:val="en-US"/>
        </w:rPr>
        <w:t>if other methods are not applicable.</w:t>
      </w:r>
    </w:p>
    <w:p w14:paraId="1FB7E085" w14:textId="77777777" w:rsidR="009E2B77" w:rsidRPr="007D770B" w:rsidRDefault="00C23482" w:rsidP="00BC6A02">
      <w:pPr>
        <w:spacing w:before="240" w:line="240" w:lineRule="auto"/>
        <w:ind w:left="0"/>
        <w:rPr>
          <w:rFonts w:ascii="Times New Roman" w:hAnsi="Times New Roman"/>
          <w:lang w:val="en-US"/>
        </w:rPr>
      </w:pPr>
      <w:r w:rsidRPr="007D770B">
        <w:rPr>
          <w:rFonts w:ascii="Times New Roman" w:hAnsi="Times New Roman"/>
          <w:lang w:val="en-US"/>
        </w:rPr>
        <w:t xml:space="preserve">The </w:t>
      </w:r>
      <w:r w:rsidR="00F9744B" w:rsidRPr="007D770B">
        <w:rPr>
          <w:rFonts w:ascii="Times New Roman" w:hAnsi="Times New Roman"/>
          <w:lang w:val="en-US"/>
        </w:rPr>
        <w:t xml:space="preserve">Bank </w:t>
      </w:r>
      <w:r w:rsidRPr="007D770B">
        <w:rPr>
          <w:rFonts w:ascii="Times New Roman" w:hAnsi="Times New Roman"/>
          <w:lang w:val="en-US"/>
        </w:rPr>
        <w:t xml:space="preserve">may provide for </w:t>
      </w:r>
      <w:r w:rsidR="009E2B77" w:rsidRPr="007D770B">
        <w:rPr>
          <w:rFonts w:ascii="Times New Roman" w:hAnsi="Times New Roman"/>
          <w:lang w:val="en-US"/>
        </w:rPr>
        <w:t xml:space="preserve">other uses of an </w:t>
      </w:r>
      <w:r w:rsidRPr="007D770B">
        <w:rPr>
          <w:rFonts w:ascii="Times New Roman" w:hAnsi="Times New Roman"/>
          <w:lang w:val="en-US"/>
        </w:rPr>
        <w:t xml:space="preserve">asset, but the </w:t>
      </w:r>
      <w:r w:rsidR="00F9744B" w:rsidRPr="007D770B">
        <w:rPr>
          <w:rFonts w:ascii="Times New Roman" w:hAnsi="Times New Roman"/>
          <w:lang w:val="en-US"/>
        </w:rPr>
        <w:t xml:space="preserve">Bank's </w:t>
      </w:r>
      <w:r w:rsidR="009E2B77" w:rsidRPr="007D770B">
        <w:rPr>
          <w:rFonts w:ascii="Times New Roman" w:hAnsi="Times New Roman"/>
          <w:lang w:val="en-US"/>
        </w:rPr>
        <w:t>current use of a non-financial asset is presumed to be its best and most efficient use, unless market or other factors indicate that a different use by market participants would maximize the value of the asset.</w:t>
      </w:r>
    </w:p>
    <w:p w14:paraId="6C2D0337"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 xml:space="preserve">In order to maintain its competitive position or for other reasons, the </w:t>
      </w:r>
      <w:r w:rsidR="00F9744B" w:rsidRPr="007D770B">
        <w:rPr>
          <w:rFonts w:ascii="Times New Roman" w:hAnsi="Times New Roman"/>
          <w:lang w:val="en-US"/>
        </w:rPr>
        <w:t xml:space="preserve">Bank </w:t>
      </w:r>
      <w:r w:rsidRPr="007D770B">
        <w:rPr>
          <w:rFonts w:ascii="Times New Roman" w:hAnsi="Times New Roman"/>
          <w:lang w:val="en-US"/>
        </w:rPr>
        <w:t xml:space="preserve">may decide not to actively use an acquired non-financial asset or not to use the asset in the best and most efficient way. For example, this may be the case for an acquired intangible asset that the </w:t>
      </w:r>
      <w:r w:rsidR="00F9744B" w:rsidRPr="007D770B">
        <w:rPr>
          <w:rFonts w:ascii="Times New Roman" w:hAnsi="Times New Roman"/>
          <w:lang w:val="en-US"/>
        </w:rPr>
        <w:t xml:space="preserve">Bank </w:t>
      </w:r>
      <w:r w:rsidRPr="007D770B">
        <w:rPr>
          <w:rFonts w:ascii="Times New Roman" w:hAnsi="Times New Roman"/>
          <w:lang w:val="en-US"/>
        </w:rPr>
        <w:t xml:space="preserve">plans to use for </w:t>
      </w:r>
      <w:r w:rsidR="00DE34F4" w:rsidRPr="007D770B">
        <w:rPr>
          <w:rFonts w:ascii="Times New Roman" w:hAnsi="Times New Roman"/>
          <w:lang w:val="en-US"/>
        </w:rPr>
        <w:t>protection purposes</w:t>
      </w:r>
      <w:r w:rsidRPr="007D770B">
        <w:rPr>
          <w:rFonts w:ascii="Times New Roman" w:hAnsi="Times New Roman"/>
          <w:lang w:val="en-US"/>
        </w:rPr>
        <w:t xml:space="preserve">, preventing others from using it. However, the </w:t>
      </w:r>
      <w:r w:rsidR="00F9744B" w:rsidRPr="007D770B">
        <w:rPr>
          <w:rFonts w:ascii="Times New Roman" w:hAnsi="Times New Roman"/>
          <w:lang w:val="en-US"/>
        </w:rPr>
        <w:t xml:space="preserve">Bank </w:t>
      </w:r>
      <w:r w:rsidR="00572DED" w:rsidRPr="007D770B">
        <w:rPr>
          <w:rFonts w:ascii="Times New Roman" w:hAnsi="Times New Roman"/>
          <w:lang w:val="en-US"/>
        </w:rPr>
        <w:t xml:space="preserve">should </w:t>
      </w:r>
      <w:r w:rsidRPr="007D770B">
        <w:rPr>
          <w:rFonts w:ascii="Times New Roman" w:hAnsi="Times New Roman"/>
          <w:lang w:val="en-US"/>
        </w:rPr>
        <w:t>estimate the fair value of the non-financial asset assuming its best and most efficient use by market participants.</w:t>
      </w:r>
    </w:p>
    <w:p w14:paraId="15E137F7" w14:textId="77777777" w:rsidR="009E2B77" w:rsidRPr="007D770B" w:rsidRDefault="009E2B77" w:rsidP="00E81F9C">
      <w:pPr>
        <w:keepNext/>
        <w:autoSpaceDE w:val="0"/>
        <w:autoSpaceDN w:val="0"/>
        <w:adjustRightInd w:val="0"/>
        <w:spacing w:before="240" w:line="240" w:lineRule="auto"/>
        <w:ind w:left="0"/>
        <w:rPr>
          <w:rFonts w:ascii="Times New Roman" w:hAnsi="Times New Roman"/>
          <w:b/>
          <w:i/>
          <w:lang w:val="en-US"/>
        </w:rPr>
      </w:pPr>
      <w:r w:rsidRPr="007D770B">
        <w:rPr>
          <w:rFonts w:ascii="Times New Roman" w:hAnsi="Times New Roman"/>
          <w:b/>
          <w:i/>
          <w:lang w:val="en-US"/>
        </w:rPr>
        <w:t>Basis of measurement of non-financial assets</w:t>
      </w:r>
    </w:p>
    <w:p w14:paraId="7C2CB041"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The best and most efficient use of a non-financial asset establishes the valuation input used to measure the fair value of the asset as set out below:</w:t>
      </w:r>
    </w:p>
    <w:p w14:paraId="5972B049" w14:textId="77777777" w:rsidR="009E2B77" w:rsidRPr="007D770B" w:rsidRDefault="009E2B77" w:rsidP="00AE698A">
      <w:pPr>
        <w:pStyle w:val="aa"/>
        <w:numPr>
          <w:ilvl w:val="0"/>
          <w:numId w:val="127"/>
        </w:numPr>
        <w:autoSpaceDE w:val="0"/>
        <w:autoSpaceDN w:val="0"/>
        <w:adjustRightInd w:val="0"/>
        <w:spacing w:before="240" w:line="240" w:lineRule="auto"/>
        <w:contextualSpacing w:val="0"/>
        <w:rPr>
          <w:rFonts w:ascii="Times New Roman" w:hAnsi="Times New Roman"/>
          <w:lang w:val="en-US"/>
        </w:rPr>
      </w:pPr>
      <w:r w:rsidRPr="007D770B">
        <w:rPr>
          <w:rFonts w:ascii="Times New Roman" w:hAnsi="Times New Roman"/>
          <w:lang w:val="en-US"/>
        </w:rPr>
        <w:t>the best and most efficient use of a non-financial asset can ensure that market participants maximize value by using it in combination with other assets as an asset group (when installed or otherwise configured for use) or in combination with other assets and liabilities (e.g., a business).</w:t>
      </w:r>
    </w:p>
    <w:p w14:paraId="1FE1D855" w14:textId="77777777" w:rsidR="009E2B77" w:rsidRPr="007D770B" w:rsidRDefault="009E2B77" w:rsidP="00AE698A">
      <w:pPr>
        <w:pStyle w:val="aa"/>
        <w:numPr>
          <w:ilvl w:val="2"/>
          <w:numId w:val="128"/>
        </w:numPr>
        <w:autoSpaceDE w:val="0"/>
        <w:autoSpaceDN w:val="0"/>
        <w:adjustRightInd w:val="0"/>
        <w:spacing w:before="240" w:line="240" w:lineRule="auto"/>
        <w:ind w:left="1080"/>
        <w:contextualSpacing w:val="0"/>
        <w:rPr>
          <w:rFonts w:ascii="Times New Roman" w:hAnsi="Times New Roman"/>
          <w:lang w:val="en-US"/>
        </w:rPr>
      </w:pPr>
      <w:r w:rsidRPr="007D770B">
        <w:rPr>
          <w:rFonts w:ascii="Times New Roman" w:hAnsi="Times New Roman"/>
          <w:lang w:val="en-US"/>
        </w:rPr>
        <w:t>if the best and most efficient use of an asset is to use the asset in combination with other assets or with other assets and liabilities, the fair value of the asset is the price that would be received in a current transaction to sell the asset, assuming that the asset will be used with other assets or with other assets and liabilities and that such assets and liabilities (i.e., its additional assets and related liabilities) will be available to the participant</w:t>
      </w:r>
    </w:p>
    <w:p w14:paraId="3634F95D" w14:textId="77777777" w:rsidR="009E2B77" w:rsidRPr="007D770B" w:rsidRDefault="009E2B77" w:rsidP="00AE698A">
      <w:pPr>
        <w:pStyle w:val="aa"/>
        <w:numPr>
          <w:ilvl w:val="2"/>
          <w:numId w:val="128"/>
        </w:numPr>
        <w:autoSpaceDE w:val="0"/>
        <w:autoSpaceDN w:val="0"/>
        <w:adjustRightInd w:val="0"/>
        <w:spacing w:before="240" w:line="240" w:lineRule="auto"/>
        <w:ind w:left="1080"/>
        <w:contextualSpacing w:val="0"/>
        <w:rPr>
          <w:rFonts w:ascii="Times New Roman" w:hAnsi="Times New Roman"/>
          <w:lang w:val="en-US"/>
        </w:rPr>
      </w:pPr>
      <w:r w:rsidRPr="007D770B">
        <w:rPr>
          <w:rFonts w:ascii="Times New Roman" w:hAnsi="Times New Roman"/>
          <w:lang w:val="en-US"/>
        </w:rPr>
        <w:t>liabilities associated with the asset and with additional assets include liabilities that finance working capital, but do not include liabilities used to finance assets outside this asset group.</w:t>
      </w:r>
    </w:p>
    <w:p w14:paraId="294F3F60" w14:textId="77777777" w:rsidR="009E2B77" w:rsidRPr="007D770B" w:rsidRDefault="009E2B77" w:rsidP="00AE698A">
      <w:pPr>
        <w:pStyle w:val="aa"/>
        <w:numPr>
          <w:ilvl w:val="2"/>
          <w:numId w:val="128"/>
        </w:numPr>
        <w:autoSpaceDE w:val="0"/>
        <w:autoSpaceDN w:val="0"/>
        <w:adjustRightInd w:val="0"/>
        <w:spacing w:before="240" w:line="240" w:lineRule="auto"/>
        <w:ind w:left="1080"/>
        <w:contextualSpacing w:val="0"/>
        <w:rPr>
          <w:rFonts w:ascii="Times New Roman" w:hAnsi="Times New Roman"/>
          <w:lang w:val="en-US"/>
        </w:rPr>
      </w:pPr>
      <w:r w:rsidRPr="007D770B">
        <w:rPr>
          <w:rFonts w:ascii="Times New Roman" w:hAnsi="Times New Roman"/>
          <w:lang w:val="en-US"/>
        </w:rPr>
        <w:t>the assumptions about the best and most efficient use of a non-financial asset should be applied consistently to all assets (for which the best and most efficient use is appropriate) in the group of assets or group of assets and liabilities in which the asset would be used.</w:t>
      </w:r>
    </w:p>
    <w:p w14:paraId="603F1080" w14:textId="77777777" w:rsidR="009E2B77" w:rsidRPr="007D770B" w:rsidRDefault="009E2B77" w:rsidP="00AE698A">
      <w:pPr>
        <w:pStyle w:val="aa"/>
        <w:numPr>
          <w:ilvl w:val="0"/>
          <w:numId w:val="127"/>
        </w:numPr>
        <w:autoSpaceDE w:val="0"/>
        <w:autoSpaceDN w:val="0"/>
        <w:adjustRightInd w:val="0"/>
        <w:spacing w:before="240" w:line="240" w:lineRule="auto"/>
        <w:contextualSpacing w:val="0"/>
        <w:rPr>
          <w:rFonts w:ascii="Times New Roman" w:hAnsi="Times New Roman"/>
          <w:lang w:val="en-US"/>
        </w:rPr>
      </w:pPr>
      <w:r w:rsidRPr="007D770B">
        <w:rPr>
          <w:rFonts w:ascii="Times New Roman" w:hAnsi="Times New Roman"/>
          <w:lang w:val="en-US"/>
        </w:rPr>
        <w:t>the best and most efficient use of a non-financial asset can ensure that market participants obtain maximum value for the asset when used separately. If the best and most efficient use of an asset is to use it separately, the fair value of the asset is the price that would be received in a current transaction to sell the asset to market participants that would use the asset separately.</w:t>
      </w:r>
    </w:p>
    <w:p w14:paraId="6E68FB67"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lastRenderedPageBreak/>
        <w:t xml:space="preserve">In estimating the fair value of a non-financial asset, the assumption is made that the asset is traded in a manner consistent with the unit of account described elsewhere in these accounting policies of the </w:t>
      </w:r>
      <w:r w:rsidR="00F9744B" w:rsidRPr="007D770B">
        <w:rPr>
          <w:rFonts w:ascii="Times New Roman" w:hAnsi="Times New Roman"/>
          <w:lang w:val="en-US"/>
        </w:rPr>
        <w:t xml:space="preserve">Bank </w:t>
      </w:r>
      <w:r w:rsidRPr="007D770B">
        <w:rPr>
          <w:rFonts w:ascii="Times New Roman" w:hAnsi="Times New Roman"/>
          <w:lang w:val="en-US"/>
        </w:rPr>
        <w:t>(which may be a single asset). This is the case even if that fair value measurement assumes that the best and most efficient use of the asset is to use it in combination with other assets or with other assets and liabilities, because the fair value measurement assumes that the market participant already has additional assets and associated liabilities.</w:t>
      </w:r>
    </w:p>
    <w:p w14:paraId="4C8196C1" w14:textId="7B49EA3F" w:rsidR="009E2B77" w:rsidRPr="007D770B" w:rsidRDefault="00CD25B1" w:rsidP="00E61D21">
      <w:pPr>
        <w:pStyle w:val="3"/>
        <w:rPr>
          <w:lang w:val="en-US"/>
        </w:rPr>
      </w:pPr>
      <w:bookmarkStart w:id="428" w:name="_Toc378283545"/>
      <w:bookmarkStart w:id="429" w:name="_Toc168502135"/>
      <w:r w:rsidRPr="007D770B">
        <w:rPr>
          <w:lang w:val="en-US"/>
        </w:rPr>
        <w:t>5</w:t>
      </w:r>
      <w:r w:rsidR="00FA749B" w:rsidRPr="007D770B">
        <w:rPr>
          <w:lang w:val="en-US"/>
        </w:rPr>
        <w:t xml:space="preserve">.5 </w:t>
      </w:r>
      <w:r w:rsidR="009E2B77" w:rsidRPr="007D770B">
        <w:rPr>
          <w:lang w:val="en-US"/>
        </w:rPr>
        <w:t xml:space="preserve">Application to the </w:t>
      </w:r>
      <w:r w:rsidR="00F9744B" w:rsidRPr="007D770B">
        <w:rPr>
          <w:lang w:val="en-US"/>
        </w:rPr>
        <w:t xml:space="preserve">Bank's </w:t>
      </w:r>
      <w:r w:rsidR="009E2B77" w:rsidRPr="007D770B">
        <w:rPr>
          <w:lang w:val="en-US"/>
        </w:rPr>
        <w:t>liabilities and own equity instruments</w:t>
      </w:r>
      <w:bookmarkEnd w:id="428"/>
      <w:bookmarkEnd w:id="429"/>
    </w:p>
    <w:p w14:paraId="2281392A" w14:textId="77777777" w:rsidR="009E2B77" w:rsidRPr="007D770B" w:rsidRDefault="009E2B77" w:rsidP="00F96B17">
      <w:pPr>
        <w:autoSpaceDE w:val="0"/>
        <w:autoSpaceDN w:val="0"/>
        <w:adjustRightInd w:val="0"/>
        <w:spacing w:before="240" w:line="240" w:lineRule="auto"/>
        <w:ind w:left="0"/>
        <w:rPr>
          <w:rFonts w:ascii="Times New Roman" w:hAnsi="Times New Roman"/>
          <w:b/>
          <w:i/>
          <w:lang w:val="en-US"/>
        </w:rPr>
      </w:pPr>
      <w:r w:rsidRPr="007D770B">
        <w:rPr>
          <w:rFonts w:ascii="Times New Roman" w:hAnsi="Times New Roman"/>
          <w:b/>
          <w:i/>
          <w:lang w:val="en-US"/>
        </w:rPr>
        <w:t>General principles</w:t>
      </w:r>
    </w:p>
    <w:p w14:paraId="527ACBEF" w14:textId="535996F6"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 xml:space="preserve">The fair value measurement assumes that a financial or non-financial </w:t>
      </w:r>
      <w:r w:rsidR="00F34077" w:rsidRPr="007D770B">
        <w:rPr>
          <w:rFonts w:ascii="Times New Roman" w:hAnsi="Times New Roman"/>
          <w:lang w:val="en-US"/>
        </w:rPr>
        <w:t xml:space="preserve">liability </w:t>
      </w:r>
      <w:r w:rsidRPr="007D770B">
        <w:rPr>
          <w:rFonts w:ascii="Times New Roman" w:hAnsi="Times New Roman"/>
          <w:lang w:val="en-US"/>
        </w:rPr>
        <w:t xml:space="preserve">or the </w:t>
      </w:r>
      <w:r w:rsidR="00F9744B" w:rsidRPr="007D770B">
        <w:rPr>
          <w:rFonts w:ascii="Times New Roman" w:hAnsi="Times New Roman"/>
          <w:lang w:val="en-US"/>
        </w:rPr>
        <w:t xml:space="preserve">Bank's </w:t>
      </w:r>
      <w:r w:rsidRPr="007D770B">
        <w:rPr>
          <w:rFonts w:ascii="Times New Roman" w:hAnsi="Times New Roman"/>
          <w:lang w:val="en-US"/>
        </w:rPr>
        <w:t xml:space="preserve">own equity instrument (for example, equity interests granted as consideration in a business combination) is transferred to a market participant at the measurement date. The transfer of a liability or the </w:t>
      </w:r>
      <w:r w:rsidR="00F9744B" w:rsidRPr="007D770B">
        <w:rPr>
          <w:rFonts w:ascii="Times New Roman" w:hAnsi="Times New Roman"/>
          <w:lang w:val="en-US"/>
        </w:rPr>
        <w:t xml:space="preserve">Bank's </w:t>
      </w:r>
      <w:r w:rsidRPr="007D770B">
        <w:rPr>
          <w:rFonts w:ascii="Times New Roman" w:hAnsi="Times New Roman"/>
          <w:lang w:val="en-US"/>
        </w:rPr>
        <w:t>own equity instrument involves the following:</w:t>
      </w:r>
    </w:p>
    <w:p w14:paraId="4BEE7B32" w14:textId="77777777" w:rsidR="009E2B77" w:rsidRPr="007D770B" w:rsidRDefault="009E2B77" w:rsidP="00AE698A">
      <w:pPr>
        <w:pStyle w:val="aa"/>
        <w:numPr>
          <w:ilvl w:val="0"/>
          <w:numId w:val="129"/>
        </w:numPr>
        <w:autoSpaceDE w:val="0"/>
        <w:autoSpaceDN w:val="0"/>
        <w:adjustRightInd w:val="0"/>
        <w:spacing w:before="240" w:line="240" w:lineRule="auto"/>
        <w:contextualSpacing w:val="0"/>
        <w:rPr>
          <w:rFonts w:ascii="Times New Roman" w:hAnsi="Times New Roman"/>
          <w:lang w:val="en-US"/>
        </w:rPr>
      </w:pPr>
      <w:r w:rsidRPr="007D770B">
        <w:rPr>
          <w:rFonts w:ascii="Times New Roman" w:hAnsi="Times New Roman"/>
          <w:lang w:val="en-US"/>
        </w:rPr>
        <w:t>the obligation would have remained outstanding and the receiving party that is a market participant would have been obliged to fulfill the obligation. The obligation would not have been settled with the counterparty or otherwise extinguished at the measurement date.</w:t>
      </w:r>
    </w:p>
    <w:p w14:paraId="16F9122C" w14:textId="77777777" w:rsidR="009E2B77" w:rsidRPr="007D770B" w:rsidRDefault="009E2B77" w:rsidP="00AE698A">
      <w:pPr>
        <w:pStyle w:val="aa"/>
        <w:numPr>
          <w:ilvl w:val="0"/>
          <w:numId w:val="129"/>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 xml:space="preserve">the </w:t>
      </w:r>
      <w:r w:rsidR="00F9744B" w:rsidRPr="007D770B">
        <w:rPr>
          <w:rFonts w:ascii="Times New Roman" w:hAnsi="Times New Roman"/>
          <w:lang w:val="en-US"/>
        </w:rPr>
        <w:t xml:space="preserve">Bank's </w:t>
      </w:r>
      <w:r w:rsidRPr="007D770B">
        <w:rPr>
          <w:rFonts w:ascii="Times New Roman" w:hAnsi="Times New Roman"/>
          <w:lang w:val="en-US"/>
        </w:rPr>
        <w:t>own equity instrument would have remained outstanding and the endorser, who is a market participant, would have assumed the rights and obligations associated with the instrument. The instrument would not have been canceled or otherwise extinguished at the measurement date.</w:t>
      </w:r>
    </w:p>
    <w:p w14:paraId="6C3ACFC3"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 xml:space="preserve">Even if there is no observable market that provides pricing information on the transfer of a liability or the </w:t>
      </w:r>
      <w:r w:rsidR="00F9744B" w:rsidRPr="007D770B">
        <w:rPr>
          <w:rFonts w:ascii="Times New Roman" w:hAnsi="Times New Roman"/>
          <w:lang w:val="en-US"/>
        </w:rPr>
        <w:t xml:space="preserve">Bank's </w:t>
      </w:r>
      <w:r w:rsidRPr="007D770B">
        <w:rPr>
          <w:rFonts w:ascii="Times New Roman" w:hAnsi="Times New Roman"/>
          <w:lang w:val="en-US"/>
        </w:rPr>
        <w:t xml:space="preserve">own equity instrument (for example, because contractual or other legal restrictions prevent the transfer of such units), there may be an observable market for such units if they are held by other parties as assets (for example, a corporate bond or an option to purchase the </w:t>
      </w:r>
      <w:r w:rsidR="00F9744B" w:rsidRPr="007D770B">
        <w:rPr>
          <w:rFonts w:ascii="Times New Roman" w:hAnsi="Times New Roman"/>
          <w:lang w:val="en-US"/>
        </w:rPr>
        <w:t xml:space="preserve">Bank's </w:t>
      </w:r>
      <w:r w:rsidRPr="007D770B">
        <w:rPr>
          <w:rFonts w:ascii="Times New Roman" w:hAnsi="Times New Roman"/>
          <w:lang w:val="en-US"/>
        </w:rPr>
        <w:t>shares).</w:t>
      </w:r>
    </w:p>
    <w:p w14:paraId="27416B5F"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 xml:space="preserve">In all cases without exception, the </w:t>
      </w:r>
      <w:r w:rsidR="00F9744B" w:rsidRPr="007D770B">
        <w:rPr>
          <w:rFonts w:ascii="Times New Roman" w:hAnsi="Times New Roman"/>
          <w:lang w:val="en-US"/>
        </w:rPr>
        <w:t xml:space="preserve">Bank </w:t>
      </w:r>
      <w:r w:rsidR="00572DED" w:rsidRPr="007D770B">
        <w:rPr>
          <w:rFonts w:ascii="Times New Roman" w:hAnsi="Times New Roman"/>
          <w:lang w:val="en-US"/>
        </w:rPr>
        <w:t xml:space="preserve">is required to </w:t>
      </w:r>
      <w:r w:rsidRPr="007D770B">
        <w:rPr>
          <w:rFonts w:ascii="Times New Roman" w:hAnsi="Times New Roman"/>
          <w:lang w:val="en-US"/>
        </w:rPr>
        <w:t>maximize the use of relevant observable inputs and minimize the use of unobservable inputs to achieve the objective of the fair value measurement, which is to measure the price that would be received to transfer a liability or equity instrument between market participants on a voluntary basis at the measurement date under current market conditions.</w:t>
      </w:r>
    </w:p>
    <w:p w14:paraId="13C0D4FC" w14:textId="77777777" w:rsidR="009E2B77" w:rsidRPr="007D770B" w:rsidRDefault="009E2B77" w:rsidP="00F96B17">
      <w:pPr>
        <w:autoSpaceDE w:val="0"/>
        <w:autoSpaceDN w:val="0"/>
        <w:adjustRightInd w:val="0"/>
        <w:spacing w:before="240" w:line="240" w:lineRule="auto"/>
        <w:ind w:left="0"/>
        <w:rPr>
          <w:rFonts w:ascii="Times New Roman" w:hAnsi="Times New Roman"/>
          <w:b/>
          <w:i/>
          <w:lang w:val="en-US"/>
        </w:rPr>
      </w:pPr>
      <w:r w:rsidRPr="007D770B">
        <w:rPr>
          <w:rFonts w:ascii="Times New Roman" w:hAnsi="Times New Roman"/>
          <w:b/>
          <w:i/>
          <w:lang w:val="en-US"/>
        </w:rPr>
        <w:t>Liabilities and equity instruments held by other parties as assets</w:t>
      </w:r>
    </w:p>
    <w:p w14:paraId="67B7873C" w14:textId="0332BEFD"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 xml:space="preserve">If a quoted transfer price for an identical or similar </w:t>
      </w:r>
      <w:r w:rsidR="00F34077" w:rsidRPr="007D770B">
        <w:rPr>
          <w:rFonts w:ascii="Times New Roman" w:hAnsi="Times New Roman"/>
          <w:lang w:val="en-US"/>
        </w:rPr>
        <w:t xml:space="preserve">liability </w:t>
      </w:r>
      <w:r w:rsidRPr="007D770B">
        <w:rPr>
          <w:rFonts w:ascii="Times New Roman" w:hAnsi="Times New Roman"/>
          <w:lang w:val="en-US"/>
        </w:rPr>
        <w:t xml:space="preserve">or the </w:t>
      </w:r>
      <w:r w:rsidR="00F9744B" w:rsidRPr="007D770B">
        <w:rPr>
          <w:rFonts w:ascii="Times New Roman" w:hAnsi="Times New Roman"/>
          <w:lang w:val="en-US"/>
        </w:rPr>
        <w:t xml:space="preserve">Bank's </w:t>
      </w:r>
      <w:r w:rsidRPr="007D770B">
        <w:rPr>
          <w:rFonts w:ascii="Times New Roman" w:hAnsi="Times New Roman"/>
          <w:lang w:val="en-US"/>
        </w:rPr>
        <w:t xml:space="preserve">own equity instrument is not available and the identical unit is held by another party as an asset, the </w:t>
      </w:r>
      <w:r w:rsidR="00F9744B" w:rsidRPr="007D770B">
        <w:rPr>
          <w:rFonts w:ascii="Times New Roman" w:hAnsi="Times New Roman"/>
          <w:lang w:val="en-US"/>
        </w:rPr>
        <w:t xml:space="preserve">Bank </w:t>
      </w:r>
      <w:r w:rsidR="00572DED" w:rsidRPr="007D770B">
        <w:rPr>
          <w:rFonts w:ascii="Times New Roman" w:hAnsi="Times New Roman"/>
          <w:lang w:val="en-US"/>
        </w:rPr>
        <w:t xml:space="preserve">shall </w:t>
      </w:r>
      <w:r w:rsidRPr="007D770B">
        <w:rPr>
          <w:rFonts w:ascii="Times New Roman" w:hAnsi="Times New Roman"/>
          <w:lang w:val="en-US"/>
        </w:rPr>
        <w:t>estimate the fair value of the liability or equity instrument from the perspective of the market participant that holds the identical unit as an asset at the measurement date.</w:t>
      </w:r>
    </w:p>
    <w:p w14:paraId="06CBF1C6" w14:textId="77777777" w:rsidR="009E2B77" w:rsidRPr="007D770B" w:rsidRDefault="009E2B77" w:rsidP="00F96B17">
      <w:pPr>
        <w:keepNext/>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 xml:space="preserve">In such cases, the </w:t>
      </w:r>
      <w:r w:rsidR="00F9744B" w:rsidRPr="007D770B">
        <w:rPr>
          <w:rFonts w:ascii="Times New Roman" w:hAnsi="Times New Roman"/>
          <w:lang w:val="en-US"/>
        </w:rPr>
        <w:t xml:space="preserve">Bank </w:t>
      </w:r>
      <w:r w:rsidR="00572DED" w:rsidRPr="007D770B">
        <w:rPr>
          <w:rFonts w:ascii="Times New Roman" w:hAnsi="Times New Roman"/>
          <w:lang w:val="en-US"/>
        </w:rPr>
        <w:t xml:space="preserve">shall </w:t>
      </w:r>
      <w:r w:rsidRPr="007D770B">
        <w:rPr>
          <w:rFonts w:ascii="Times New Roman" w:hAnsi="Times New Roman"/>
          <w:lang w:val="en-US"/>
        </w:rPr>
        <w:t xml:space="preserve">measure the fair value of the liability or equity instrument as follows: </w:t>
      </w:r>
    </w:p>
    <w:p w14:paraId="5906FEC3" w14:textId="77777777" w:rsidR="009E2B77" w:rsidRPr="007D770B" w:rsidRDefault="009E2B77" w:rsidP="00AE698A">
      <w:pPr>
        <w:pStyle w:val="aa"/>
        <w:numPr>
          <w:ilvl w:val="0"/>
          <w:numId w:val="130"/>
        </w:numPr>
        <w:autoSpaceDE w:val="0"/>
        <w:autoSpaceDN w:val="0"/>
        <w:adjustRightInd w:val="0"/>
        <w:spacing w:before="240" w:line="240" w:lineRule="auto"/>
        <w:contextualSpacing w:val="0"/>
        <w:rPr>
          <w:rFonts w:ascii="Times New Roman" w:hAnsi="Times New Roman"/>
          <w:lang w:val="en-US"/>
        </w:rPr>
      </w:pPr>
      <w:r w:rsidRPr="007D770B">
        <w:rPr>
          <w:rFonts w:ascii="Times New Roman" w:hAnsi="Times New Roman"/>
          <w:lang w:val="en-US"/>
        </w:rPr>
        <w:t>using the quoted price in an active market for an identical unit held by the other party as an asset, when available.</w:t>
      </w:r>
    </w:p>
    <w:p w14:paraId="7C6863C4" w14:textId="77777777" w:rsidR="009E2B77" w:rsidRPr="007D770B" w:rsidRDefault="009E2B77" w:rsidP="00AE698A">
      <w:pPr>
        <w:pStyle w:val="aa"/>
        <w:numPr>
          <w:ilvl w:val="0"/>
          <w:numId w:val="130"/>
        </w:numPr>
        <w:autoSpaceDE w:val="0"/>
        <w:autoSpaceDN w:val="0"/>
        <w:adjustRightInd w:val="0"/>
        <w:spacing w:before="240" w:line="240" w:lineRule="auto"/>
        <w:contextualSpacing w:val="0"/>
        <w:rPr>
          <w:rFonts w:ascii="Times New Roman" w:hAnsi="Times New Roman"/>
          <w:lang w:val="en-US"/>
        </w:rPr>
      </w:pPr>
      <w:r w:rsidRPr="007D770B">
        <w:rPr>
          <w:rFonts w:ascii="Times New Roman" w:hAnsi="Times New Roman"/>
          <w:lang w:val="en-US"/>
        </w:rPr>
        <w:t>in the absence of such a price, using other observable inputs, such as a price quoted in a market that is not active for an identical unit held by another party as an asset.</w:t>
      </w:r>
    </w:p>
    <w:p w14:paraId="4BC849BE" w14:textId="77777777" w:rsidR="009E2B77" w:rsidRPr="007D770B" w:rsidRDefault="009E2B77" w:rsidP="00AE698A">
      <w:pPr>
        <w:pStyle w:val="aa"/>
        <w:keepNext/>
        <w:numPr>
          <w:ilvl w:val="0"/>
          <w:numId w:val="130"/>
        </w:numPr>
        <w:autoSpaceDE w:val="0"/>
        <w:autoSpaceDN w:val="0"/>
        <w:adjustRightInd w:val="0"/>
        <w:spacing w:before="240" w:line="240" w:lineRule="auto"/>
        <w:contextualSpacing w:val="0"/>
        <w:rPr>
          <w:rFonts w:ascii="Times New Roman" w:hAnsi="Times New Roman"/>
          <w:lang w:val="en-US"/>
        </w:rPr>
      </w:pPr>
      <w:r w:rsidRPr="007D770B">
        <w:rPr>
          <w:rFonts w:ascii="Times New Roman" w:hAnsi="Times New Roman"/>
          <w:lang w:val="en-US"/>
        </w:rPr>
        <w:t>in the absence of observable prices described in subparagraphs (a) and (b), using another valuation technique, such as:</w:t>
      </w:r>
    </w:p>
    <w:p w14:paraId="5DC1DB75" w14:textId="77777777" w:rsidR="009E2B77" w:rsidRPr="007D770B" w:rsidRDefault="009E2B77" w:rsidP="00AE698A">
      <w:pPr>
        <w:pStyle w:val="aa"/>
        <w:numPr>
          <w:ilvl w:val="2"/>
          <w:numId w:val="131"/>
        </w:numPr>
        <w:autoSpaceDE w:val="0"/>
        <w:autoSpaceDN w:val="0"/>
        <w:adjustRightInd w:val="0"/>
        <w:spacing w:before="240" w:line="240" w:lineRule="auto"/>
        <w:ind w:left="1080"/>
        <w:contextualSpacing w:val="0"/>
        <w:rPr>
          <w:rFonts w:ascii="Times New Roman" w:hAnsi="Times New Roman"/>
          <w:lang w:val="en-US"/>
        </w:rPr>
      </w:pPr>
      <w:r w:rsidRPr="007D770B">
        <w:rPr>
          <w:rFonts w:ascii="Times New Roman" w:hAnsi="Times New Roman"/>
          <w:lang w:val="en-US"/>
        </w:rPr>
        <w:t>The income approach (for example, the present value approach, which considers the future cash flows that a market participant would expect to receive from the liability or equity instrument that it holds as an asset).</w:t>
      </w:r>
    </w:p>
    <w:p w14:paraId="710D04BF" w14:textId="77777777" w:rsidR="009E2B77" w:rsidRPr="007D770B" w:rsidRDefault="009E2B77" w:rsidP="00AE698A">
      <w:pPr>
        <w:pStyle w:val="aa"/>
        <w:numPr>
          <w:ilvl w:val="2"/>
          <w:numId w:val="131"/>
        </w:numPr>
        <w:autoSpaceDE w:val="0"/>
        <w:autoSpaceDN w:val="0"/>
        <w:adjustRightInd w:val="0"/>
        <w:spacing w:before="240" w:line="240" w:lineRule="auto"/>
        <w:ind w:left="1080"/>
        <w:contextualSpacing w:val="0"/>
        <w:rPr>
          <w:rFonts w:ascii="Times New Roman" w:hAnsi="Times New Roman"/>
          <w:lang w:val="en-US"/>
        </w:rPr>
      </w:pPr>
      <w:r w:rsidRPr="007D770B">
        <w:rPr>
          <w:rFonts w:ascii="Times New Roman" w:hAnsi="Times New Roman"/>
          <w:lang w:val="en-US"/>
        </w:rPr>
        <w:t>market approach (e.g., using quoted prices for similar liabilities or equity instruments held by other parties as assets).</w:t>
      </w:r>
    </w:p>
    <w:p w14:paraId="1B7C0D26" w14:textId="77777777" w:rsidR="009E2B77" w:rsidRPr="007D770B" w:rsidRDefault="00572DED"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 xml:space="preserve">The </w:t>
      </w:r>
      <w:r w:rsidR="00F9744B" w:rsidRPr="007D770B">
        <w:rPr>
          <w:rFonts w:ascii="Times New Roman" w:hAnsi="Times New Roman"/>
          <w:lang w:val="en-US"/>
        </w:rPr>
        <w:t xml:space="preserve">Bank </w:t>
      </w:r>
      <w:r w:rsidRPr="007D770B">
        <w:rPr>
          <w:rFonts w:ascii="Times New Roman" w:hAnsi="Times New Roman"/>
          <w:lang w:val="en-US"/>
        </w:rPr>
        <w:t xml:space="preserve">shall </w:t>
      </w:r>
      <w:r w:rsidR="009E2B77" w:rsidRPr="007D770B">
        <w:rPr>
          <w:rFonts w:ascii="Times New Roman" w:hAnsi="Times New Roman"/>
          <w:lang w:val="en-US"/>
        </w:rPr>
        <w:t xml:space="preserve">adjust the quoted price of a liability or the </w:t>
      </w:r>
      <w:r w:rsidR="00F9744B" w:rsidRPr="007D770B">
        <w:rPr>
          <w:rFonts w:ascii="Times New Roman" w:hAnsi="Times New Roman"/>
          <w:lang w:val="en-US"/>
        </w:rPr>
        <w:t xml:space="preserve">Bank's </w:t>
      </w:r>
      <w:r w:rsidR="009E2B77" w:rsidRPr="007D770B">
        <w:rPr>
          <w:rFonts w:ascii="Times New Roman" w:hAnsi="Times New Roman"/>
          <w:lang w:val="en-US"/>
        </w:rPr>
        <w:t xml:space="preserve">own equity instrument that is held by another party as an asset only if there are factors specific to the asset that are not applicable to the measurement of the fair value of the liability or equity instrument. </w:t>
      </w:r>
      <w:r w:rsidRPr="007D770B">
        <w:rPr>
          <w:rFonts w:ascii="Times New Roman" w:hAnsi="Times New Roman"/>
          <w:lang w:val="en-US"/>
        </w:rPr>
        <w:t xml:space="preserve">The </w:t>
      </w:r>
      <w:r w:rsidR="00F9744B" w:rsidRPr="007D770B">
        <w:rPr>
          <w:rFonts w:ascii="Times New Roman" w:hAnsi="Times New Roman"/>
          <w:lang w:val="en-US"/>
        </w:rPr>
        <w:t xml:space="preserve">Bank </w:t>
      </w:r>
      <w:r w:rsidRPr="007D770B">
        <w:rPr>
          <w:rFonts w:ascii="Times New Roman" w:hAnsi="Times New Roman"/>
          <w:lang w:val="en-US"/>
        </w:rPr>
        <w:t xml:space="preserve">must </w:t>
      </w:r>
      <w:r w:rsidR="009E2B77" w:rsidRPr="007D770B">
        <w:rPr>
          <w:rFonts w:ascii="Times New Roman" w:hAnsi="Times New Roman"/>
          <w:lang w:val="en-US"/>
        </w:rPr>
        <w:t>ensure that the price of the asset does not reflect the effect of a restriction that prevents the asset from being sold. Some factors that may indicate that the quoted price of an asset should be adjusted include the following:</w:t>
      </w:r>
    </w:p>
    <w:p w14:paraId="011124BA" w14:textId="77777777" w:rsidR="009E2B77" w:rsidRPr="007D770B" w:rsidRDefault="009E2B77" w:rsidP="00AE698A">
      <w:pPr>
        <w:pStyle w:val="aa"/>
        <w:numPr>
          <w:ilvl w:val="0"/>
          <w:numId w:val="132"/>
        </w:numPr>
        <w:autoSpaceDE w:val="0"/>
        <w:autoSpaceDN w:val="0"/>
        <w:adjustRightInd w:val="0"/>
        <w:spacing w:before="240" w:line="240" w:lineRule="auto"/>
        <w:contextualSpacing w:val="0"/>
        <w:rPr>
          <w:rFonts w:ascii="Times New Roman" w:hAnsi="Times New Roman"/>
          <w:lang w:val="en-US"/>
        </w:rPr>
      </w:pPr>
      <w:r w:rsidRPr="007D770B">
        <w:rPr>
          <w:rFonts w:ascii="Times New Roman" w:hAnsi="Times New Roman"/>
          <w:lang w:val="en-US"/>
        </w:rPr>
        <w:t>the quoted price for the asset is for a similar (but not identical) liability or equity instrument that is held by another party as an asset. For example, the liability or equity instrument has a specific characteristic (for example, the creditworthiness of the issuer) that is different from that reflected in the fair value of a similar liability or equity instrument held as an asset.</w:t>
      </w:r>
    </w:p>
    <w:p w14:paraId="09BAB6B6" w14:textId="77777777" w:rsidR="009E2B77" w:rsidRPr="007D770B" w:rsidRDefault="009E2B77" w:rsidP="00AE698A">
      <w:pPr>
        <w:pStyle w:val="aa"/>
        <w:numPr>
          <w:ilvl w:val="0"/>
          <w:numId w:val="132"/>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lastRenderedPageBreak/>
        <w:t xml:space="preserve">the unit of account adopted for the asset differs from the unit of account adopted for the liability or equity instrument. For example, for liabilities, in some cases the price of the asset reflects the combined price of a package that includes both amounts receivable from the issuer and a guarantee of credit quality support from a third party. If the unit of account for the liability does not represent the unit of account for the combined package, the objective is to measure the fair value of the issuer's liability rather than the fair value of the combined package. Accordingly, in such cases, the </w:t>
      </w:r>
      <w:r w:rsidR="00F9744B" w:rsidRPr="007D770B">
        <w:rPr>
          <w:rFonts w:ascii="Times New Roman" w:hAnsi="Times New Roman"/>
          <w:lang w:val="en-US"/>
        </w:rPr>
        <w:t xml:space="preserve">Bank </w:t>
      </w:r>
      <w:r w:rsidRPr="007D770B">
        <w:rPr>
          <w:rFonts w:ascii="Times New Roman" w:hAnsi="Times New Roman"/>
          <w:lang w:val="en-US"/>
        </w:rPr>
        <w:t xml:space="preserve">would </w:t>
      </w:r>
      <w:r w:rsidR="0070210F" w:rsidRPr="007D770B">
        <w:rPr>
          <w:rFonts w:ascii="Times New Roman" w:hAnsi="Times New Roman"/>
          <w:lang w:val="en-US"/>
        </w:rPr>
        <w:t xml:space="preserve">adjust the </w:t>
      </w:r>
      <w:r w:rsidRPr="007D770B">
        <w:rPr>
          <w:rFonts w:ascii="Times New Roman" w:hAnsi="Times New Roman"/>
          <w:lang w:val="en-US"/>
        </w:rPr>
        <w:t>observable price of the asset to remove the impact of the requirement to provide third-party credit quality support.</w:t>
      </w:r>
    </w:p>
    <w:p w14:paraId="5B000E01" w14:textId="77777777" w:rsidR="009E2B77" w:rsidRPr="007D770B" w:rsidRDefault="009E2B77" w:rsidP="00F96B17">
      <w:pPr>
        <w:autoSpaceDE w:val="0"/>
        <w:autoSpaceDN w:val="0"/>
        <w:adjustRightInd w:val="0"/>
        <w:spacing w:before="240" w:line="240" w:lineRule="auto"/>
        <w:ind w:left="0"/>
        <w:rPr>
          <w:rFonts w:ascii="Times New Roman" w:hAnsi="Times New Roman"/>
          <w:b/>
          <w:i/>
          <w:lang w:val="en-US"/>
        </w:rPr>
      </w:pPr>
      <w:r w:rsidRPr="007D770B">
        <w:rPr>
          <w:rFonts w:ascii="Times New Roman" w:hAnsi="Times New Roman"/>
          <w:b/>
          <w:i/>
          <w:lang w:val="en-US"/>
        </w:rPr>
        <w:t>Liabilities and equity instruments not held by other parties as assets</w:t>
      </w:r>
    </w:p>
    <w:p w14:paraId="2C260FF3" w14:textId="3D3A230E"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 xml:space="preserve">If a quoted transfer price for an identical or similar </w:t>
      </w:r>
      <w:r w:rsidR="00F34077" w:rsidRPr="007D770B">
        <w:rPr>
          <w:rFonts w:ascii="Times New Roman" w:hAnsi="Times New Roman"/>
          <w:lang w:val="en-US"/>
        </w:rPr>
        <w:t xml:space="preserve">liability </w:t>
      </w:r>
      <w:r w:rsidRPr="007D770B">
        <w:rPr>
          <w:rFonts w:ascii="Times New Roman" w:hAnsi="Times New Roman"/>
          <w:lang w:val="en-US"/>
        </w:rPr>
        <w:t xml:space="preserve">or the </w:t>
      </w:r>
      <w:r w:rsidR="00F9744B" w:rsidRPr="007D770B">
        <w:rPr>
          <w:rFonts w:ascii="Times New Roman" w:hAnsi="Times New Roman"/>
          <w:lang w:val="en-US"/>
        </w:rPr>
        <w:t xml:space="preserve">Bank's </w:t>
      </w:r>
      <w:r w:rsidRPr="007D770B">
        <w:rPr>
          <w:rFonts w:ascii="Times New Roman" w:hAnsi="Times New Roman"/>
          <w:lang w:val="en-US"/>
        </w:rPr>
        <w:t xml:space="preserve">own equity instrument is not available and the identical unit is not held by another party as an asset, the </w:t>
      </w:r>
      <w:r w:rsidR="00F9744B" w:rsidRPr="007D770B">
        <w:rPr>
          <w:rFonts w:ascii="Times New Roman" w:hAnsi="Times New Roman"/>
          <w:lang w:val="en-US"/>
        </w:rPr>
        <w:t xml:space="preserve">Bank </w:t>
      </w:r>
      <w:r w:rsidR="00572DED" w:rsidRPr="007D770B">
        <w:rPr>
          <w:rFonts w:ascii="Times New Roman" w:hAnsi="Times New Roman"/>
          <w:lang w:val="en-US"/>
        </w:rPr>
        <w:t xml:space="preserve">shall </w:t>
      </w:r>
      <w:r w:rsidRPr="007D770B">
        <w:rPr>
          <w:rFonts w:ascii="Times New Roman" w:hAnsi="Times New Roman"/>
          <w:lang w:val="en-US"/>
        </w:rPr>
        <w:t xml:space="preserve">measure the fair value of the liability or </w:t>
      </w:r>
      <w:r w:rsidR="00D727DE" w:rsidRPr="007D770B">
        <w:rPr>
          <w:rFonts w:ascii="Times New Roman" w:hAnsi="Times New Roman"/>
          <w:lang w:val="en-US"/>
        </w:rPr>
        <w:t xml:space="preserve">equity instrument </w:t>
      </w:r>
      <w:r w:rsidRPr="007D770B">
        <w:rPr>
          <w:rFonts w:ascii="Times New Roman" w:hAnsi="Times New Roman"/>
          <w:lang w:val="en-US"/>
        </w:rPr>
        <w:t xml:space="preserve">using a valuation technique from the perspective of the market participant that holds the liability or </w:t>
      </w:r>
      <w:r w:rsidR="00D727DE" w:rsidRPr="007D770B">
        <w:rPr>
          <w:rFonts w:ascii="Times New Roman" w:hAnsi="Times New Roman"/>
          <w:lang w:val="en-US"/>
        </w:rPr>
        <w:t>issued the equity instrument</w:t>
      </w:r>
      <w:r w:rsidRPr="007D770B">
        <w:rPr>
          <w:rFonts w:ascii="Times New Roman" w:hAnsi="Times New Roman"/>
          <w:lang w:val="en-US"/>
        </w:rPr>
        <w:t>.</w:t>
      </w:r>
    </w:p>
    <w:p w14:paraId="4B3E9553"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 xml:space="preserve">For example, by applying the present value method of valuation, </w:t>
      </w:r>
      <w:r w:rsidR="00F9744B" w:rsidRPr="007D770B">
        <w:rPr>
          <w:rFonts w:ascii="Times New Roman" w:hAnsi="Times New Roman"/>
          <w:lang w:val="en-US"/>
        </w:rPr>
        <w:t xml:space="preserve">the Bank </w:t>
      </w:r>
      <w:r w:rsidRPr="007D770B">
        <w:rPr>
          <w:rFonts w:ascii="Times New Roman" w:hAnsi="Times New Roman"/>
          <w:lang w:val="en-US"/>
        </w:rPr>
        <w:t>could consider any of the following:</w:t>
      </w:r>
    </w:p>
    <w:p w14:paraId="3AF365E6" w14:textId="77777777" w:rsidR="009E2B77" w:rsidRPr="007D770B" w:rsidRDefault="009E2B77" w:rsidP="00AE698A">
      <w:pPr>
        <w:pStyle w:val="aa"/>
        <w:numPr>
          <w:ilvl w:val="0"/>
          <w:numId w:val="133"/>
        </w:numPr>
        <w:autoSpaceDE w:val="0"/>
        <w:autoSpaceDN w:val="0"/>
        <w:adjustRightInd w:val="0"/>
        <w:spacing w:before="240" w:line="240" w:lineRule="auto"/>
        <w:contextualSpacing w:val="0"/>
        <w:rPr>
          <w:rFonts w:ascii="Times New Roman" w:hAnsi="Times New Roman"/>
          <w:lang w:val="en-US"/>
        </w:rPr>
      </w:pPr>
      <w:r w:rsidRPr="007D770B">
        <w:rPr>
          <w:rFonts w:ascii="Times New Roman" w:hAnsi="Times New Roman"/>
          <w:lang w:val="en-US"/>
        </w:rPr>
        <w:t>The future cash outflow that a market participant would expect to realize on settlement of the obligation, including the compensation that the market participant would require for assuming the obligation.</w:t>
      </w:r>
    </w:p>
    <w:p w14:paraId="2698ECBE" w14:textId="77777777" w:rsidR="009E2B77" w:rsidRPr="007D770B" w:rsidRDefault="009E2B77" w:rsidP="00AE698A">
      <w:pPr>
        <w:pStyle w:val="aa"/>
        <w:numPr>
          <w:ilvl w:val="0"/>
          <w:numId w:val="133"/>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the amount that a market participant would receive for the assumption or issue of an identical liability or equity instrument using the assumptions that market participants would use when pricing an identical unit (for example, having the same credit characteristics) in the principal (or most advantageous) market for the issuance of the liability or equity instrument on the same contractual terms.</w:t>
      </w:r>
    </w:p>
    <w:p w14:paraId="53BEF3BD" w14:textId="77777777" w:rsidR="003A32C0" w:rsidRPr="007D770B" w:rsidRDefault="003A32C0" w:rsidP="00F96B17">
      <w:pPr>
        <w:autoSpaceDE w:val="0"/>
        <w:autoSpaceDN w:val="0"/>
        <w:adjustRightInd w:val="0"/>
        <w:spacing w:before="240" w:line="240" w:lineRule="auto"/>
        <w:ind w:left="0"/>
        <w:rPr>
          <w:rFonts w:ascii="Times New Roman" w:hAnsi="Times New Roman"/>
          <w:b/>
          <w:i/>
          <w:lang w:val="en-US"/>
        </w:rPr>
      </w:pPr>
    </w:p>
    <w:p w14:paraId="1D21A4FA" w14:textId="77777777" w:rsidR="009E2B77" w:rsidRPr="007D770B" w:rsidRDefault="009E2B77" w:rsidP="00F96B17">
      <w:pPr>
        <w:autoSpaceDE w:val="0"/>
        <w:autoSpaceDN w:val="0"/>
        <w:adjustRightInd w:val="0"/>
        <w:spacing w:before="240" w:line="240" w:lineRule="auto"/>
        <w:ind w:left="0"/>
        <w:rPr>
          <w:rFonts w:ascii="Times New Roman" w:hAnsi="Times New Roman"/>
          <w:b/>
          <w:i/>
          <w:lang w:val="en-US"/>
        </w:rPr>
      </w:pPr>
      <w:r w:rsidRPr="007D770B">
        <w:rPr>
          <w:rFonts w:ascii="Times New Roman" w:hAnsi="Times New Roman"/>
          <w:b/>
          <w:i/>
          <w:lang w:val="en-US"/>
        </w:rPr>
        <w:t>Risk of default</w:t>
      </w:r>
    </w:p>
    <w:p w14:paraId="2EC2C484"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 xml:space="preserve">The fair value of the liability reflects the impact of non-performance risk. Default risk includes, among other things, the </w:t>
      </w:r>
      <w:r w:rsidR="00F9744B" w:rsidRPr="007D770B">
        <w:rPr>
          <w:rFonts w:ascii="Times New Roman" w:hAnsi="Times New Roman"/>
          <w:lang w:val="en-US"/>
        </w:rPr>
        <w:t xml:space="preserve">Bank's </w:t>
      </w:r>
      <w:r w:rsidRPr="007D770B">
        <w:rPr>
          <w:rFonts w:ascii="Times New Roman" w:hAnsi="Times New Roman"/>
          <w:lang w:val="en-US"/>
        </w:rPr>
        <w:t>own credit risk. It is assumed that the risk of default is the same both before and after the transfer of the liability.</w:t>
      </w:r>
    </w:p>
    <w:p w14:paraId="00F9D08D"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 xml:space="preserve">In estimating the fair value of a liability, the </w:t>
      </w:r>
      <w:r w:rsidR="00F9744B" w:rsidRPr="007D770B">
        <w:rPr>
          <w:rFonts w:ascii="Times New Roman" w:hAnsi="Times New Roman"/>
          <w:lang w:val="en-US"/>
        </w:rPr>
        <w:t xml:space="preserve">Bank </w:t>
      </w:r>
      <w:r w:rsidR="00572DED" w:rsidRPr="007D770B">
        <w:rPr>
          <w:rFonts w:ascii="Times New Roman" w:hAnsi="Times New Roman"/>
          <w:lang w:val="en-US"/>
        </w:rPr>
        <w:t xml:space="preserve">is required to </w:t>
      </w:r>
      <w:r w:rsidRPr="007D770B">
        <w:rPr>
          <w:rFonts w:ascii="Times New Roman" w:hAnsi="Times New Roman"/>
          <w:lang w:val="en-US"/>
        </w:rPr>
        <w:t>consider the effect of its credit risk (creditworthiness) and any other factors that could affect the likelihood that the liability will be honored or not. This influence may vary from liability to liability, for example:</w:t>
      </w:r>
    </w:p>
    <w:p w14:paraId="0AC26779" w14:textId="77777777" w:rsidR="009E2B77" w:rsidRPr="007D770B" w:rsidRDefault="009E2B77" w:rsidP="00AE698A">
      <w:pPr>
        <w:pStyle w:val="aa"/>
        <w:numPr>
          <w:ilvl w:val="0"/>
          <w:numId w:val="134"/>
        </w:numPr>
        <w:autoSpaceDE w:val="0"/>
        <w:autoSpaceDN w:val="0"/>
        <w:adjustRightInd w:val="0"/>
        <w:spacing w:before="240" w:line="240" w:lineRule="auto"/>
        <w:contextualSpacing w:val="0"/>
        <w:rPr>
          <w:rFonts w:ascii="Times New Roman" w:hAnsi="Times New Roman"/>
          <w:lang w:val="en-US"/>
        </w:rPr>
      </w:pPr>
      <w:r w:rsidRPr="007D770B">
        <w:rPr>
          <w:rFonts w:ascii="Times New Roman" w:hAnsi="Times New Roman"/>
          <w:lang w:val="en-US"/>
        </w:rPr>
        <w:t>whether the obligation is an obligation to deliver cash (a financial liability) or an obligation to provide goods or services (a non-financial liability).</w:t>
      </w:r>
    </w:p>
    <w:p w14:paraId="5F0853EA" w14:textId="77777777" w:rsidR="009E2B77" w:rsidRPr="007D770B" w:rsidRDefault="009E2B77" w:rsidP="00AE698A">
      <w:pPr>
        <w:pStyle w:val="aa"/>
        <w:numPr>
          <w:ilvl w:val="0"/>
          <w:numId w:val="134"/>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the terms of the requirement to support the credit quality associated with the commitment, if any.</w:t>
      </w:r>
    </w:p>
    <w:p w14:paraId="5D881DDF"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The fair value of a liability reflects the impact of non-performance risk based on its unit of account. The issuer of a liability issued with an inseparable third-party credit enhancement requirement that is accounted for separately from the liability should not include the effect of the third-party credit enhancement requirement (e.g., a guarantee of repayment of third-party debt) in the fair value measurement of the liability. If the credit quality support requirement were accounted for separately from the liability, the issuer would consider its own creditworthiness, rather than the creditworthiness of the third-party guarantor, in estimating the fair value of the liability.</w:t>
      </w:r>
    </w:p>
    <w:p w14:paraId="49EEDEB6" w14:textId="77777777" w:rsidR="009E2B77" w:rsidRPr="007D770B" w:rsidRDefault="009E2B77" w:rsidP="00F96B17">
      <w:pPr>
        <w:autoSpaceDE w:val="0"/>
        <w:autoSpaceDN w:val="0"/>
        <w:adjustRightInd w:val="0"/>
        <w:spacing w:before="240" w:line="240" w:lineRule="auto"/>
        <w:ind w:left="0"/>
        <w:rPr>
          <w:rFonts w:ascii="Times New Roman" w:hAnsi="Times New Roman"/>
          <w:b/>
          <w:i/>
          <w:lang w:val="en-US"/>
        </w:rPr>
      </w:pPr>
      <w:r w:rsidRPr="007D770B">
        <w:rPr>
          <w:rFonts w:ascii="Times New Roman" w:hAnsi="Times New Roman"/>
          <w:b/>
          <w:i/>
          <w:lang w:val="en-US"/>
        </w:rPr>
        <w:t xml:space="preserve">Restriction not allowing transfer of the </w:t>
      </w:r>
      <w:r w:rsidR="00F9744B" w:rsidRPr="007D770B">
        <w:rPr>
          <w:rFonts w:ascii="Times New Roman" w:hAnsi="Times New Roman"/>
          <w:b/>
          <w:i/>
          <w:lang w:val="en-US"/>
        </w:rPr>
        <w:t xml:space="preserve">Bank's </w:t>
      </w:r>
      <w:r w:rsidRPr="007D770B">
        <w:rPr>
          <w:rFonts w:ascii="Times New Roman" w:hAnsi="Times New Roman"/>
          <w:b/>
          <w:i/>
          <w:lang w:val="en-US"/>
        </w:rPr>
        <w:t>liability or own equity instrument</w:t>
      </w:r>
    </w:p>
    <w:p w14:paraId="6BE2B8C4" w14:textId="7A5FB3E3"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 xml:space="preserve">The </w:t>
      </w:r>
      <w:r w:rsidR="00F9744B" w:rsidRPr="007D770B">
        <w:rPr>
          <w:rFonts w:ascii="Times New Roman" w:hAnsi="Times New Roman"/>
          <w:lang w:val="en-US"/>
        </w:rPr>
        <w:t xml:space="preserve">Bank </w:t>
      </w:r>
      <w:r w:rsidRPr="007D770B">
        <w:rPr>
          <w:rFonts w:ascii="Times New Roman" w:hAnsi="Times New Roman"/>
          <w:lang w:val="en-US"/>
        </w:rPr>
        <w:t xml:space="preserve">shall not include in the fair value measurement of a liability or its own equity instrument separate inputs or adjustments to other inputs that address the existence of a restriction that is not transferable. The effect of a restriction that is not transferable on the </w:t>
      </w:r>
      <w:r w:rsidR="00F9744B" w:rsidRPr="007D770B">
        <w:rPr>
          <w:rFonts w:ascii="Times New Roman" w:hAnsi="Times New Roman"/>
          <w:lang w:val="en-US"/>
        </w:rPr>
        <w:t xml:space="preserve">Bank's </w:t>
      </w:r>
      <w:r w:rsidRPr="007D770B">
        <w:rPr>
          <w:rFonts w:ascii="Times New Roman" w:hAnsi="Times New Roman"/>
          <w:lang w:val="en-US"/>
        </w:rPr>
        <w:t>liability or own equity instrument is implicitly or explicitly included in other inputs to the fair value measurement.</w:t>
      </w:r>
    </w:p>
    <w:p w14:paraId="73D7306F"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For example, at the transaction date, both the creditor and debtor have accepted the transaction price as a liability in the absolute knowledge that the liability includes a non-transferable restriction. Because the restriction is embedded in the transaction price, it is not necessary to include separate inputs or adjust existing inputs at the transaction date to reflect the impact of the transfer restriction. Similarly, there is no requirement to include separate inputs or adjustments to existing inputs at subsequent measurement dates to reflect the effect of the transfer restriction.</w:t>
      </w:r>
    </w:p>
    <w:p w14:paraId="216A0EA2" w14:textId="77777777" w:rsidR="009E2B77" w:rsidRPr="007D770B" w:rsidRDefault="009E2B77" w:rsidP="00F96B17">
      <w:pPr>
        <w:autoSpaceDE w:val="0"/>
        <w:autoSpaceDN w:val="0"/>
        <w:adjustRightInd w:val="0"/>
        <w:spacing w:before="240" w:line="240" w:lineRule="auto"/>
        <w:ind w:left="0"/>
        <w:rPr>
          <w:rFonts w:ascii="Times New Roman" w:hAnsi="Times New Roman"/>
          <w:b/>
          <w:i/>
          <w:lang w:val="en-US"/>
        </w:rPr>
      </w:pPr>
      <w:r w:rsidRPr="007D770B">
        <w:rPr>
          <w:rFonts w:ascii="Times New Roman" w:hAnsi="Times New Roman"/>
          <w:b/>
          <w:i/>
          <w:lang w:val="en-US"/>
        </w:rPr>
        <w:t>Financial liability with an option to repay on demand</w:t>
      </w:r>
    </w:p>
    <w:p w14:paraId="7CC01D83"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lastRenderedPageBreak/>
        <w:t xml:space="preserve">The fair value of a financial liability with a call option (for example, a demand deposit) is the amount at least equal to the amount repayable on demand, discounted from the first day that such amount could be required </w:t>
      </w:r>
      <w:r w:rsidR="002E4AA9" w:rsidRPr="007D770B">
        <w:rPr>
          <w:rFonts w:ascii="Times New Roman" w:hAnsi="Times New Roman"/>
          <w:lang w:val="en-US"/>
        </w:rPr>
        <w:t>to</w:t>
      </w:r>
      <w:r w:rsidRPr="007D770B">
        <w:rPr>
          <w:rFonts w:ascii="Times New Roman" w:hAnsi="Times New Roman"/>
          <w:lang w:val="en-US"/>
        </w:rPr>
        <w:t xml:space="preserve"> be paid.</w:t>
      </w:r>
    </w:p>
    <w:p w14:paraId="7139216C" w14:textId="134D175A" w:rsidR="009E2B77" w:rsidRPr="007D770B" w:rsidRDefault="00CD25B1" w:rsidP="00E61D21">
      <w:pPr>
        <w:pStyle w:val="3"/>
        <w:rPr>
          <w:lang w:val="en-US"/>
        </w:rPr>
      </w:pPr>
      <w:bookmarkStart w:id="430" w:name="_Toc378283546"/>
      <w:bookmarkStart w:id="431" w:name="_Toc168502136"/>
      <w:r w:rsidRPr="007D770B">
        <w:rPr>
          <w:lang w:val="en-US"/>
        </w:rPr>
        <w:t>5</w:t>
      </w:r>
      <w:r w:rsidR="00F67A7B" w:rsidRPr="007D770B">
        <w:rPr>
          <w:lang w:val="en-US"/>
        </w:rPr>
        <w:t xml:space="preserve">.6 </w:t>
      </w:r>
      <w:r w:rsidR="009E2B77" w:rsidRPr="007D770B">
        <w:rPr>
          <w:lang w:val="en-US"/>
        </w:rPr>
        <w:t>Applying to financial assets and financial liabilities with offsetting positions for market risks or counterparty credit risk</w:t>
      </w:r>
      <w:bookmarkEnd w:id="430"/>
      <w:bookmarkEnd w:id="431"/>
    </w:p>
    <w:p w14:paraId="37C42FBC"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 xml:space="preserve">The </w:t>
      </w:r>
      <w:r w:rsidR="00C04E96" w:rsidRPr="007D770B">
        <w:rPr>
          <w:rFonts w:ascii="Times New Roman" w:hAnsi="Times New Roman"/>
          <w:lang w:val="en-US"/>
        </w:rPr>
        <w:t>Bank</w:t>
      </w:r>
      <w:r w:rsidRPr="007D770B">
        <w:rPr>
          <w:rFonts w:ascii="Times New Roman" w:hAnsi="Times New Roman"/>
          <w:lang w:val="en-US"/>
        </w:rPr>
        <w:t xml:space="preserve">, by holding a group of financial assets and financial liabilities, is exposed to market risks and credit risk of each counterparty. If the </w:t>
      </w:r>
      <w:r w:rsidR="00F9744B" w:rsidRPr="007D770B">
        <w:rPr>
          <w:rFonts w:ascii="Times New Roman" w:hAnsi="Times New Roman"/>
          <w:lang w:val="en-US"/>
        </w:rPr>
        <w:t xml:space="preserve">Bank </w:t>
      </w:r>
      <w:r w:rsidRPr="007D770B">
        <w:rPr>
          <w:rFonts w:ascii="Times New Roman" w:hAnsi="Times New Roman"/>
          <w:lang w:val="en-US"/>
        </w:rPr>
        <w:t xml:space="preserve">manages such a group of financial assets and financial liabilities on the basis of its net exposure to market risks or credit risk, the </w:t>
      </w:r>
      <w:r w:rsidR="00F9744B" w:rsidRPr="007D770B">
        <w:rPr>
          <w:rFonts w:ascii="Times New Roman" w:hAnsi="Times New Roman"/>
          <w:lang w:val="en-US"/>
        </w:rPr>
        <w:t xml:space="preserve">Bank </w:t>
      </w:r>
      <w:r w:rsidR="006B614C" w:rsidRPr="007D770B">
        <w:rPr>
          <w:rFonts w:ascii="Times New Roman" w:hAnsi="Times New Roman"/>
          <w:lang w:val="en-US"/>
        </w:rPr>
        <w:t>applies</w:t>
      </w:r>
      <w:r w:rsidRPr="007D770B">
        <w:rPr>
          <w:rFonts w:ascii="Times New Roman" w:hAnsi="Times New Roman"/>
          <w:lang w:val="en-US"/>
        </w:rPr>
        <w:t xml:space="preserve"> the fair value measurement exception in this section. This exception allows the </w:t>
      </w:r>
      <w:r w:rsidR="00C04E96" w:rsidRPr="007D770B">
        <w:rPr>
          <w:rFonts w:ascii="Times New Roman" w:hAnsi="Times New Roman"/>
          <w:lang w:val="en-US"/>
        </w:rPr>
        <w:t>Bank</w:t>
      </w:r>
      <w:r w:rsidRPr="007D770B">
        <w:rPr>
          <w:rFonts w:ascii="Times New Roman" w:hAnsi="Times New Roman"/>
          <w:lang w:val="en-US"/>
        </w:rPr>
        <w:t xml:space="preserve"> to measure the fair value of a group of financial assets and financial liabilities based on the price that would be received to sell a net long position (i.e. an asset) for a specific risk exposure or transferred a net short position (i.e. a liability) for a specific risk exposure in an arm's length transaction between market participants at the measurement date under current market conditions. Accordingly, the </w:t>
      </w:r>
      <w:r w:rsidR="00F9744B" w:rsidRPr="007D770B">
        <w:rPr>
          <w:rFonts w:ascii="Times New Roman" w:hAnsi="Times New Roman"/>
          <w:lang w:val="en-US"/>
        </w:rPr>
        <w:t xml:space="preserve">Bank </w:t>
      </w:r>
      <w:r w:rsidR="00572DED" w:rsidRPr="007D770B">
        <w:rPr>
          <w:rFonts w:ascii="Times New Roman" w:hAnsi="Times New Roman"/>
          <w:lang w:val="en-US"/>
        </w:rPr>
        <w:t xml:space="preserve">should </w:t>
      </w:r>
      <w:r w:rsidRPr="007D770B">
        <w:rPr>
          <w:rFonts w:ascii="Times New Roman" w:hAnsi="Times New Roman"/>
          <w:lang w:val="en-US"/>
        </w:rPr>
        <w:t>measure fair value in a manner similar to how market participants would measure net exposure at the measurement date.</w:t>
      </w:r>
    </w:p>
    <w:p w14:paraId="3F5733DF"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 xml:space="preserve">The </w:t>
      </w:r>
      <w:r w:rsidR="00F9744B" w:rsidRPr="007D770B">
        <w:rPr>
          <w:rFonts w:ascii="Times New Roman" w:hAnsi="Times New Roman"/>
          <w:lang w:val="en-US"/>
        </w:rPr>
        <w:t xml:space="preserve">Bank </w:t>
      </w:r>
      <w:r w:rsidRPr="007D770B">
        <w:rPr>
          <w:rFonts w:ascii="Times New Roman" w:hAnsi="Times New Roman"/>
          <w:lang w:val="en-US"/>
        </w:rPr>
        <w:t xml:space="preserve">shall be entitled to utilize the exception provided for in the above paragraph only if the </w:t>
      </w:r>
      <w:r w:rsidR="00F9744B" w:rsidRPr="007D770B">
        <w:rPr>
          <w:rFonts w:ascii="Times New Roman" w:hAnsi="Times New Roman"/>
          <w:lang w:val="en-US"/>
        </w:rPr>
        <w:t xml:space="preserve">Bank </w:t>
      </w:r>
      <w:r w:rsidRPr="007D770B">
        <w:rPr>
          <w:rFonts w:ascii="Times New Roman" w:hAnsi="Times New Roman"/>
          <w:lang w:val="en-US"/>
        </w:rPr>
        <w:t>meets all of the following conditions:</w:t>
      </w:r>
    </w:p>
    <w:p w14:paraId="0F6DCCC1" w14:textId="77777777" w:rsidR="009E2B77" w:rsidRPr="007D770B" w:rsidRDefault="009E2B77" w:rsidP="00AE698A">
      <w:pPr>
        <w:pStyle w:val="aa"/>
        <w:numPr>
          <w:ilvl w:val="0"/>
          <w:numId w:val="135"/>
        </w:numPr>
        <w:autoSpaceDE w:val="0"/>
        <w:autoSpaceDN w:val="0"/>
        <w:adjustRightInd w:val="0"/>
        <w:spacing w:before="240" w:line="240" w:lineRule="auto"/>
        <w:contextualSpacing w:val="0"/>
        <w:rPr>
          <w:rFonts w:ascii="Times New Roman" w:hAnsi="Times New Roman"/>
          <w:lang w:val="en-US"/>
        </w:rPr>
      </w:pPr>
      <w:r w:rsidRPr="007D770B">
        <w:rPr>
          <w:rFonts w:ascii="Times New Roman" w:hAnsi="Times New Roman"/>
          <w:lang w:val="en-US"/>
        </w:rPr>
        <w:t xml:space="preserve">manages a group of financial assets and financial liabilities on the basis of the </w:t>
      </w:r>
      <w:r w:rsidR="00F9744B" w:rsidRPr="007D770B">
        <w:rPr>
          <w:rFonts w:ascii="Times New Roman" w:hAnsi="Times New Roman"/>
          <w:lang w:val="en-US"/>
        </w:rPr>
        <w:t xml:space="preserve">Bank's </w:t>
      </w:r>
      <w:r w:rsidRPr="007D770B">
        <w:rPr>
          <w:rFonts w:ascii="Times New Roman" w:hAnsi="Times New Roman"/>
          <w:lang w:val="en-US"/>
        </w:rPr>
        <w:t>net exposure to a particular market risk (or risks) or the credit risk of a particular counterparty in accordance with a formal risk management or investment strategy;</w:t>
      </w:r>
    </w:p>
    <w:p w14:paraId="0254BA52" w14:textId="77777777" w:rsidR="009E2B77" w:rsidRPr="007D770B" w:rsidRDefault="009E2B77" w:rsidP="00AE698A">
      <w:pPr>
        <w:pStyle w:val="aa"/>
        <w:numPr>
          <w:ilvl w:val="0"/>
          <w:numId w:val="135"/>
        </w:numPr>
        <w:autoSpaceDE w:val="0"/>
        <w:autoSpaceDN w:val="0"/>
        <w:adjustRightInd w:val="0"/>
        <w:spacing w:before="240" w:line="240" w:lineRule="auto"/>
        <w:contextualSpacing w:val="0"/>
        <w:rPr>
          <w:rFonts w:ascii="Times New Roman" w:hAnsi="Times New Roman"/>
          <w:lang w:val="en-US"/>
        </w:rPr>
      </w:pPr>
      <w:r w:rsidRPr="007D770B">
        <w:rPr>
          <w:rFonts w:ascii="Times New Roman" w:hAnsi="Times New Roman"/>
          <w:lang w:val="en-US"/>
        </w:rPr>
        <w:t xml:space="preserve">on this basis provides information on a group of financial assets and financial liabilities to the </w:t>
      </w:r>
      <w:r w:rsidR="00F9744B" w:rsidRPr="007D770B">
        <w:rPr>
          <w:rFonts w:ascii="Times New Roman" w:hAnsi="Times New Roman"/>
          <w:lang w:val="en-US"/>
        </w:rPr>
        <w:t xml:space="preserve">Bank's </w:t>
      </w:r>
      <w:r w:rsidRPr="007D770B">
        <w:rPr>
          <w:rFonts w:ascii="Times New Roman" w:hAnsi="Times New Roman"/>
          <w:lang w:val="en-US"/>
        </w:rPr>
        <w:t>senior management; and</w:t>
      </w:r>
    </w:p>
    <w:p w14:paraId="077C83BB" w14:textId="77777777" w:rsidR="009E2B77" w:rsidRPr="007D770B" w:rsidRDefault="009E2B77" w:rsidP="00AE698A">
      <w:pPr>
        <w:pStyle w:val="aa"/>
        <w:numPr>
          <w:ilvl w:val="0"/>
          <w:numId w:val="135"/>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is (or has elected to) carry these financial assets and financial liabilities at fair value in the balance sheet at the end of each reporting period.</w:t>
      </w:r>
    </w:p>
    <w:p w14:paraId="4ED6494B" w14:textId="77777777" w:rsidR="009E2B77" w:rsidRPr="007D770B" w:rsidRDefault="009E2B77" w:rsidP="00F96B17">
      <w:pPr>
        <w:keepLines/>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 xml:space="preserve">The exception provided above is not relevant to the presentation of financial statements. In some cases, the basis of presentation of financial instruments in the balance sheet differs from the basis for measuring financial instruments, for example, if a particular standard does not require or permit presentation of financial instruments on a net basis. In such cases, the </w:t>
      </w:r>
      <w:r w:rsidR="00C04E96" w:rsidRPr="007D770B">
        <w:rPr>
          <w:rFonts w:ascii="Times New Roman" w:hAnsi="Times New Roman"/>
          <w:lang w:val="en-US"/>
        </w:rPr>
        <w:t xml:space="preserve">Bank </w:t>
      </w:r>
      <w:r w:rsidRPr="007D770B">
        <w:rPr>
          <w:rFonts w:ascii="Times New Roman" w:hAnsi="Times New Roman"/>
          <w:lang w:val="en-US"/>
        </w:rPr>
        <w:t xml:space="preserve">may need to allocate portfolio-level adjustments to individual assets or liabilities that are part of a group of financial assets and financial liabilities managed on the basis of the </w:t>
      </w:r>
      <w:r w:rsidR="00F9744B" w:rsidRPr="007D770B">
        <w:rPr>
          <w:rFonts w:ascii="Times New Roman" w:hAnsi="Times New Roman"/>
          <w:lang w:val="en-US"/>
        </w:rPr>
        <w:t xml:space="preserve">Bank's </w:t>
      </w:r>
      <w:r w:rsidRPr="007D770B">
        <w:rPr>
          <w:rFonts w:ascii="Times New Roman" w:hAnsi="Times New Roman"/>
          <w:lang w:val="en-US"/>
        </w:rPr>
        <w:t xml:space="preserve">net . </w:t>
      </w:r>
      <w:r w:rsidR="00572DED" w:rsidRPr="007D770B">
        <w:rPr>
          <w:rFonts w:ascii="Times New Roman" w:hAnsi="Times New Roman"/>
          <w:lang w:val="en-US"/>
        </w:rPr>
        <w:t xml:space="preserve">The </w:t>
      </w:r>
      <w:r w:rsidR="00F9744B" w:rsidRPr="007D770B">
        <w:rPr>
          <w:rFonts w:ascii="Times New Roman" w:hAnsi="Times New Roman"/>
          <w:lang w:val="en-US"/>
        </w:rPr>
        <w:t xml:space="preserve">Bank </w:t>
      </w:r>
      <w:r w:rsidR="00572DED" w:rsidRPr="007D770B">
        <w:rPr>
          <w:rFonts w:ascii="Times New Roman" w:hAnsi="Times New Roman"/>
          <w:lang w:val="en-US"/>
        </w:rPr>
        <w:t xml:space="preserve">should </w:t>
      </w:r>
      <w:r w:rsidRPr="007D770B">
        <w:rPr>
          <w:rFonts w:ascii="Times New Roman" w:hAnsi="Times New Roman"/>
          <w:lang w:val="en-US"/>
        </w:rPr>
        <w:t>make such allocations on a rational and consistent basis using a methodology that is appropriate in the circumstances.</w:t>
      </w:r>
    </w:p>
    <w:p w14:paraId="0DC6A119" w14:textId="398DF1DB" w:rsidR="009E2B77" w:rsidRPr="007D770B" w:rsidRDefault="00F9744B"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 xml:space="preserve">A bank </w:t>
      </w:r>
      <w:r w:rsidR="00572DED" w:rsidRPr="007D770B">
        <w:rPr>
          <w:rFonts w:ascii="Times New Roman" w:hAnsi="Times New Roman"/>
          <w:lang w:val="en-US"/>
        </w:rPr>
        <w:t xml:space="preserve">must </w:t>
      </w:r>
      <w:r w:rsidR="009E2B77" w:rsidRPr="007D770B">
        <w:rPr>
          <w:rFonts w:ascii="Times New Roman" w:hAnsi="Times New Roman"/>
          <w:lang w:val="en-US"/>
        </w:rPr>
        <w:t>make an accounting policy election, in accordance with Section 2, Changes in Accounting Policies, Estimates and Errors (IAS 8)</w:t>
      </w:r>
      <w:r w:rsidR="00802136" w:rsidRPr="007D770B">
        <w:rPr>
          <w:rFonts w:ascii="Times New Roman" w:hAnsi="Times New Roman"/>
          <w:lang w:val="en-US"/>
        </w:rPr>
        <w:t xml:space="preserve">, </w:t>
      </w:r>
      <w:r w:rsidR="009E2B77" w:rsidRPr="007D770B">
        <w:rPr>
          <w:rFonts w:ascii="Times New Roman" w:hAnsi="Times New Roman"/>
          <w:lang w:val="en-US"/>
        </w:rPr>
        <w:t xml:space="preserve">of Chapter 1, to utilize the exception above. When using the exception, the </w:t>
      </w:r>
      <w:r w:rsidR="00C04E96" w:rsidRPr="007D770B">
        <w:rPr>
          <w:rFonts w:ascii="Times New Roman" w:hAnsi="Times New Roman"/>
          <w:lang w:val="en-US"/>
        </w:rPr>
        <w:t xml:space="preserve">Bank </w:t>
      </w:r>
      <w:r w:rsidR="009E2B77" w:rsidRPr="007D770B">
        <w:rPr>
          <w:rFonts w:ascii="Times New Roman" w:hAnsi="Times New Roman"/>
          <w:lang w:val="en-US"/>
        </w:rPr>
        <w:t>must apply that accounting policy consistently from period to period, including its policy for allocating supply and demand adjustments and credit risk adjustments, as appropriate, to a particular portfolio.</w:t>
      </w:r>
    </w:p>
    <w:p w14:paraId="181F04FD" w14:textId="0B9CDC6E"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 xml:space="preserve">The exemption provided above applies only to financial assets and financial liabilities within the scope of Chapter 2, Section 3, Financial Assets and Liabilities (IAS 32, </w:t>
      </w:r>
      <w:r w:rsidR="00F931DC" w:rsidRPr="007D770B">
        <w:rPr>
          <w:rFonts w:ascii="Times New Roman" w:hAnsi="Times New Roman"/>
          <w:lang w:val="en-US"/>
        </w:rPr>
        <w:t>IFRS 9</w:t>
      </w:r>
      <w:r w:rsidRPr="007D770B">
        <w:rPr>
          <w:rFonts w:ascii="Times New Roman" w:hAnsi="Times New Roman"/>
          <w:lang w:val="en-US"/>
        </w:rPr>
        <w:t>, IFRS 7)</w:t>
      </w:r>
      <w:r w:rsidR="00802136" w:rsidRPr="007D770B">
        <w:rPr>
          <w:rFonts w:ascii="Times New Roman" w:hAnsi="Times New Roman"/>
          <w:lang w:val="en-US"/>
        </w:rPr>
        <w:t>.</w:t>
      </w:r>
    </w:p>
    <w:p w14:paraId="790F2DA1" w14:textId="77777777" w:rsidR="009E2B77" w:rsidRPr="007D770B" w:rsidRDefault="009E2B77" w:rsidP="00036C6D">
      <w:pPr>
        <w:keepNext/>
        <w:autoSpaceDE w:val="0"/>
        <w:autoSpaceDN w:val="0"/>
        <w:adjustRightInd w:val="0"/>
        <w:spacing w:before="240" w:line="240" w:lineRule="auto"/>
        <w:ind w:left="0"/>
        <w:rPr>
          <w:rFonts w:ascii="Times New Roman" w:hAnsi="Times New Roman"/>
          <w:b/>
          <w:i/>
          <w:lang w:val="en-US"/>
        </w:rPr>
      </w:pPr>
      <w:r w:rsidRPr="007D770B">
        <w:rPr>
          <w:rFonts w:ascii="Times New Roman" w:hAnsi="Times New Roman"/>
          <w:b/>
          <w:i/>
          <w:lang w:val="en-US"/>
        </w:rPr>
        <w:t>Exposure to market risks</w:t>
      </w:r>
    </w:p>
    <w:p w14:paraId="565683E1"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 xml:space="preserve">If the exception provided above is used to measure the fair value of a group of financial assets and financial liabilities that are managed on the basis of the </w:t>
      </w:r>
      <w:r w:rsidR="00F9744B" w:rsidRPr="007D770B">
        <w:rPr>
          <w:rFonts w:ascii="Times New Roman" w:hAnsi="Times New Roman"/>
          <w:lang w:val="en-US"/>
        </w:rPr>
        <w:t xml:space="preserve">Bank's </w:t>
      </w:r>
      <w:r w:rsidRPr="007D770B">
        <w:rPr>
          <w:rFonts w:ascii="Times New Roman" w:hAnsi="Times New Roman"/>
          <w:lang w:val="en-US"/>
        </w:rPr>
        <w:t xml:space="preserve">net exposure to a particular market risk (or risks), the </w:t>
      </w:r>
      <w:r w:rsidR="00F9744B" w:rsidRPr="007D770B">
        <w:rPr>
          <w:rFonts w:ascii="Times New Roman" w:hAnsi="Times New Roman"/>
          <w:lang w:val="en-US"/>
        </w:rPr>
        <w:t xml:space="preserve">Bank </w:t>
      </w:r>
      <w:r w:rsidR="00572DED" w:rsidRPr="007D770B">
        <w:rPr>
          <w:rFonts w:ascii="Times New Roman" w:hAnsi="Times New Roman"/>
          <w:lang w:val="en-US"/>
        </w:rPr>
        <w:t xml:space="preserve">is required to </w:t>
      </w:r>
      <w:r w:rsidRPr="007D770B">
        <w:rPr>
          <w:rFonts w:ascii="Times New Roman" w:hAnsi="Times New Roman"/>
          <w:lang w:val="en-US"/>
        </w:rPr>
        <w:t xml:space="preserve">apply a price within a bid-ask spread that is most representative of fair value in the circumstances to the </w:t>
      </w:r>
      <w:r w:rsidR="00F9744B" w:rsidRPr="007D770B">
        <w:rPr>
          <w:rFonts w:ascii="Times New Roman" w:hAnsi="Times New Roman"/>
          <w:lang w:val="en-US"/>
        </w:rPr>
        <w:t xml:space="preserve">Bank's </w:t>
      </w:r>
      <w:r w:rsidRPr="007D770B">
        <w:rPr>
          <w:rFonts w:ascii="Times New Roman" w:hAnsi="Times New Roman"/>
          <w:lang w:val="en-US"/>
        </w:rPr>
        <w:t>net exposure to those market risks.</w:t>
      </w:r>
    </w:p>
    <w:p w14:paraId="500E3B75"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 xml:space="preserve">Where the above exception is used, the </w:t>
      </w:r>
      <w:r w:rsidR="00F9744B" w:rsidRPr="007D770B">
        <w:rPr>
          <w:rFonts w:ascii="Times New Roman" w:hAnsi="Times New Roman"/>
          <w:lang w:val="en-US"/>
        </w:rPr>
        <w:t xml:space="preserve">Bank </w:t>
      </w:r>
      <w:r w:rsidR="00572DED" w:rsidRPr="007D770B">
        <w:rPr>
          <w:rFonts w:ascii="Times New Roman" w:hAnsi="Times New Roman"/>
          <w:lang w:val="en-US"/>
        </w:rPr>
        <w:t xml:space="preserve">must </w:t>
      </w:r>
      <w:r w:rsidRPr="007D770B">
        <w:rPr>
          <w:rFonts w:ascii="Times New Roman" w:hAnsi="Times New Roman"/>
          <w:lang w:val="en-US"/>
        </w:rPr>
        <w:t xml:space="preserve">ensure that the market risk (or risks) to which the </w:t>
      </w:r>
      <w:r w:rsidR="00F9744B" w:rsidRPr="007D770B">
        <w:rPr>
          <w:rFonts w:ascii="Times New Roman" w:hAnsi="Times New Roman"/>
          <w:lang w:val="en-US"/>
        </w:rPr>
        <w:t xml:space="preserve">Bank is </w:t>
      </w:r>
      <w:r w:rsidRPr="007D770B">
        <w:rPr>
          <w:rFonts w:ascii="Times New Roman" w:hAnsi="Times New Roman"/>
          <w:lang w:val="en-US"/>
        </w:rPr>
        <w:t xml:space="preserve">exposed within a given group of financial assets and financial liabilities is substantially the same. For example, the </w:t>
      </w:r>
      <w:r w:rsidR="00F9744B" w:rsidRPr="007D770B">
        <w:rPr>
          <w:rFonts w:ascii="Times New Roman" w:hAnsi="Times New Roman"/>
          <w:lang w:val="en-US"/>
        </w:rPr>
        <w:t xml:space="preserve">Bank </w:t>
      </w:r>
      <w:r w:rsidRPr="007D770B">
        <w:rPr>
          <w:rFonts w:ascii="Times New Roman" w:hAnsi="Times New Roman"/>
          <w:lang w:val="en-US"/>
        </w:rPr>
        <w:t xml:space="preserve">would not combine interest rate risk associated with a financial asset with commodity price risk associated with a financial liability because this would not reduce the </w:t>
      </w:r>
      <w:r w:rsidR="00F9744B" w:rsidRPr="007D770B">
        <w:rPr>
          <w:rFonts w:ascii="Times New Roman" w:hAnsi="Times New Roman"/>
          <w:lang w:val="en-US"/>
        </w:rPr>
        <w:t xml:space="preserve">Bank's </w:t>
      </w:r>
      <w:r w:rsidRPr="007D770B">
        <w:rPr>
          <w:rFonts w:ascii="Times New Roman" w:hAnsi="Times New Roman"/>
          <w:lang w:val="en-US"/>
        </w:rPr>
        <w:t>exposure to interest rate risk or commodity price risk. If the above exception is used, any basis risk arising from non-identical market risk parameters must be taken into account when measuring the fair value of financial assets and financial liabilities within a group.</w:t>
      </w:r>
    </w:p>
    <w:p w14:paraId="4D0BE6D9" w14:textId="77777777" w:rsidR="009E2B77" w:rsidRPr="007D770B" w:rsidRDefault="009E2B77" w:rsidP="00F96B17">
      <w:pPr>
        <w:autoSpaceDE w:val="0"/>
        <w:autoSpaceDN w:val="0"/>
        <w:adjustRightInd w:val="0"/>
        <w:spacing w:before="240" w:line="240" w:lineRule="auto"/>
        <w:ind w:left="0"/>
        <w:rPr>
          <w:rFonts w:ascii="Times New Roman" w:hAnsi="Times New Roman"/>
          <w:b/>
          <w:i/>
          <w:lang w:val="en-US"/>
        </w:rPr>
      </w:pPr>
      <w:r w:rsidRPr="007D770B">
        <w:rPr>
          <w:rFonts w:ascii="Times New Roman" w:hAnsi="Times New Roman"/>
          <w:b/>
          <w:i/>
          <w:lang w:val="en-US"/>
        </w:rPr>
        <w:t>Exposure to credit risk of a particular counterparty</w:t>
      </w:r>
    </w:p>
    <w:p w14:paraId="5CA3E986"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 xml:space="preserve">If the exception provided above is used to measure the fair value of a group of financial assets and financial liabilities accepted in transactions with a particular counterparty, the </w:t>
      </w:r>
      <w:r w:rsidR="00F9744B" w:rsidRPr="007D770B">
        <w:rPr>
          <w:rFonts w:ascii="Times New Roman" w:hAnsi="Times New Roman"/>
          <w:lang w:val="en-US"/>
        </w:rPr>
        <w:t xml:space="preserve">Bank </w:t>
      </w:r>
      <w:r w:rsidR="00572DED" w:rsidRPr="007D770B">
        <w:rPr>
          <w:rFonts w:ascii="Times New Roman" w:hAnsi="Times New Roman"/>
          <w:lang w:val="en-US"/>
        </w:rPr>
        <w:t xml:space="preserve">should </w:t>
      </w:r>
      <w:r w:rsidRPr="007D770B">
        <w:rPr>
          <w:rFonts w:ascii="Times New Roman" w:hAnsi="Times New Roman"/>
          <w:lang w:val="en-US"/>
        </w:rPr>
        <w:t xml:space="preserve">include the effect of the Bank's net exposure to the credit risk of that counterparty or the counterparty's net exposure to the credit risk of </w:t>
      </w:r>
      <w:r w:rsidR="00F9744B" w:rsidRPr="007D770B">
        <w:rPr>
          <w:rFonts w:ascii="Times New Roman" w:hAnsi="Times New Roman"/>
          <w:lang w:val="en-US"/>
        </w:rPr>
        <w:t xml:space="preserve">the Bank </w:t>
      </w:r>
      <w:r w:rsidRPr="007D770B">
        <w:rPr>
          <w:rFonts w:ascii="Times New Roman" w:hAnsi="Times New Roman"/>
          <w:lang w:val="en-US"/>
        </w:rPr>
        <w:t xml:space="preserve">in the fair value measurement if market participants would take into account any existing arrangements that reduce the exposure to credit risk in the event of default </w:t>
      </w:r>
      <w:r w:rsidRPr="007D770B">
        <w:rPr>
          <w:rFonts w:ascii="Times New Roman" w:hAnsi="Times New Roman"/>
          <w:lang w:val="en-US"/>
        </w:rPr>
        <w:lastRenderedPageBreak/>
        <w:t>(e.g., a master netting agreement). The fair value measurement should reflect market participants' expectations of the likelihood that such an arrangement would be enforceable in the event of default.</w:t>
      </w:r>
    </w:p>
    <w:p w14:paraId="710AFC83" w14:textId="0CB9934C" w:rsidR="009E2B77" w:rsidRPr="007D770B" w:rsidRDefault="00CD25B1" w:rsidP="00E61D21">
      <w:pPr>
        <w:pStyle w:val="3"/>
        <w:rPr>
          <w:lang w:val="en-US"/>
        </w:rPr>
      </w:pPr>
      <w:bookmarkStart w:id="432" w:name="_Toc378283547"/>
      <w:bookmarkStart w:id="433" w:name="_Toc168502137"/>
      <w:r w:rsidRPr="007D770B">
        <w:rPr>
          <w:lang w:val="en-US"/>
        </w:rPr>
        <w:t>5</w:t>
      </w:r>
      <w:r w:rsidR="00E36D96" w:rsidRPr="007D770B">
        <w:rPr>
          <w:lang w:val="en-US"/>
        </w:rPr>
        <w:t xml:space="preserve">.7 </w:t>
      </w:r>
      <w:r w:rsidR="009E2B77" w:rsidRPr="007D770B">
        <w:rPr>
          <w:lang w:val="en-US"/>
        </w:rPr>
        <w:t>Fair value at initial recognition</w:t>
      </w:r>
      <w:bookmarkEnd w:id="432"/>
      <w:bookmarkEnd w:id="433"/>
    </w:p>
    <w:p w14:paraId="4D861271"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If an asset is acquired or a liability assumed in an exchange transaction for that asset or liability, the transaction price is the price paid to acquire the asset or received for assuming the liability (</w:t>
      </w:r>
      <w:r w:rsidRPr="007D770B">
        <w:rPr>
          <w:rFonts w:ascii="Times New Roman" w:hAnsi="Times New Roman"/>
          <w:i/>
          <w:iCs/>
          <w:lang w:val="en-US"/>
        </w:rPr>
        <w:t>input price</w:t>
      </w:r>
      <w:r w:rsidRPr="007D770B">
        <w:rPr>
          <w:rFonts w:ascii="Times New Roman" w:hAnsi="Times New Roman"/>
          <w:lang w:val="en-US"/>
        </w:rPr>
        <w:t>). In contrast, the fair value of an asset or liability is the price that would be received to sell the asset or paid to transfer the liability (exit price).</w:t>
      </w:r>
    </w:p>
    <w:p w14:paraId="2B7E65C6" w14:textId="77777777" w:rsidR="009E2B77" w:rsidRPr="007D770B" w:rsidRDefault="00A8040F"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 xml:space="preserve">Market participants </w:t>
      </w:r>
      <w:r w:rsidR="009E2B77" w:rsidRPr="007D770B">
        <w:rPr>
          <w:rFonts w:ascii="Times New Roman" w:hAnsi="Times New Roman"/>
          <w:lang w:val="en-US"/>
        </w:rPr>
        <w:t xml:space="preserve">do not always sell assets at the prices paid to acquire them. Similarly, </w:t>
      </w:r>
      <w:r w:rsidR="00B05A46" w:rsidRPr="007D770B">
        <w:rPr>
          <w:rFonts w:ascii="Times New Roman" w:hAnsi="Times New Roman"/>
          <w:lang w:val="en-US"/>
        </w:rPr>
        <w:t xml:space="preserve">organizations </w:t>
      </w:r>
      <w:r w:rsidR="009E2B77" w:rsidRPr="007D770B">
        <w:rPr>
          <w:rFonts w:ascii="Times New Roman" w:hAnsi="Times New Roman"/>
          <w:lang w:val="en-US"/>
        </w:rPr>
        <w:t>do not always transfer liabilities at the prices received for their assumption. In many cases, the transaction price will equal fair value (e.g., this may be the case when, at the transaction date, there is a transaction to purchase an asset in the market in which the asset would have been sold).</w:t>
      </w:r>
    </w:p>
    <w:p w14:paraId="2B1325E9"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 xml:space="preserve">In determining whether the fair value at initial recognition equals the transaction price, the </w:t>
      </w:r>
      <w:r w:rsidR="00F9744B" w:rsidRPr="007D770B">
        <w:rPr>
          <w:rFonts w:ascii="Times New Roman" w:hAnsi="Times New Roman"/>
          <w:lang w:val="en-US"/>
        </w:rPr>
        <w:t xml:space="preserve">Bank </w:t>
      </w:r>
      <w:r w:rsidR="00572DED" w:rsidRPr="007D770B">
        <w:rPr>
          <w:rFonts w:ascii="Times New Roman" w:hAnsi="Times New Roman"/>
          <w:lang w:val="en-US"/>
        </w:rPr>
        <w:t xml:space="preserve">shall </w:t>
      </w:r>
      <w:r w:rsidRPr="007D770B">
        <w:rPr>
          <w:rFonts w:ascii="Times New Roman" w:hAnsi="Times New Roman"/>
          <w:lang w:val="en-US"/>
        </w:rPr>
        <w:t xml:space="preserve">take into account factors specific to the transaction and to the asset or liability. </w:t>
      </w:r>
    </w:p>
    <w:p w14:paraId="18A23257"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 xml:space="preserve">If any other section of these accounting policies requires or permits the </w:t>
      </w:r>
      <w:r w:rsidR="00C04E96" w:rsidRPr="007D770B">
        <w:rPr>
          <w:rFonts w:ascii="Times New Roman" w:hAnsi="Times New Roman"/>
          <w:lang w:val="en-US"/>
        </w:rPr>
        <w:t xml:space="preserve">Bank </w:t>
      </w:r>
      <w:r w:rsidRPr="007D770B">
        <w:rPr>
          <w:rFonts w:ascii="Times New Roman" w:hAnsi="Times New Roman"/>
          <w:lang w:val="en-US"/>
        </w:rPr>
        <w:t xml:space="preserve">to measure an asset or liability on initial recognition at fair value and the transaction price differs from fair value, the </w:t>
      </w:r>
      <w:r w:rsidR="00F9744B" w:rsidRPr="007D770B">
        <w:rPr>
          <w:rFonts w:ascii="Times New Roman" w:hAnsi="Times New Roman"/>
          <w:lang w:val="en-US"/>
        </w:rPr>
        <w:t xml:space="preserve">Bank </w:t>
      </w:r>
      <w:r w:rsidR="00572DED" w:rsidRPr="007D770B">
        <w:rPr>
          <w:rFonts w:ascii="Times New Roman" w:hAnsi="Times New Roman"/>
          <w:lang w:val="en-US"/>
        </w:rPr>
        <w:t xml:space="preserve">shall </w:t>
      </w:r>
      <w:r w:rsidRPr="007D770B">
        <w:rPr>
          <w:rFonts w:ascii="Times New Roman" w:hAnsi="Times New Roman"/>
          <w:lang w:val="en-US"/>
        </w:rPr>
        <w:t>recognize the resulting gain or loss in profit or loss, unless that section provides otherwise.</w:t>
      </w:r>
    </w:p>
    <w:p w14:paraId="2171ED27" w14:textId="302F93C4" w:rsidR="009E2B77" w:rsidRPr="007D770B" w:rsidRDefault="00CD25B1" w:rsidP="00E61D21">
      <w:pPr>
        <w:pStyle w:val="3"/>
        <w:rPr>
          <w:lang w:val="en-US"/>
        </w:rPr>
      </w:pPr>
      <w:bookmarkStart w:id="434" w:name="_Toc378283548"/>
      <w:bookmarkStart w:id="435" w:name="_Toc168502138"/>
      <w:r w:rsidRPr="007D770B">
        <w:rPr>
          <w:lang w:val="en-US"/>
        </w:rPr>
        <w:t>5</w:t>
      </w:r>
      <w:r w:rsidR="006106B9" w:rsidRPr="007D770B">
        <w:rPr>
          <w:lang w:val="en-US"/>
        </w:rPr>
        <w:t xml:space="preserve">.8 </w:t>
      </w:r>
      <w:r w:rsidR="009E2B77" w:rsidRPr="007D770B">
        <w:rPr>
          <w:lang w:val="en-US"/>
        </w:rPr>
        <w:t>Evaluation methods</w:t>
      </w:r>
      <w:bookmarkEnd w:id="434"/>
      <w:bookmarkEnd w:id="435"/>
    </w:p>
    <w:p w14:paraId="2AA3B7D4" w14:textId="77777777" w:rsidR="009E2B77" w:rsidRPr="007D770B" w:rsidRDefault="00572DED" w:rsidP="00F96B17">
      <w:pPr>
        <w:autoSpaceDE w:val="0"/>
        <w:autoSpaceDN w:val="0"/>
        <w:adjustRightInd w:val="0"/>
        <w:spacing w:before="240" w:line="240" w:lineRule="auto"/>
        <w:ind w:left="0"/>
        <w:rPr>
          <w:rFonts w:ascii="Times New Roman" w:hAnsi="Times New Roman"/>
          <w:bCs/>
          <w:lang w:val="en-US"/>
        </w:rPr>
      </w:pPr>
      <w:r w:rsidRPr="007D770B">
        <w:rPr>
          <w:rFonts w:ascii="Times New Roman" w:hAnsi="Times New Roman"/>
          <w:bCs/>
          <w:lang w:val="en-US"/>
        </w:rPr>
        <w:t xml:space="preserve">The </w:t>
      </w:r>
      <w:r w:rsidR="00F9744B" w:rsidRPr="007D770B">
        <w:rPr>
          <w:rFonts w:ascii="Times New Roman" w:hAnsi="Times New Roman"/>
          <w:bCs/>
          <w:lang w:val="en-US"/>
        </w:rPr>
        <w:t xml:space="preserve">Bank </w:t>
      </w:r>
      <w:r w:rsidRPr="007D770B">
        <w:rPr>
          <w:rFonts w:ascii="Times New Roman" w:hAnsi="Times New Roman"/>
          <w:bCs/>
          <w:lang w:val="en-US"/>
        </w:rPr>
        <w:t xml:space="preserve">is required to </w:t>
      </w:r>
      <w:r w:rsidR="009E2B77" w:rsidRPr="007D770B">
        <w:rPr>
          <w:rFonts w:ascii="Times New Roman" w:hAnsi="Times New Roman"/>
          <w:bCs/>
          <w:lang w:val="en-US"/>
        </w:rPr>
        <w:t>use valuation techniques that are appropriate in the circumstances and for which sufficient data are available to measure fair value, maximizing the use of relevant observable inputs and minimizing the use of unobservable inputs</w:t>
      </w:r>
      <w:r w:rsidR="002E4AA9" w:rsidRPr="007D770B">
        <w:rPr>
          <w:rFonts w:ascii="Times New Roman" w:hAnsi="Times New Roman"/>
          <w:bCs/>
          <w:lang w:val="en-US"/>
        </w:rPr>
        <w:t xml:space="preserve">, generally the </w:t>
      </w:r>
      <w:r w:rsidR="00A8040F" w:rsidRPr="007D770B">
        <w:rPr>
          <w:rFonts w:ascii="Times New Roman" w:hAnsi="Times New Roman"/>
          <w:bCs/>
          <w:lang w:val="en-US"/>
        </w:rPr>
        <w:t xml:space="preserve">following three </w:t>
      </w:r>
      <w:r w:rsidR="00263FE6" w:rsidRPr="007D770B">
        <w:rPr>
          <w:rFonts w:ascii="Times New Roman" w:hAnsi="Times New Roman"/>
          <w:bCs/>
          <w:lang w:val="en-US"/>
        </w:rPr>
        <w:t xml:space="preserve">techniques are </w:t>
      </w:r>
      <w:r w:rsidR="002E4AA9" w:rsidRPr="007D770B">
        <w:rPr>
          <w:rFonts w:ascii="Times New Roman" w:hAnsi="Times New Roman"/>
          <w:bCs/>
          <w:lang w:val="en-US"/>
        </w:rPr>
        <w:t>used</w:t>
      </w:r>
      <w:r w:rsidR="00A8040F" w:rsidRPr="007D770B">
        <w:rPr>
          <w:rFonts w:ascii="Times New Roman" w:hAnsi="Times New Roman"/>
          <w:bCs/>
          <w:lang w:val="en-US"/>
        </w:rPr>
        <w:t>:</w:t>
      </w:r>
    </w:p>
    <w:p w14:paraId="65CFFE81" w14:textId="77777777" w:rsidR="004A6099" w:rsidRDefault="00BD6A60" w:rsidP="00D5475B">
      <w:pPr>
        <w:autoSpaceDE w:val="0"/>
        <w:autoSpaceDN w:val="0"/>
        <w:adjustRightInd w:val="0"/>
        <w:spacing w:before="360" w:after="0" w:line="240" w:lineRule="auto"/>
        <w:ind w:left="0"/>
        <w:rPr>
          <w:rFonts w:ascii="Times New Roman" w:hAnsi="Times New Roman"/>
          <w:bCs/>
        </w:rPr>
      </w:pPr>
      <w:r>
        <w:rPr>
          <w:rFonts w:ascii="Times New Roman" w:hAnsi="Times New Roman"/>
          <w:bCs/>
          <w:noProof/>
          <w:lang w:eastAsia="ru-RU"/>
        </w:rPr>
        <mc:AlternateContent>
          <mc:Choice Requires="wpg">
            <w:drawing>
              <wp:inline distT="0" distB="0" distL="0" distR="0" wp14:anchorId="2D2165A9" wp14:editId="7545D517">
                <wp:extent cx="6422390" cy="4535170"/>
                <wp:effectExtent l="9525" t="9525" r="6985" b="8255"/>
                <wp:docPr id="1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2390" cy="4535170"/>
                          <a:chOff x="0" y="0"/>
                          <a:chExt cx="6422390" cy="4535424"/>
                        </a:xfrm>
                      </wpg:grpSpPr>
                      <wps:wsp>
                        <wps:cNvPr id="16" name="Straight Connector 13"/>
                        <wps:cNvCnPr>
                          <a:cxnSpLocks noChangeShapeType="1"/>
                        </wps:cNvCnPr>
                        <wps:spPr bwMode="auto">
                          <a:xfrm>
                            <a:off x="987552" y="2692039"/>
                            <a:ext cx="0" cy="204927"/>
                          </a:xfrm>
                          <a:prstGeom prst="line">
                            <a:avLst/>
                          </a:pr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g:grpSp>
                        <wpg:cNvPr id="17" name="Group 11"/>
                        <wpg:cNvGrpSpPr>
                          <a:grpSpLocks/>
                        </wpg:cNvGrpSpPr>
                        <wpg:grpSpPr bwMode="auto">
                          <a:xfrm>
                            <a:off x="0" y="0"/>
                            <a:ext cx="6422390" cy="4535424"/>
                            <a:chOff x="0" y="0"/>
                            <a:chExt cx="6422390" cy="4535424"/>
                          </a:xfrm>
                        </wpg:grpSpPr>
                        <wps:wsp>
                          <wps:cNvPr id="18" name="Text Box 1"/>
                          <wps:cNvSpPr txBox="1">
                            <a:spLocks noChangeArrowheads="1"/>
                          </wps:cNvSpPr>
                          <wps:spPr bwMode="auto">
                            <a:xfrm>
                              <a:off x="2194560" y="0"/>
                              <a:ext cx="2025650" cy="306705"/>
                            </a:xfrm>
                            <a:prstGeom prst="rect">
                              <a:avLst/>
                            </a:prstGeom>
                            <a:solidFill>
                              <a:srgbClr val="FFFFFF"/>
                            </a:solidFill>
                            <a:ln w="6350">
                              <a:solidFill>
                                <a:srgbClr val="000000"/>
                              </a:solidFill>
                              <a:miter lim="800000"/>
                              <a:headEnd/>
                              <a:tailEnd/>
                            </a:ln>
                          </wps:spPr>
                          <wps:txbx>
                            <w:txbxContent>
                              <w:p w14:paraId="5431C0FB" w14:textId="77777777" w:rsidR="003A587C" w:rsidRPr="00A00568" w:rsidRDefault="003A587C" w:rsidP="00D5475B">
                                <w:pPr>
                                  <w:spacing w:before="40" w:after="0" w:line="240" w:lineRule="auto"/>
                                  <w:rPr>
                                    <w:rFonts w:ascii="Times New Roman" w:hAnsi="Times New Roman"/>
                                    <w:b/>
                                    <w:szCs w:val="16"/>
                                    <w:lang w:val="en-US"/>
                                  </w:rPr>
                                </w:pPr>
                                <w:r w:rsidRPr="00A00568">
                                  <w:rPr>
                                    <w:rFonts w:ascii="Times New Roman" w:hAnsi="Times New Roman"/>
                                    <w:b/>
                                    <w:szCs w:val="16"/>
                                  </w:rPr>
                                  <w:t xml:space="preserve">Estimation </w:t>
                                </w:r>
                                <w:r w:rsidRPr="00A00568">
                                  <w:rPr>
                                    <w:rFonts w:ascii="Times New Roman" w:hAnsi="Times New Roman"/>
                                    <w:b/>
                                    <w:szCs w:val="16"/>
                                    <w:lang w:val="en-US"/>
                                  </w:rPr>
                                  <w:t>methods*</w:t>
                                </w:r>
                              </w:p>
                            </w:txbxContent>
                          </wps:txbx>
                          <wps:bodyPr rot="0" vert="horz" wrap="square" lIns="91440" tIns="45720" rIns="91440" bIns="45720" anchor="t" anchorCtr="0" upright="1">
                            <a:noAutofit/>
                          </wps:bodyPr>
                        </wps:wsp>
                        <wps:wsp>
                          <wps:cNvPr id="19" name="Text Box 2"/>
                          <wps:cNvSpPr txBox="1">
                            <a:spLocks noChangeArrowheads="1"/>
                          </wps:cNvSpPr>
                          <wps:spPr bwMode="auto">
                            <a:xfrm>
                              <a:off x="0" y="636345"/>
                              <a:ext cx="2033270" cy="680392"/>
                            </a:xfrm>
                            <a:prstGeom prst="rect">
                              <a:avLst/>
                            </a:prstGeom>
                            <a:solidFill>
                              <a:srgbClr val="FFFFFF"/>
                            </a:solidFill>
                            <a:ln w="6350">
                              <a:solidFill>
                                <a:srgbClr val="000000"/>
                              </a:solidFill>
                              <a:miter lim="800000"/>
                              <a:headEnd/>
                              <a:tailEnd/>
                            </a:ln>
                          </wps:spPr>
                          <wps:txbx>
                            <w:txbxContent>
                              <w:p w14:paraId="11902F4D" w14:textId="77777777" w:rsidR="003A587C" w:rsidRPr="00A00568" w:rsidRDefault="003A587C" w:rsidP="00A00568">
                                <w:pPr>
                                  <w:spacing w:before="40" w:after="0" w:line="240" w:lineRule="auto"/>
                                  <w:ind w:left="0"/>
                                  <w:jc w:val="center"/>
                                  <w:rPr>
                                    <w:rFonts w:ascii="Times New Roman" w:hAnsi="Times New Roman"/>
                                  </w:rPr>
                                </w:pPr>
                                <w:r w:rsidRPr="00A00568">
                                  <w:rPr>
                                    <w:rFonts w:ascii="Times New Roman" w:hAnsi="Times New Roman"/>
                                    <w:b/>
                                    <w:i/>
                                  </w:rPr>
                                  <w:t>Market approach</w:t>
                                </w:r>
                              </w:p>
                            </w:txbxContent>
                          </wps:txbx>
                          <wps:bodyPr rot="0" vert="horz" wrap="square" lIns="91440" tIns="45720" rIns="91440" bIns="45720" anchor="t" anchorCtr="0" upright="1">
                            <a:noAutofit/>
                          </wps:bodyPr>
                        </wps:wsp>
                        <wps:wsp>
                          <wps:cNvPr id="20" name="Text Box 3"/>
                          <wps:cNvSpPr txBox="1">
                            <a:spLocks noChangeArrowheads="1"/>
                          </wps:cNvSpPr>
                          <wps:spPr bwMode="auto">
                            <a:xfrm>
                              <a:off x="0" y="1528435"/>
                              <a:ext cx="2033270" cy="1163442"/>
                            </a:xfrm>
                            <a:prstGeom prst="rect">
                              <a:avLst/>
                            </a:prstGeom>
                            <a:solidFill>
                              <a:srgbClr val="FFFFFF"/>
                            </a:solidFill>
                            <a:ln w="6350">
                              <a:solidFill>
                                <a:srgbClr val="000000"/>
                              </a:solidFill>
                              <a:miter lim="800000"/>
                              <a:headEnd/>
                              <a:tailEnd/>
                            </a:ln>
                          </wps:spPr>
                          <wps:txbx>
                            <w:txbxContent>
                              <w:p w14:paraId="58C2AA61" w14:textId="77777777" w:rsidR="003A587C" w:rsidRPr="007D770B" w:rsidRDefault="003A587C" w:rsidP="00D5475B">
                                <w:pPr>
                                  <w:spacing w:before="40" w:after="0" w:line="240" w:lineRule="auto"/>
                                  <w:ind w:left="0"/>
                                  <w:jc w:val="left"/>
                                  <w:rPr>
                                    <w:rFonts w:ascii="Times New Roman" w:hAnsi="Times New Roman"/>
                                    <w:b/>
                                    <w:sz w:val="16"/>
                                    <w:szCs w:val="16"/>
                                    <w:lang w:val="en-US"/>
                                  </w:rPr>
                                </w:pPr>
                                <w:r w:rsidRPr="007D770B">
                                  <w:rPr>
                                    <w:rFonts w:ascii="Times New Roman" w:hAnsi="Times New Roman"/>
                                    <w:b/>
                                    <w:sz w:val="16"/>
                                    <w:szCs w:val="16"/>
                                    <w:lang w:val="en-US"/>
                                  </w:rPr>
                                  <w:t>It is based on the following:</w:t>
                                </w:r>
                              </w:p>
                              <w:p w14:paraId="3F0F411A" w14:textId="77777777" w:rsidR="003A587C" w:rsidRPr="007D770B" w:rsidRDefault="003A587C" w:rsidP="00D5475B">
                                <w:pPr>
                                  <w:spacing w:before="40" w:after="0" w:line="240" w:lineRule="auto"/>
                                  <w:ind w:left="0"/>
                                  <w:jc w:val="left"/>
                                  <w:rPr>
                                    <w:rFonts w:ascii="Times New Roman" w:hAnsi="Times New Roman"/>
                                    <w:sz w:val="16"/>
                                    <w:szCs w:val="16"/>
                                    <w:lang w:val="en-US"/>
                                  </w:rPr>
                                </w:pPr>
                                <w:r w:rsidRPr="007D770B">
                                  <w:rPr>
                                    <w:rFonts w:ascii="Times New Roman" w:hAnsi="Times New Roman"/>
                                    <w:sz w:val="16"/>
                                    <w:szCs w:val="16"/>
                                    <w:lang w:val="en-US"/>
                                  </w:rPr>
                                  <w:t>1. the current price of the asset/liability; or</w:t>
                                </w:r>
                              </w:p>
                              <w:p w14:paraId="47415192" w14:textId="77777777" w:rsidR="003A587C" w:rsidRPr="007D770B" w:rsidRDefault="003A587C" w:rsidP="00D5475B">
                                <w:pPr>
                                  <w:spacing w:before="40" w:after="0" w:line="240" w:lineRule="auto"/>
                                  <w:ind w:left="0"/>
                                  <w:jc w:val="left"/>
                                  <w:rPr>
                                    <w:rFonts w:ascii="Times New Roman" w:hAnsi="Times New Roman"/>
                                    <w:sz w:val="16"/>
                                    <w:szCs w:val="16"/>
                                    <w:lang w:val="en-US"/>
                                  </w:rPr>
                                </w:pPr>
                                <w:r w:rsidRPr="007D770B">
                                  <w:rPr>
                                    <w:rFonts w:ascii="Times New Roman" w:hAnsi="Times New Roman"/>
                                    <w:sz w:val="16"/>
                                    <w:szCs w:val="16"/>
                                    <w:lang w:val="en-US"/>
                                  </w:rPr>
                                  <w:t>2. The value of a recent asset/liability transaction;</w:t>
                                </w:r>
                              </w:p>
                              <w:p w14:paraId="2FE320B0" w14:textId="77777777" w:rsidR="003A587C" w:rsidRPr="007D770B" w:rsidRDefault="003A587C" w:rsidP="00D5475B">
                                <w:pPr>
                                  <w:spacing w:before="40" w:after="0" w:line="240" w:lineRule="auto"/>
                                  <w:ind w:left="0"/>
                                  <w:jc w:val="left"/>
                                  <w:rPr>
                                    <w:rFonts w:ascii="Times New Roman" w:hAnsi="Times New Roman"/>
                                    <w:sz w:val="16"/>
                                    <w:szCs w:val="16"/>
                                    <w:lang w:val="en-US"/>
                                  </w:rPr>
                                </w:pPr>
                                <w:r w:rsidRPr="007D770B">
                                  <w:rPr>
                                    <w:rFonts w:ascii="Times New Roman" w:hAnsi="Times New Roman"/>
                                    <w:sz w:val="16"/>
                                    <w:szCs w:val="16"/>
                                    <w:lang w:val="en-US"/>
                                  </w:rPr>
                                  <w:t>3. Adjustment of the prices specified in paragraphs 1 and 2 for a similar asset/liability.</w:t>
                                </w:r>
                              </w:p>
                            </w:txbxContent>
                          </wps:txbx>
                          <wps:bodyPr rot="0" vert="horz" wrap="square" lIns="91440" tIns="45720" rIns="91440" bIns="45720" anchor="t" anchorCtr="0" upright="1">
                            <a:noAutofit/>
                          </wps:bodyPr>
                        </wps:wsp>
                        <wps:wsp>
                          <wps:cNvPr id="21" name="Text Box 4"/>
                          <wps:cNvSpPr txBox="1">
                            <a:spLocks noChangeArrowheads="1"/>
                          </wps:cNvSpPr>
                          <wps:spPr bwMode="auto">
                            <a:xfrm>
                              <a:off x="4389120" y="629031"/>
                              <a:ext cx="2033270" cy="687382"/>
                            </a:xfrm>
                            <a:prstGeom prst="rect">
                              <a:avLst/>
                            </a:prstGeom>
                            <a:solidFill>
                              <a:srgbClr val="FFFFFF"/>
                            </a:solidFill>
                            <a:ln w="6350">
                              <a:solidFill>
                                <a:srgbClr val="000000"/>
                              </a:solidFill>
                              <a:miter lim="800000"/>
                              <a:headEnd/>
                              <a:tailEnd/>
                            </a:ln>
                          </wps:spPr>
                          <wps:txbx>
                            <w:txbxContent>
                              <w:p w14:paraId="6F174407" w14:textId="77777777" w:rsidR="003A587C" w:rsidRPr="00A00568" w:rsidRDefault="003A587C" w:rsidP="00A00568">
                                <w:pPr>
                                  <w:spacing w:before="40" w:after="0" w:line="240" w:lineRule="auto"/>
                                  <w:ind w:left="0"/>
                                  <w:jc w:val="center"/>
                                  <w:rPr>
                                    <w:rFonts w:ascii="Times New Roman" w:hAnsi="Times New Roman"/>
                                    <w:szCs w:val="16"/>
                                    <w:lang w:val="en-US"/>
                                  </w:rPr>
                                </w:pPr>
                                <w:r w:rsidRPr="00A00568">
                                  <w:rPr>
                                    <w:rFonts w:ascii="Times New Roman" w:hAnsi="Times New Roman"/>
                                    <w:b/>
                                    <w:i/>
                                    <w:szCs w:val="16"/>
                                  </w:rPr>
                                  <w:t>Cost approach</w:t>
                                </w:r>
                              </w:p>
                            </w:txbxContent>
                          </wps:txbx>
                          <wps:bodyPr rot="0" vert="horz" wrap="square" lIns="91440" tIns="45720" rIns="91440" bIns="45720" anchor="t" anchorCtr="0" upright="1">
                            <a:noAutofit/>
                          </wps:bodyPr>
                        </wps:wsp>
                        <wps:wsp>
                          <wps:cNvPr id="22" name="Text Box 5"/>
                          <wps:cNvSpPr txBox="1">
                            <a:spLocks noChangeArrowheads="1"/>
                          </wps:cNvSpPr>
                          <wps:spPr bwMode="auto">
                            <a:xfrm>
                              <a:off x="0" y="2902997"/>
                              <a:ext cx="2033270" cy="1632427"/>
                            </a:xfrm>
                            <a:prstGeom prst="rect">
                              <a:avLst/>
                            </a:prstGeom>
                            <a:solidFill>
                              <a:srgbClr val="FFFFFF"/>
                            </a:solidFill>
                            <a:ln w="6350">
                              <a:solidFill>
                                <a:srgbClr val="000000"/>
                              </a:solidFill>
                              <a:miter lim="800000"/>
                              <a:headEnd/>
                              <a:tailEnd/>
                            </a:ln>
                          </wps:spPr>
                          <wps:txbx>
                            <w:txbxContent>
                              <w:p w14:paraId="2622A0F8" w14:textId="77777777" w:rsidR="003A587C" w:rsidRPr="007D770B" w:rsidRDefault="003A587C" w:rsidP="007033AD">
                                <w:pPr>
                                  <w:spacing w:before="40" w:after="0" w:line="240" w:lineRule="auto"/>
                                  <w:ind w:left="0"/>
                                  <w:jc w:val="left"/>
                                  <w:rPr>
                                    <w:rFonts w:ascii="Times New Roman" w:hAnsi="Times New Roman"/>
                                    <w:b/>
                                    <w:sz w:val="16"/>
                                    <w:szCs w:val="16"/>
                                    <w:lang w:val="en-US"/>
                                  </w:rPr>
                                </w:pPr>
                                <w:r w:rsidRPr="007D770B">
                                  <w:rPr>
                                    <w:rFonts w:ascii="Times New Roman" w:hAnsi="Times New Roman"/>
                                    <w:b/>
                                    <w:sz w:val="16"/>
                                    <w:szCs w:val="16"/>
                                    <w:lang w:val="en-US"/>
                                  </w:rPr>
                                  <w:t>Application Examples:</w:t>
                                </w:r>
                              </w:p>
                              <w:p w14:paraId="1986054A" w14:textId="77777777" w:rsidR="003A587C" w:rsidRPr="007D770B" w:rsidRDefault="003A587C" w:rsidP="007033AD">
                                <w:pPr>
                                  <w:spacing w:before="40" w:after="0" w:line="240" w:lineRule="auto"/>
                                  <w:ind w:left="0"/>
                                  <w:jc w:val="left"/>
                                  <w:rPr>
                                    <w:rFonts w:ascii="Times New Roman" w:hAnsi="Times New Roman"/>
                                    <w:sz w:val="16"/>
                                    <w:szCs w:val="16"/>
                                    <w:lang w:val="en-US"/>
                                  </w:rPr>
                                </w:pPr>
                                <w:r w:rsidRPr="007D770B">
                                  <w:rPr>
                                    <w:rFonts w:ascii="Times New Roman" w:hAnsi="Times New Roman"/>
                                    <w:b/>
                                    <w:sz w:val="16"/>
                                    <w:szCs w:val="16"/>
                                    <w:lang w:val="en-US"/>
                                  </w:rPr>
                                  <w:t xml:space="preserve">Investment property </w:t>
                                </w:r>
                                <w:r w:rsidRPr="007D770B">
                                  <w:rPr>
                                    <w:rFonts w:ascii="Times New Roman" w:hAnsi="Times New Roman"/>
                                    <w:sz w:val="16"/>
                                    <w:szCs w:val="16"/>
                                    <w:lang w:val="en-US"/>
                                  </w:rPr>
                                  <w:t>- sale of similar property, market rents;</w:t>
                                </w:r>
                              </w:p>
                              <w:p w14:paraId="4585AE64" w14:textId="77777777" w:rsidR="003A587C" w:rsidRPr="007D770B" w:rsidRDefault="003A587C" w:rsidP="007033AD">
                                <w:pPr>
                                  <w:spacing w:before="40" w:after="0" w:line="240" w:lineRule="auto"/>
                                  <w:ind w:left="0"/>
                                  <w:jc w:val="left"/>
                                  <w:rPr>
                                    <w:rFonts w:ascii="Times New Roman" w:hAnsi="Times New Roman"/>
                                    <w:sz w:val="16"/>
                                    <w:szCs w:val="16"/>
                                    <w:lang w:val="en-US"/>
                                  </w:rPr>
                                </w:pPr>
                                <w:r w:rsidRPr="007D770B">
                                  <w:rPr>
                                    <w:rFonts w:ascii="Times New Roman" w:hAnsi="Times New Roman"/>
                                    <w:b/>
                                    <w:sz w:val="16"/>
                                    <w:szCs w:val="16"/>
                                    <w:lang w:val="en-US"/>
                                  </w:rPr>
                                  <w:t xml:space="preserve">Obligations or equity instruments listed on the market </w:t>
                                </w:r>
                                <w:r w:rsidRPr="007D770B">
                                  <w:rPr>
                                    <w:rFonts w:ascii="Times New Roman" w:hAnsi="Times New Roman"/>
                                    <w:sz w:val="16"/>
                                    <w:szCs w:val="16"/>
                                    <w:lang w:val="en-US"/>
                                  </w:rPr>
                                  <w:t>- quoted price;</w:t>
                                </w:r>
                              </w:p>
                              <w:p w14:paraId="3480093F" w14:textId="77777777" w:rsidR="003A587C" w:rsidRPr="007D770B" w:rsidRDefault="003A587C" w:rsidP="007033AD">
                                <w:pPr>
                                  <w:spacing w:before="40" w:after="0" w:line="240" w:lineRule="auto"/>
                                  <w:ind w:left="0"/>
                                  <w:jc w:val="left"/>
                                  <w:rPr>
                                    <w:rFonts w:ascii="Times New Roman" w:hAnsi="Times New Roman"/>
                                    <w:sz w:val="16"/>
                                    <w:szCs w:val="16"/>
                                    <w:lang w:val="en-US"/>
                                  </w:rPr>
                                </w:pPr>
                                <w:r w:rsidRPr="007D770B">
                                  <w:rPr>
                                    <w:rFonts w:ascii="Times New Roman" w:hAnsi="Times New Roman"/>
                                    <w:b/>
                                    <w:sz w:val="16"/>
                                    <w:szCs w:val="16"/>
                                    <w:lang w:val="en-US"/>
                                  </w:rPr>
                                  <w:t xml:space="preserve">Unlisted investments </w:t>
                                </w:r>
                                <w:r w:rsidRPr="007D770B">
                                  <w:rPr>
                                    <w:rFonts w:ascii="Times New Roman" w:hAnsi="Times New Roman"/>
                                    <w:sz w:val="16"/>
                                    <w:szCs w:val="16"/>
                                    <w:lang w:val="en-US"/>
                                  </w:rPr>
                                  <w:t>- sales of shares in similar companies, comparison with quoted companies in the same industry.</w:t>
                                </w:r>
                              </w:p>
                            </w:txbxContent>
                          </wps:txbx>
                          <wps:bodyPr rot="0" vert="horz" wrap="square" lIns="91440" tIns="45720" rIns="91440" bIns="45720" anchor="t" anchorCtr="0" upright="1">
                            <a:noAutofit/>
                          </wps:bodyPr>
                        </wps:wsp>
                        <wps:wsp>
                          <wps:cNvPr id="23" name="Text Box 6"/>
                          <wps:cNvSpPr txBox="1">
                            <a:spLocks noChangeArrowheads="1"/>
                          </wps:cNvSpPr>
                          <wps:spPr bwMode="auto">
                            <a:xfrm>
                              <a:off x="4381804" y="1535795"/>
                              <a:ext cx="2033270" cy="812385"/>
                            </a:xfrm>
                            <a:prstGeom prst="rect">
                              <a:avLst/>
                            </a:prstGeom>
                            <a:solidFill>
                              <a:srgbClr val="FFFFFF"/>
                            </a:solidFill>
                            <a:ln w="6350">
                              <a:solidFill>
                                <a:srgbClr val="000000"/>
                              </a:solidFill>
                              <a:miter lim="800000"/>
                              <a:headEnd/>
                              <a:tailEnd/>
                            </a:ln>
                          </wps:spPr>
                          <wps:txbx>
                            <w:txbxContent>
                              <w:p w14:paraId="35B4B7E7" w14:textId="77777777" w:rsidR="003A587C" w:rsidRPr="007D770B" w:rsidRDefault="003A587C" w:rsidP="00D5475B">
                                <w:pPr>
                                  <w:spacing w:before="40" w:after="0" w:line="240" w:lineRule="auto"/>
                                  <w:ind w:left="0"/>
                                  <w:jc w:val="left"/>
                                  <w:rPr>
                                    <w:rFonts w:ascii="Times New Roman" w:hAnsi="Times New Roman"/>
                                    <w:b/>
                                    <w:sz w:val="16"/>
                                    <w:szCs w:val="16"/>
                                    <w:lang w:val="en-US"/>
                                  </w:rPr>
                                </w:pPr>
                                <w:r w:rsidRPr="007D770B">
                                  <w:rPr>
                                    <w:rFonts w:ascii="Times New Roman" w:hAnsi="Times New Roman"/>
                                    <w:b/>
                                    <w:sz w:val="16"/>
                                    <w:szCs w:val="16"/>
                                    <w:lang w:val="en-US"/>
                                  </w:rPr>
                                  <w:t>It is based on the following:</w:t>
                                </w:r>
                              </w:p>
                              <w:p w14:paraId="70FFD888" w14:textId="77777777" w:rsidR="003A587C" w:rsidRPr="007D770B" w:rsidRDefault="003A587C" w:rsidP="00D5475B">
                                <w:pPr>
                                  <w:spacing w:before="40" w:after="0" w:line="240" w:lineRule="auto"/>
                                  <w:ind w:left="0"/>
                                  <w:jc w:val="left"/>
                                  <w:rPr>
                                    <w:rFonts w:ascii="Times New Roman" w:hAnsi="Times New Roman"/>
                                    <w:sz w:val="16"/>
                                    <w:szCs w:val="16"/>
                                    <w:lang w:val="en-US"/>
                                  </w:rPr>
                                </w:pPr>
                                <w:r w:rsidRPr="007D770B">
                                  <w:rPr>
                                    <w:rFonts w:ascii="Times New Roman" w:hAnsi="Times New Roman"/>
                                    <w:sz w:val="16"/>
                                    <w:szCs w:val="16"/>
                                    <w:lang w:val="en-US"/>
                                  </w:rPr>
                                  <w:t>1. the current replacement cost of the asset;</w:t>
                                </w:r>
                              </w:p>
                              <w:p w14:paraId="2222BB6A" w14:textId="77777777" w:rsidR="003A587C" w:rsidRPr="007D770B" w:rsidRDefault="003A587C" w:rsidP="00D5475B">
                                <w:pPr>
                                  <w:spacing w:before="40" w:after="0" w:line="240" w:lineRule="auto"/>
                                  <w:ind w:left="0"/>
                                  <w:jc w:val="left"/>
                                  <w:rPr>
                                    <w:rFonts w:ascii="Times New Roman" w:hAnsi="Times New Roman"/>
                                    <w:sz w:val="16"/>
                                    <w:szCs w:val="16"/>
                                    <w:lang w:val="en-US"/>
                                  </w:rPr>
                                </w:pPr>
                                <w:r w:rsidRPr="007D770B">
                                  <w:rPr>
                                    <w:rFonts w:ascii="Times New Roman" w:hAnsi="Times New Roman"/>
                                    <w:sz w:val="16"/>
                                    <w:szCs w:val="16"/>
                                    <w:lang w:val="en-US"/>
                                  </w:rPr>
                                  <w:t>2. the current age and condition of the asset;</w:t>
                                </w:r>
                              </w:p>
                              <w:p w14:paraId="297C9B77" w14:textId="77777777" w:rsidR="003A587C" w:rsidRPr="00042F2E" w:rsidRDefault="003A587C" w:rsidP="00D5475B">
                                <w:pPr>
                                  <w:spacing w:before="40" w:after="0" w:line="240" w:lineRule="auto"/>
                                  <w:ind w:left="0"/>
                                  <w:jc w:val="left"/>
                                  <w:rPr>
                                    <w:rFonts w:ascii="Times New Roman" w:hAnsi="Times New Roman"/>
                                    <w:sz w:val="16"/>
                                    <w:szCs w:val="16"/>
                                  </w:rPr>
                                </w:pPr>
                                <w:r w:rsidRPr="00042F2E">
                                  <w:rPr>
                                    <w:rFonts w:ascii="Times New Roman" w:hAnsi="Times New Roman"/>
                                    <w:sz w:val="16"/>
                                    <w:szCs w:val="16"/>
                                  </w:rPr>
                                  <w:t>3. economic and functional depreciation.</w:t>
                                </w:r>
                              </w:p>
                            </w:txbxContent>
                          </wps:txbx>
                          <wps:bodyPr rot="0" vert="horz" wrap="square" lIns="91440" tIns="45720" rIns="91440" bIns="45720" anchor="t" anchorCtr="0" upright="1">
                            <a:noAutofit/>
                          </wps:bodyPr>
                        </wps:wsp>
                        <wps:wsp>
                          <wps:cNvPr id="24" name="Text Box 7"/>
                          <wps:cNvSpPr txBox="1">
                            <a:spLocks noChangeArrowheads="1"/>
                          </wps:cNvSpPr>
                          <wps:spPr bwMode="auto">
                            <a:xfrm>
                              <a:off x="4381804" y="2552374"/>
                              <a:ext cx="2033270" cy="1982795"/>
                            </a:xfrm>
                            <a:prstGeom prst="rect">
                              <a:avLst/>
                            </a:prstGeom>
                            <a:solidFill>
                              <a:srgbClr val="FFFFFF"/>
                            </a:solidFill>
                            <a:ln w="6350">
                              <a:solidFill>
                                <a:srgbClr val="000000"/>
                              </a:solidFill>
                              <a:miter lim="800000"/>
                              <a:headEnd/>
                              <a:tailEnd/>
                            </a:ln>
                          </wps:spPr>
                          <wps:txbx>
                            <w:txbxContent>
                              <w:p w14:paraId="354F19EF" w14:textId="77777777" w:rsidR="003A587C" w:rsidRPr="007D770B" w:rsidRDefault="003A587C" w:rsidP="007033AD">
                                <w:pPr>
                                  <w:spacing w:before="40" w:after="0" w:line="240" w:lineRule="auto"/>
                                  <w:ind w:left="0"/>
                                  <w:jc w:val="left"/>
                                  <w:rPr>
                                    <w:rFonts w:ascii="Times New Roman" w:hAnsi="Times New Roman"/>
                                    <w:b/>
                                    <w:sz w:val="16"/>
                                    <w:szCs w:val="16"/>
                                    <w:lang w:val="en-US"/>
                                  </w:rPr>
                                </w:pPr>
                                <w:r w:rsidRPr="007D770B">
                                  <w:rPr>
                                    <w:rFonts w:ascii="Times New Roman" w:hAnsi="Times New Roman"/>
                                    <w:b/>
                                    <w:sz w:val="16"/>
                                    <w:szCs w:val="16"/>
                                    <w:lang w:val="en-US"/>
                                  </w:rPr>
                                  <w:t>Application Examples:</w:t>
                                </w:r>
                              </w:p>
                              <w:p w14:paraId="36A2B15A" w14:textId="77777777" w:rsidR="003A587C" w:rsidRPr="007D770B" w:rsidRDefault="003A587C" w:rsidP="007033AD">
                                <w:pPr>
                                  <w:spacing w:before="40" w:after="0" w:line="240" w:lineRule="auto"/>
                                  <w:ind w:left="0"/>
                                  <w:jc w:val="left"/>
                                  <w:rPr>
                                    <w:rFonts w:ascii="Times New Roman" w:hAnsi="Times New Roman"/>
                                    <w:sz w:val="16"/>
                                    <w:szCs w:val="16"/>
                                    <w:lang w:val="en-US"/>
                                  </w:rPr>
                                </w:pPr>
                                <w:r w:rsidRPr="007D770B">
                                  <w:rPr>
                                    <w:rFonts w:ascii="Times New Roman" w:hAnsi="Times New Roman"/>
                                    <w:sz w:val="16"/>
                                    <w:szCs w:val="16"/>
                                    <w:lang w:val="en-US"/>
                                  </w:rPr>
                                  <w:t xml:space="preserve"> - Fixed Assets;</w:t>
                                </w:r>
                              </w:p>
                              <w:p w14:paraId="1A7AA722" w14:textId="77777777" w:rsidR="003A587C" w:rsidRPr="007D770B" w:rsidRDefault="003A587C" w:rsidP="007033AD">
                                <w:pPr>
                                  <w:spacing w:before="40" w:after="0" w:line="240" w:lineRule="auto"/>
                                  <w:ind w:left="0"/>
                                  <w:jc w:val="left"/>
                                  <w:rPr>
                                    <w:rFonts w:ascii="Times New Roman" w:hAnsi="Times New Roman"/>
                                    <w:sz w:val="16"/>
                                    <w:szCs w:val="16"/>
                                    <w:lang w:val="en-US"/>
                                  </w:rPr>
                                </w:pPr>
                                <w:r w:rsidRPr="007D770B">
                                  <w:rPr>
                                    <w:rFonts w:ascii="Times New Roman" w:hAnsi="Times New Roman"/>
                                    <w:sz w:val="16"/>
                                    <w:szCs w:val="16"/>
                                    <w:lang w:val="en-US"/>
                                  </w:rPr>
                                  <w:t xml:space="preserve"> - Intangible assets that do not directly generate income (software for internal use);</w:t>
                                </w:r>
                              </w:p>
                              <w:p w14:paraId="6E6A8A3B" w14:textId="77777777" w:rsidR="003A587C" w:rsidRPr="007D770B" w:rsidRDefault="003A587C" w:rsidP="007033AD">
                                <w:pPr>
                                  <w:spacing w:before="40" w:after="0" w:line="240" w:lineRule="auto"/>
                                  <w:ind w:left="0"/>
                                  <w:jc w:val="left"/>
                                  <w:rPr>
                                    <w:rFonts w:ascii="Times New Roman" w:hAnsi="Times New Roman"/>
                                    <w:sz w:val="16"/>
                                    <w:szCs w:val="16"/>
                                    <w:lang w:val="en-US"/>
                                  </w:rPr>
                                </w:pPr>
                                <w:r w:rsidRPr="007D770B">
                                  <w:rPr>
                                    <w:rFonts w:ascii="Times New Roman" w:hAnsi="Times New Roman"/>
                                    <w:sz w:val="16"/>
                                    <w:szCs w:val="16"/>
                                    <w:lang w:val="en-US"/>
                                  </w:rPr>
                                  <w:t xml:space="preserve"> - It is possible to use market and income methods as a second method to test the validity of the results.</w:t>
                                </w:r>
                              </w:p>
                            </w:txbxContent>
                          </wps:txbx>
                          <wps:bodyPr rot="0" vert="horz" wrap="square" lIns="91440" tIns="45720" rIns="91440" bIns="45720" anchor="t" anchorCtr="0" upright="1">
                            <a:noAutofit/>
                          </wps:bodyPr>
                        </wps:wsp>
                        <wps:wsp>
                          <wps:cNvPr id="25" name="Text Box 8"/>
                          <wps:cNvSpPr txBox="1">
                            <a:spLocks noChangeArrowheads="1"/>
                          </wps:cNvSpPr>
                          <wps:spPr bwMode="auto">
                            <a:xfrm>
                              <a:off x="2194560" y="629031"/>
                              <a:ext cx="2033270" cy="687544"/>
                            </a:xfrm>
                            <a:prstGeom prst="rect">
                              <a:avLst/>
                            </a:prstGeom>
                            <a:solidFill>
                              <a:srgbClr val="FFFFFF"/>
                            </a:solidFill>
                            <a:ln w="6350">
                              <a:solidFill>
                                <a:srgbClr val="000000"/>
                              </a:solidFill>
                              <a:miter lim="800000"/>
                              <a:headEnd/>
                              <a:tailEnd/>
                            </a:ln>
                          </wps:spPr>
                          <wps:txbx>
                            <w:txbxContent>
                              <w:p w14:paraId="7E8F7F15" w14:textId="77777777" w:rsidR="003A587C" w:rsidRPr="00A00568" w:rsidRDefault="003A587C" w:rsidP="00A00568">
                                <w:pPr>
                                  <w:spacing w:before="40" w:after="0" w:line="240" w:lineRule="auto"/>
                                  <w:ind w:left="0"/>
                                  <w:jc w:val="center"/>
                                  <w:rPr>
                                    <w:rFonts w:ascii="Times New Roman" w:hAnsi="Times New Roman"/>
                                    <w:szCs w:val="16"/>
                                  </w:rPr>
                                </w:pPr>
                                <w:r w:rsidRPr="00A00568">
                                  <w:rPr>
                                    <w:rFonts w:ascii="Times New Roman" w:hAnsi="Times New Roman"/>
                                    <w:b/>
                                    <w:i/>
                                    <w:szCs w:val="16"/>
                                  </w:rPr>
                                  <w:t>Income approach</w:t>
                                </w:r>
                              </w:p>
                            </w:txbxContent>
                          </wps:txbx>
                          <wps:bodyPr rot="0" vert="horz" wrap="square" lIns="91440" tIns="45720" rIns="91440" bIns="45720" anchor="t" anchorCtr="0" upright="1">
                            <a:noAutofit/>
                          </wps:bodyPr>
                        </wps:wsp>
                        <wps:wsp>
                          <wps:cNvPr id="26" name="Text Box 9"/>
                          <wps:cNvSpPr txBox="1">
                            <a:spLocks noChangeArrowheads="1"/>
                          </wps:cNvSpPr>
                          <wps:spPr bwMode="auto">
                            <a:xfrm>
                              <a:off x="2186940" y="1528351"/>
                              <a:ext cx="2033270" cy="1639131"/>
                            </a:xfrm>
                            <a:prstGeom prst="rect">
                              <a:avLst/>
                            </a:prstGeom>
                            <a:solidFill>
                              <a:srgbClr val="FFFFFF"/>
                            </a:solidFill>
                            <a:ln w="6350">
                              <a:solidFill>
                                <a:srgbClr val="000000"/>
                              </a:solidFill>
                              <a:miter lim="800000"/>
                              <a:headEnd/>
                              <a:tailEnd/>
                            </a:ln>
                          </wps:spPr>
                          <wps:txbx>
                            <w:txbxContent>
                              <w:p w14:paraId="628EEC3C" w14:textId="77777777" w:rsidR="003A587C" w:rsidRPr="007D770B" w:rsidRDefault="003A587C" w:rsidP="00D5475B">
                                <w:pPr>
                                  <w:spacing w:before="40" w:after="0" w:line="240" w:lineRule="auto"/>
                                  <w:ind w:left="0"/>
                                  <w:jc w:val="left"/>
                                  <w:rPr>
                                    <w:rFonts w:ascii="Times New Roman" w:hAnsi="Times New Roman"/>
                                    <w:b/>
                                    <w:sz w:val="16"/>
                                    <w:szCs w:val="16"/>
                                    <w:lang w:val="en-US"/>
                                  </w:rPr>
                                </w:pPr>
                                <w:r w:rsidRPr="007D770B">
                                  <w:rPr>
                                    <w:rFonts w:ascii="Times New Roman" w:hAnsi="Times New Roman"/>
                                    <w:b/>
                                    <w:sz w:val="16"/>
                                    <w:szCs w:val="16"/>
                                    <w:lang w:val="en-US"/>
                                  </w:rPr>
                                  <w:t>It is based on the following:</w:t>
                                </w:r>
                              </w:p>
                              <w:p w14:paraId="2009A83E" w14:textId="77777777" w:rsidR="003A587C" w:rsidRPr="007D770B" w:rsidRDefault="003A587C" w:rsidP="00D5475B">
                                <w:pPr>
                                  <w:spacing w:before="40" w:after="0" w:line="240" w:lineRule="auto"/>
                                  <w:ind w:left="0"/>
                                  <w:jc w:val="left"/>
                                  <w:rPr>
                                    <w:rFonts w:ascii="Times New Roman" w:hAnsi="Times New Roman"/>
                                    <w:b/>
                                    <w:sz w:val="16"/>
                                    <w:szCs w:val="16"/>
                                    <w:lang w:val="en-US"/>
                                  </w:rPr>
                                </w:pPr>
                                <w:r w:rsidRPr="007D770B">
                                  <w:rPr>
                                    <w:rFonts w:ascii="Times New Roman" w:hAnsi="Times New Roman"/>
                                    <w:b/>
                                    <w:sz w:val="16"/>
                                    <w:szCs w:val="16"/>
                                    <w:lang w:val="en-US"/>
                                  </w:rPr>
                                  <w:t>1. Direct methods:</w:t>
                                </w:r>
                              </w:p>
                              <w:p w14:paraId="2D882253" w14:textId="77777777" w:rsidR="003A587C" w:rsidRPr="007D770B" w:rsidRDefault="003A587C" w:rsidP="00D5475B">
                                <w:pPr>
                                  <w:spacing w:before="40" w:after="0" w:line="240" w:lineRule="auto"/>
                                  <w:ind w:left="0"/>
                                  <w:jc w:val="left"/>
                                  <w:rPr>
                                    <w:rFonts w:ascii="Times New Roman" w:hAnsi="Times New Roman"/>
                                    <w:sz w:val="16"/>
                                    <w:szCs w:val="16"/>
                                    <w:lang w:val="en-US"/>
                                  </w:rPr>
                                </w:pPr>
                                <w:r w:rsidRPr="007D770B">
                                  <w:rPr>
                                    <w:rFonts w:ascii="Times New Roman" w:hAnsi="Times New Roman"/>
                                    <w:sz w:val="16"/>
                                    <w:szCs w:val="16"/>
                                    <w:lang w:val="en-US"/>
                                  </w:rPr>
                                  <w:t xml:space="preserve"> - royalty exemption method</w:t>
                                </w:r>
                              </w:p>
                              <w:p w14:paraId="5A998EC9" w14:textId="77777777" w:rsidR="003A587C" w:rsidRPr="007D770B" w:rsidRDefault="003A587C" w:rsidP="00D5475B">
                                <w:pPr>
                                  <w:spacing w:before="40" w:after="0" w:line="240" w:lineRule="auto"/>
                                  <w:ind w:left="0"/>
                                  <w:jc w:val="left"/>
                                  <w:rPr>
                                    <w:rFonts w:ascii="Times New Roman" w:hAnsi="Times New Roman"/>
                                    <w:sz w:val="16"/>
                                    <w:szCs w:val="16"/>
                                    <w:lang w:val="en-US"/>
                                  </w:rPr>
                                </w:pPr>
                                <w:r w:rsidRPr="007D770B">
                                  <w:rPr>
                                    <w:rFonts w:ascii="Times New Roman" w:hAnsi="Times New Roman"/>
                                    <w:sz w:val="16"/>
                                    <w:szCs w:val="16"/>
                                    <w:lang w:val="en-US"/>
                                  </w:rPr>
                                  <w:t xml:space="preserve"> - cost-saving method</w:t>
                                </w:r>
                              </w:p>
                              <w:p w14:paraId="50079D8B" w14:textId="77777777" w:rsidR="003A587C" w:rsidRPr="007D770B" w:rsidRDefault="003A587C" w:rsidP="00D5475B">
                                <w:pPr>
                                  <w:spacing w:before="40" w:after="0" w:line="240" w:lineRule="auto"/>
                                  <w:ind w:left="0"/>
                                  <w:jc w:val="left"/>
                                  <w:rPr>
                                    <w:rFonts w:ascii="Times New Roman" w:hAnsi="Times New Roman"/>
                                    <w:sz w:val="16"/>
                                    <w:szCs w:val="16"/>
                                    <w:lang w:val="en-US"/>
                                  </w:rPr>
                                </w:pPr>
                                <w:r w:rsidRPr="007D770B">
                                  <w:rPr>
                                    <w:rFonts w:ascii="Times New Roman" w:hAnsi="Times New Roman"/>
                                    <w:sz w:val="16"/>
                                    <w:szCs w:val="16"/>
                                    <w:lang w:val="en-US"/>
                                  </w:rPr>
                                  <w:t xml:space="preserve"> - premium pricing method</w:t>
                                </w:r>
                              </w:p>
                              <w:p w14:paraId="4F33C63F" w14:textId="77777777" w:rsidR="003A587C" w:rsidRPr="007D770B" w:rsidRDefault="003A587C" w:rsidP="00D5475B">
                                <w:pPr>
                                  <w:spacing w:before="40" w:after="0" w:line="240" w:lineRule="auto"/>
                                  <w:ind w:left="0"/>
                                  <w:jc w:val="left"/>
                                  <w:rPr>
                                    <w:rFonts w:ascii="Times New Roman" w:hAnsi="Times New Roman"/>
                                    <w:sz w:val="16"/>
                                    <w:szCs w:val="16"/>
                                    <w:lang w:val="en-US"/>
                                  </w:rPr>
                                </w:pPr>
                                <w:r w:rsidRPr="007D770B">
                                  <w:rPr>
                                    <w:rFonts w:ascii="Times New Roman" w:hAnsi="Times New Roman"/>
                                    <w:sz w:val="16"/>
                                    <w:szCs w:val="16"/>
                                    <w:lang w:val="en-US"/>
                                  </w:rPr>
                                  <w:t xml:space="preserve"> - premium method</w:t>
                                </w:r>
                              </w:p>
                              <w:p w14:paraId="1049362E" w14:textId="77777777" w:rsidR="003A587C" w:rsidRPr="007D770B" w:rsidRDefault="003A587C" w:rsidP="00D5475B">
                                <w:pPr>
                                  <w:spacing w:before="40" w:after="0" w:line="240" w:lineRule="auto"/>
                                  <w:ind w:left="0"/>
                                  <w:jc w:val="left"/>
                                  <w:rPr>
                                    <w:rFonts w:ascii="Times New Roman" w:hAnsi="Times New Roman"/>
                                    <w:b/>
                                    <w:sz w:val="16"/>
                                    <w:szCs w:val="16"/>
                                    <w:lang w:val="en-US"/>
                                  </w:rPr>
                                </w:pPr>
                                <w:r w:rsidRPr="007D770B">
                                  <w:rPr>
                                    <w:rFonts w:ascii="Times New Roman" w:hAnsi="Times New Roman"/>
                                    <w:b/>
                                    <w:sz w:val="16"/>
                                    <w:szCs w:val="16"/>
                                    <w:lang w:val="en-US"/>
                                  </w:rPr>
                                  <w:t>2. Indirect or residual methods:</w:t>
                                </w:r>
                              </w:p>
                              <w:p w14:paraId="63B04DA3" w14:textId="77777777" w:rsidR="003A587C" w:rsidRPr="007D770B" w:rsidRDefault="003A587C" w:rsidP="00D5475B">
                                <w:pPr>
                                  <w:spacing w:before="40" w:after="0" w:line="240" w:lineRule="auto"/>
                                  <w:ind w:left="0"/>
                                  <w:jc w:val="left"/>
                                  <w:rPr>
                                    <w:rFonts w:ascii="Times New Roman" w:hAnsi="Times New Roman"/>
                                    <w:sz w:val="16"/>
                                    <w:szCs w:val="16"/>
                                    <w:lang w:val="en-US"/>
                                  </w:rPr>
                                </w:pPr>
                                <w:r w:rsidRPr="007D770B">
                                  <w:rPr>
                                    <w:rFonts w:ascii="Times New Roman" w:hAnsi="Times New Roman"/>
                                    <w:sz w:val="16"/>
                                    <w:szCs w:val="16"/>
                                    <w:lang w:val="en-US"/>
                                  </w:rPr>
                                  <w:t xml:space="preserve"> - return on assets (</w:t>
                                </w:r>
                                <w:r w:rsidRPr="00042F2E">
                                  <w:rPr>
                                    <w:rFonts w:ascii="Times New Roman" w:hAnsi="Times New Roman"/>
                                    <w:sz w:val="16"/>
                                    <w:szCs w:val="16"/>
                                    <w:lang w:val="en-GB"/>
                                  </w:rPr>
                                  <w:t>ROA</w:t>
                                </w:r>
                                <w:r w:rsidRPr="007D770B">
                                  <w:rPr>
                                    <w:rFonts w:ascii="Times New Roman" w:hAnsi="Times New Roman"/>
                                    <w:sz w:val="16"/>
                                    <w:szCs w:val="16"/>
                                    <w:lang w:val="en-US"/>
                                  </w:rPr>
                                  <w:t>)</w:t>
                                </w:r>
                              </w:p>
                              <w:p w14:paraId="7D9F58A0" w14:textId="77777777" w:rsidR="003A587C" w:rsidRPr="007D770B" w:rsidRDefault="003A587C" w:rsidP="00D5475B">
                                <w:pPr>
                                  <w:spacing w:before="40" w:after="0" w:line="240" w:lineRule="auto"/>
                                  <w:ind w:left="0"/>
                                  <w:jc w:val="left"/>
                                  <w:rPr>
                                    <w:rFonts w:ascii="Times New Roman" w:hAnsi="Times New Roman"/>
                                    <w:sz w:val="16"/>
                                    <w:szCs w:val="16"/>
                                    <w:lang w:val="en-US"/>
                                  </w:rPr>
                                </w:pPr>
                                <w:r w:rsidRPr="007D770B">
                                  <w:rPr>
                                    <w:rFonts w:ascii="Times New Roman" w:hAnsi="Times New Roman"/>
                                    <w:sz w:val="16"/>
                                    <w:szCs w:val="16"/>
                                    <w:lang w:val="en-US"/>
                                  </w:rPr>
                                  <w:t xml:space="preserve"> - residual yield method</w:t>
                                </w:r>
                              </w:p>
                              <w:p w14:paraId="65180056" w14:textId="77777777" w:rsidR="003A587C" w:rsidRPr="00042F2E" w:rsidRDefault="003A587C" w:rsidP="00D5475B">
                                <w:pPr>
                                  <w:spacing w:before="40" w:after="0" w:line="240" w:lineRule="auto"/>
                                  <w:ind w:left="0"/>
                                  <w:jc w:val="left"/>
                                  <w:rPr>
                                    <w:rFonts w:ascii="Times New Roman" w:hAnsi="Times New Roman"/>
                                    <w:sz w:val="16"/>
                                    <w:szCs w:val="16"/>
                                  </w:rPr>
                                </w:pPr>
                                <w:r w:rsidRPr="007D770B">
                                  <w:rPr>
                                    <w:rFonts w:ascii="Times New Roman" w:hAnsi="Times New Roman"/>
                                    <w:sz w:val="16"/>
                                    <w:szCs w:val="16"/>
                                    <w:lang w:val="en-US"/>
                                  </w:rPr>
                                  <w:t xml:space="preserve"> </w:t>
                                </w:r>
                                <w:r w:rsidRPr="00042F2E">
                                  <w:rPr>
                                    <w:rFonts w:ascii="Times New Roman" w:hAnsi="Times New Roman"/>
                                    <w:sz w:val="16"/>
                                    <w:szCs w:val="16"/>
                                  </w:rPr>
                                  <w:t>- excess return method (MEEM).</w:t>
                                </w:r>
                              </w:p>
                            </w:txbxContent>
                          </wps:txbx>
                          <wps:bodyPr rot="0" vert="horz" wrap="square" lIns="91440" tIns="45720" rIns="91440" bIns="45720" anchor="t" anchorCtr="0" upright="1">
                            <a:noAutofit/>
                          </wps:bodyPr>
                        </wps:wsp>
                        <wps:wsp>
                          <wps:cNvPr id="27" name="Text Box 10"/>
                          <wps:cNvSpPr txBox="1">
                            <a:spLocks noChangeArrowheads="1"/>
                          </wps:cNvSpPr>
                          <wps:spPr bwMode="auto">
                            <a:xfrm>
                              <a:off x="2186940" y="3350182"/>
                              <a:ext cx="2033270" cy="1184988"/>
                            </a:xfrm>
                            <a:prstGeom prst="rect">
                              <a:avLst/>
                            </a:prstGeom>
                            <a:solidFill>
                              <a:srgbClr val="FFFFFF"/>
                            </a:solidFill>
                            <a:ln w="6350">
                              <a:solidFill>
                                <a:srgbClr val="000000"/>
                              </a:solidFill>
                              <a:miter lim="800000"/>
                              <a:headEnd/>
                              <a:tailEnd/>
                            </a:ln>
                          </wps:spPr>
                          <wps:txbx>
                            <w:txbxContent>
                              <w:p w14:paraId="61AAEE1F" w14:textId="77777777" w:rsidR="003A587C" w:rsidRPr="007D770B" w:rsidRDefault="003A587C" w:rsidP="007033AD">
                                <w:pPr>
                                  <w:spacing w:before="40" w:after="0" w:line="240" w:lineRule="auto"/>
                                  <w:ind w:left="0"/>
                                  <w:jc w:val="left"/>
                                  <w:rPr>
                                    <w:rFonts w:ascii="Times New Roman" w:hAnsi="Times New Roman"/>
                                    <w:b/>
                                    <w:sz w:val="16"/>
                                    <w:szCs w:val="16"/>
                                    <w:lang w:val="en-US"/>
                                  </w:rPr>
                                </w:pPr>
                                <w:r w:rsidRPr="007D770B">
                                  <w:rPr>
                                    <w:rFonts w:ascii="Times New Roman" w:hAnsi="Times New Roman"/>
                                    <w:b/>
                                    <w:sz w:val="16"/>
                                    <w:szCs w:val="16"/>
                                    <w:lang w:val="en-US"/>
                                  </w:rPr>
                                  <w:t>Application Examples:</w:t>
                                </w:r>
                              </w:p>
                              <w:p w14:paraId="757E00F0" w14:textId="77777777" w:rsidR="003A587C" w:rsidRPr="007D770B" w:rsidRDefault="003A587C" w:rsidP="007033AD">
                                <w:pPr>
                                  <w:spacing w:before="40" w:after="0" w:line="240" w:lineRule="auto"/>
                                  <w:ind w:left="0"/>
                                  <w:jc w:val="left"/>
                                  <w:rPr>
                                    <w:rFonts w:ascii="Times New Roman" w:hAnsi="Times New Roman"/>
                                    <w:sz w:val="16"/>
                                    <w:szCs w:val="16"/>
                                    <w:lang w:val="en-US"/>
                                  </w:rPr>
                                </w:pPr>
                                <w:r w:rsidRPr="007D770B">
                                  <w:rPr>
                                    <w:rFonts w:ascii="Times New Roman" w:hAnsi="Times New Roman"/>
                                    <w:sz w:val="16"/>
                                    <w:szCs w:val="16"/>
                                    <w:lang w:val="en-US"/>
                                  </w:rPr>
                                  <w:t xml:space="preserve"> - Intangible Assets;</w:t>
                                </w:r>
                              </w:p>
                              <w:p w14:paraId="7DF6E3AE" w14:textId="77777777" w:rsidR="003A587C" w:rsidRPr="007D770B" w:rsidRDefault="003A587C" w:rsidP="007033AD">
                                <w:pPr>
                                  <w:spacing w:before="40" w:after="0" w:line="240" w:lineRule="auto"/>
                                  <w:ind w:left="0"/>
                                  <w:jc w:val="left"/>
                                  <w:rPr>
                                    <w:rFonts w:ascii="Times New Roman" w:hAnsi="Times New Roman"/>
                                    <w:sz w:val="16"/>
                                    <w:szCs w:val="16"/>
                                    <w:lang w:val="en-US"/>
                                  </w:rPr>
                                </w:pPr>
                                <w:r w:rsidRPr="007D770B">
                                  <w:rPr>
                                    <w:rFonts w:ascii="Times New Roman" w:hAnsi="Times New Roman"/>
                                    <w:sz w:val="16"/>
                                    <w:szCs w:val="16"/>
                                    <w:lang w:val="en-US"/>
                                  </w:rPr>
                                  <w:t xml:space="preserve"> - Investment Property;</w:t>
                                </w:r>
                              </w:p>
                              <w:p w14:paraId="03898B04" w14:textId="77777777" w:rsidR="003A587C" w:rsidRPr="007D770B" w:rsidRDefault="003A587C" w:rsidP="007033AD">
                                <w:pPr>
                                  <w:spacing w:before="40" w:after="0" w:line="240" w:lineRule="auto"/>
                                  <w:ind w:left="0"/>
                                  <w:jc w:val="left"/>
                                  <w:rPr>
                                    <w:rFonts w:ascii="Times New Roman" w:hAnsi="Times New Roman"/>
                                    <w:sz w:val="16"/>
                                    <w:szCs w:val="16"/>
                                    <w:lang w:val="en-US"/>
                                  </w:rPr>
                                </w:pPr>
                                <w:r w:rsidRPr="007D770B">
                                  <w:rPr>
                                    <w:rFonts w:ascii="Times New Roman" w:hAnsi="Times New Roman"/>
                                    <w:sz w:val="16"/>
                                    <w:szCs w:val="16"/>
                                    <w:lang w:val="en-US"/>
                                  </w:rPr>
                                  <w:t xml:space="preserve"> - Financial Instruments;</w:t>
                                </w:r>
                              </w:p>
                              <w:p w14:paraId="4EA6D538" w14:textId="77777777" w:rsidR="003A587C" w:rsidRPr="007D770B" w:rsidRDefault="003A587C" w:rsidP="007033AD">
                                <w:pPr>
                                  <w:spacing w:before="40" w:after="0" w:line="240" w:lineRule="auto"/>
                                  <w:ind w:left="0"/>
                                  <w:jc w:val="left"/>
                                  <w:rPr>
                                    <w:rFonts w:ascii="Times New Roman" w:hAnsi="Times New Roman"/>
                                    <w:sz w:val="16"/>
                                    <w:szCs w:val="16"/>
                                    <w:lang w:val="en-US"/>
                                  </w:rPr>
                                </w:pPr>
                                <w:r w:rsidRPr="007D770B">
                                  <w:rPr>
                                    <w:rFonts w:ascii="Times New Roman" w:hAnsi="Times New Roman"/>
                                    <w:sz w:val="16"/>
                                    <w:szCs w:val="16"/>
                                    <w:lang w:val="en-US"/>
                                  </w:rPr>
                                  <w:t xml:space="preserve"> - Non-financial assets.</w:t>
                                </w:r>
                              </w:p>
                            </w:txbxContent>
                          </wps:txbx>
                          <wps:bodyPr rot="0" vert="horz" wrap="square" lIns="91440" tIns="45720" rIns="91440" bIns="45720" anchor="t" anchorCtr="0" upright="1">
                            <a:noAutofit/>
                          </wps:bodyPr>
                        </wps:wsp>
                        <wps:wsp>
                          <wps:cNvPr id="28" name="Straight Connector 12"/>
                          <wps:cNvCnPr>
                            <a:cxnSpLocks noChangeShapeType="1"/>
                          </wps:cNvCnPr>
                          <wps:spPr bwMode="auto">
                            <a:xfrm>
                              <a:off x="987552" y="1316747"/>
                              <a:ext cx="0" cy="197511"/>
                            </a:xfrm>
                            <a:prstGeom prst="line">
                              <a:avLst/>
                            </a:pr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29" name="Straight Connector 14"/>
                          <wps:cNvCnPr>
                            <a:cxnSpLocks noChangeShapeType="1"/>
                          </wps:cNvCnPr>
                          <wps:spPr bwMode="auto">
                            <a:xfrm>
                              <a:off x="3138221" y="1316764"/>
                              <a:ext cx="0" cy="204826"/>
                            </a:xfrm>
                            <a:prstGeom prst="line">
                              <a:avLst/>
                            </a:pr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30" name="Straight Connector 15"/>
                          <wps:cNvCnPr>
                            <a:cxnSpLocks noChangeShapeType="1"/>
                          </wps:cNvCnPr>
                          <wps:spPr bwMode="auto">
                            <a:xfrm>
                              <a:off x="5362041" y="2348185"/>
                              <a:ext cx="0" cy="204470"/>
                            </a:xfrm>
                            <a:prstGeom prst="line">
                              <a:avLst/>
                            </a:pr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31" name="Straight Connector 16"/>
                          <wps:cNvCnPr>
                            <a:cxnSpLocks noChangeShapeType="1"/>
                          </wps:cNvCnPr>
                          <wps:spPr bwMode="auto">
                            <a:xfrm>
                              <a:off x="5354726" y="1316440"/>
                              <a:ext cx="0" cy="197485"/>
                            </a:xfrm>
                            <a:prstGeom prst="line">
                              <a:avLst/>
                            </a:pr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28" name="Straight Connector 17"/>
                          <wps:cNvCnPr>
                            <a:cxnSpLocks noChangeShapeType="1"/>
                          </wps:cNvCnPr>
                          <wps:spPr bwMode="auto">
                            <a:xfrm>
                              <a:off x="3204057" y="3167484"/>
                              <a:ext cx="0" cy="182880"/>
                            </a:xfrm>
                            <a:prstGeom prst="line">
                              <a:avLst/>
                            </a:pr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29" name="Straight Arrow Connector 18"/>
                          <wps:cNvCnPr>
                            <a:cxnSpLocks noChangeShapeType="1"/>
                          </wps:cNvCnPr>
                          <wps:spPr bwMode="auto">
                            <a:xfrm>
                              <a:off x="3145536" y="307239"/>
                              <a:ext cx="0" cy="329718"/>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30" name="Straight Arrow Connector 19"/>
                          <wps:cNvCnPr>
                            <a:cxnSpLocks noChangeShapeType="1"/>
                          </wps:cNvCnPr>
                          <wps:spPr bwMode="auto">
                            <a:xfrm flipH="1">
                              <a:off x="1360627" y="307239"/>
                              <a:ext cx="1207008" cy="329184"/>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31" name="Straight Arrow Connector 20"/>
                          <wps:cNvCnPr>
                            <a:cxnSpLocks noChangeShapeType="1"/>
                          </wps:cNvCnPr>
                          <wps:spPr bwMode="auto">
                            <a:xfrm>
                              <a:off x="3891686" y="307239"/>
                              <a:ext cx="1192378" cy="32893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g:wgp>
                  </a:graphicData>
                </a:graphic>
              </wp:inline>
            </w:drawing>
          </mc:Choice>
          <mc:Fallback>
            <w:pict>
              <v:group w14:anchorId="2D2165A9" id="Group 23" o:spid="_x0000_s1171" style="width:505.7pt;height:357.1pt;mso-position-horizontal-relative:char;mso-position-vertical-relative:line" coordsize="64223,45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9n5kwYAADE2AAAOAAAAZHJzL2Uyb0RvYy54bWzsm91v2zYQwN8H7H8g9L5YpL6NOEWXfmxA&#10;txVIhz0zkmwJk0WNUmKnf/2OR4mWZTvpMkRFa+Uh0Jcp6vi7O97xePlquy7IfSrrXJQLi17YFknL&#10;WCR5uVpYf35691NokbrhZcILUaYL6yGtrVdXP/5wuanmKROZKJJUEmikrOebamFlTVPNZ7M6ztI1&#10;ry9ElZZwcynkmjdwKlezRPINtL4uZsy2/dlGyKSSIk7rGq6+0TetK2x/uUzj5o/lsk4bUiws6FuD&#10;/yX+v1X/Z1eXfL6SvMryuO0Gf0Yv1jwv4aWmqTe84eRO5gdNrfNYilosm4tYrGdiuczjFL8Bvoba&#10;g695L8Vdhd+ymm9WlRETiHYgp2c3G/9+/1GSPIGx8yxS8jWMEb6WMEcJZ1Ot5vDMe1ndVB+l/kI4&#10;/CDiv2u4PRveV+cr/TC53fwmEmiP3zUChbNdyrVqAj6bbHEMHswYpNuGxHDRdxlzIhiqGO65nuPR&#10;oB2lOIOhPPhdnL099UuXueoTZnyuX4ydbTunvgyIq3dCrf+fUG8yXqU4VrUSWCdUvxPqTSN5vsoa&#10;ci3KErAUktBWwviD61KLN96WrXhJKa4zXq5SbPrTQwWipPhBquvwDv0TdVLD2Dwp7igMPI9ZBOTK&#10;/IjZTqTp7yTfypzZbsSCPcHxeSXr5n0q1kQdLKwiL9W38jm//1A3WsbdI+pyKd7lRQHX+bwoyQZe&#10;6Lm2jb+oRZEn6q66WcvV7XUhyT1X6ol/7Yv3HgM1KBNsLUt58rY9bnhe6GMY4aJU7aWo8dAldSLu&#10;mlTeZMmGJLnqNJgL6AOcgPqr7uCZFM1feZOhiBWLp3qlrvOiyrjuqxNEEYoPXt1+BIJm3olnve4A&#10;e3qYNHi3Inn4KJXgWgy1piGcRuk6hoKOIa2YFCEYKp4yPeMqZqtefP5NKib4JW3tPin+fxZb0ooV&#10;VUsZO9Js4bLSOYRC2zyjlK+lFBuFI9iNPa3UdrIb7ie1ktHI9Xzg8tAUMpt5vteqpWP7ge09rpYS&#10;7MpjarmnVHu69w7/jume1l/fgX6gGJ6hvuscFJEU+XphhVrtntblgb4029steqnAV51U0tUqRECB&#10;ld6qOQgcZEJ+tsgG/PnCqv+54zK1SPFrCWMUUdeFxxo8cb2AwYns37nt3+FlDE0trMYi+vC60ZOG&#10;u0oqK95RUYrX4NyWOdrAXa/29XoMPxMd4Mw6QYGnGA9nkCqA7Du+4yKsYJNb9wwOx2Hgy9Gx+yG4&#10;H+yh8c4HTuYcaEY/u+NmohmVXOnmwDj3p0pj00w9FrrOYzhTCry7E89B2BmdyTr3ogBGD3jGyEQp&#10;/qjW2XXCiCrtUjaaRbaDM5eTNjpwwonpAOf5k43GSdcusmUQSQ5sNFrI0ZnWNAPMLIrQnZ7AGUw0&#10;c58KbM9gzhFiOmXiecizc8CzCTXGttE0tF200RTyX0H02MwjpMwJ8YGznkiHJnifJh79iQdgNDDS&#10;JuL4alAzyEI6AU6ATpnqKGQt9udNtYnhJ6r7VJuVCpO7M3HHqFT3c3dfMp323P0FiXNMeYQmkp+Y&#10;7jNtFooM0ybuGJnp0I9UphRCRJX4gAU4FdOfstS+E1EdRZ63pTbx/ER1n2qzdGWopib8+GpYO7CY&#10;QXVm4xTWNHSjEJ3KeWNtQvoJ6z7WZvHw2Kq+mbQB4KOu6oMh9gN3kAMBS64qKWgUeHrh+DTQ06r+&#10;S6zqj7D6x8zq3zEejWsahUeHQtJYJbwVdApIfxDptUBCmUnIMMMyAbkrfhmjzGQEIB0YZJ13OAak&#10;cSqjAOk5PrCmgWSOG1KdLtt5/h2Qri41m4D8/oA0K3DHgOwnel/eY0NO1w3A9HUWUtWl7EVYO5ft&#10;PpXanVz2N+qyKXt0DtnP0r48kQ4YSNuDWA18Ns4hw+M+G4KmUC8fTSbyuzOR9MgsEosc+xXL/Tzr&#10;CFxS1wP3rbm0A6gLP2ooHRYF9IlgvW7Lr031ta7q/NL65chj3rPrHx8tXyYNFnZzVU4KlYsLa50m&#10;ULOYwm4KdQSOAXRNVTcPKiJ1QK5uq6VcKGTXVZEvX9F+ZG53gEk/dflCmJBlkVe/dHWY7Y4C6vi2&#10;D2v8aMiOAAO1L4Ftg+VVITFgA2meVsLd1oSuir0tdJ+wUbtw/tPukhMbISBJPAwJhthAYRLw3BaQ&#10;vBA2KsBqYVG1UH542rpQGsE6pYEljIB8rY5nDAtYm3aDD1oe3JeEJqrdQ6U2PvXP8andTq+rfwEA&#10;AP//AwBQSwMEFAAGAAgAAAAhAFv7ooDdAAAABgEAAA8AAABkcnMvZG93bnJldi54bWxMj81qwzAQ&#10;hO+FvoPYQm+NrDT9wbUcQmh7CoUkhZDbxtrYJtbKWIrtvH2VXtrLwjDDzLfZfLSN6KnztWMNapKA&#10;IC6cqbnU8L39eHgF4QOywcYxabiQh3l+e5NhatzAa+o3oRSxhH2KGqoQ2lRKX1Rk0U9cSxy9o+ss&#10;hii7UpoOh1huGzlNkmdpsea4UGFLy4qK0+ZsNXwOOCwe1Xu/Oh2Xl/326Wu3UqT1/d24eAMRaAx/&#10;YbjiR3TII9PBndl40WiIj4Tfe/USpWYgDhpe1GwKMs/kf/z8BwAA//8DAFBLAQItABQABgAIAAAA&#10;IQC2gziS/gAAAOEBAAATAAAAAAAAAAAAAAAAAAAAAABbQ29udGVudF9UeXBlc10ueG1sUEsBAi0A&#10;FAAGAAgAAAAhADj9If/WAAAAlAEAAAsAAAAAAAAAAAAAAAAALwEAAF9yZWxzLy5yZWxzUEsBAi0A&#10;FAAGAAgAAAAhAOLT2fmTBgAAMTYAAA4AAAAAAAAAAAAAAAAALgIAAGRycy9lMm9Eb2MueG1sUEsB&#10;Ai0AFAAGAAgAAAAhAFv7ooDdAAAABgEAAA8AAAAAAAAAAAAAAAAA7QgAAGRycy9kb3ducmV2Lnht&#10;bFBLBQYAAAAABAAEAPMAAAD3CQAAAAA=&#10;">
                <v:line id="Straight Connector 13" o:spid="_x0000_s1172" style="position:absolute;visibility:visible;mso-wrap-style:square" from="9875,26920" to="9875,28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v1JwgAAANsAAAAPAAAAZHJzL2Rvd25yZXYueG1sRE9NawIx&#10;EL0X/A9hhN5q1hasrkaRQmmhFOrqweOQjJvVzWS7Sdf135uC4G0e73MWq97VoqM2VJ4VjEcZCGLt&#10;TcWlgt32/WkKIkRkg7VnUnChAKvl4GGBufFn3lBXxFKkEA45KrAxNrmUQVtyGEa+IU7cwbcOY4Jt&#10;KU2L5xTuavmcZRPpsOLUYLGhN0v6VPw5BbIuMn38+p2+7u2Hedl23/pnM1Pqcdiv5yAi9fEuvrk/&#10;TZo/gf9f0gFyeQUAAP//AwBQSwECLQAUAAYACAAAACEA2+H2y+4AAACFAQAAEwAAAAAAAAAAAAAA&#10;AAAAAAAAW0NvbnRlbnRfVHlwZXNdLnhtbFBLAQItABQABgAIAAAAIQBa9CxbvwAAABUBAAALAAAA&#10;AAAAAAAAAAAAAB8BAABfcmVscy8ucmVsc1BLAQItABQABgAIAAAAIQB2zv1JwgAAANsAAAAPAAAA&#10;AAAAAAAAAAAAAAcCAABkcnMvZG93bnJldi54bWxQSwUGAAAAAAMAAwC3AAAA9gIAAAAA&#10;" strokeweight="2pt">
                  <v:shadow on="t" color="black" opacity="24903f" origin=",.5" offset="0,.55556mm"/>
                </v:line>
                <v:group id="Group 11" o:spid="_x0000_s1173" style="position:absolute;width:64223;height:45354" coordsize="64223,4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Text Box 1" o:spid="_x0000_s1174" type="#_x0000_t202" style="position:absolute;left:21945;width:20257;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d0vwAAAANsAAAAPAAAAZHJzL2Rvd25yZXYueG1sRI9Bi8JA&#10;DIXvgv9hiOBNp6sg0nWUXUEQb2ovewud2JbtZMrMaOu/NwfBW8J7ee/LZje4Vj0oxMazga95Boq4&#10;9LbhykBxPczWoGJCtth6JgNPirDbjkcbzK3v+UyPS6qUhHDM0UCdUpdrHcuaHMa574hFu/ngMMka&#10;Km0D9hLuWr3IspV22LA01NjRvqby/3J3Bo6r3/RHhT3Z5WLp+0KX4dZGY6aT4ecbVKIhfczv66MV&#10;fIGVX2QAvX0BAAD//wMAUEsBAi0AFAAGAAgAAAAhANvh9svuAAAAhQEAABMAAAAAAAAAAAAAAAAA&#10;AAAAAFtDb250ZW50X1R5cGVzXS54bWxQSwECLQAUAAYACAAAACEAWvQsW78AAAAVAQAACwAAAAAA&#10;AAAAAAAAAAAfAQAAX3JlbHMvLnJlbHNQSwECLQAUAAYACAAAACEAHbHdL8AAAADbAAAADwAAAAAA&#10;AAAAAAAAAAAHAgAAZHJzL2Rvd25yZXYueG1sUEsFBgAAAAADAAMAtwAAAPQCAAAAAA==&#10;" strokeweight=".5pt">
                    <v:textbox>
                      <w:txbxContent>
                        <w:p w14:paraId="5431C0FB" w14:textId="77777777" w:rsidR="003A587C" w:rsidRPr="00A00568" w:rsidRDefault="003A587C" w:rsidP="00D5475B">
                          <w:pPr>
                            <w:spacing w:before="40" w:after="0" w:line="240" w:lineRule="auto"/>
                            <w:rPr>
                              <w:rFonts w:ascii="Times New Roman" w:hAnsi="Times New Roman"/>
                              <w:b/>
                              <w:szCs w:val="16"/>
                              <w:lang w:val="en-US"/>
                            </w:rPr>
                          </w:pPr>
                          <w:r w:rsidRPr="00A00568">
                            <w:rPr>
                              <w:rFonts w:ascii="Times New Roman" w:hAnsi="Times New Roman"/>
                              <w:b/>
                              <w:szCs w:val="16"/>
                            </w:rPr>
                            <w:t xml:space="preserve">Estimation </w:t>
                          </w:r>
                          <w:r w:rsidRPr="00A00568">
                            <w:rPr>
                              <w:rFonts w:ascii="Times New Roman" w:hAnsi="Times New Roman"/>
                              <w:b/>
                              <w:szCs w:val="16"/>
                              <w:lang w:val="en-US"/>
                            </w:rPr>
                            <w:t>methods*</w:t>
                          </w:r>
                        </w:p>
                      </w:txbxContent>
                    </v:textbox>
                  </v:shape>
                  <v:shape id="Text Box 2" o:spid="_x0000_s1175" type="#_x0000_t202" style="position:absolute;top:6363;width:20332;height:6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i0vwAAANsAAAAPAAAAZHJzL2Rvd25yZXYueG1sRE9Na4NA&#10;EL0X+h+WKfRW10SQxGaVpFCQ3mq85Da4E5W6s7K7ifbfdwuF3ubxPudQrWYSd3J+tKxgk6QgiDur&#10;R+4VtOf3lx0IH5A1TpZJwTd5qMrHhwMW2i78Sfcm9CKGsC9QwRDCXEjpu4EM+sTOxJG7WmcwROh6&#10;qR0uMdxMcpumuTQ4cmwYcKa3gbqv5mYU1PkpXKjVHzrbZnZpZeeuk1fq+Wk9voIItIZ/8Z+71nH+&#10;Hn5/iQfI8gcAAP//AwBQSwECLQAUAAYACAAAACEA2+H2y+4AAACFAQAAEwAAAAAAAAAAAAAAAAAA&#10;AAAAW0NvbnRlbnRfVHlwZXNdLnhtbFBLAQItABQABgAIAAAAIQBa9CxbvwAAABUBAAALAAAAAAAA&#10;AAAAAAAAAB8BAABfcmVscy8ucmVsc1BLAQItABQABgAIAAAAIQBy/Xi0vwAAANsAAAAPAAAAAAAA&#10;AAAAAAAAAAcCAABkcnMvZG93bnJldi54bWxQSwUGAAAAAAMAAwC3AAAA8wIAAAAA&#10;" strokeweight=".5pt">
                    <v:textbox>
                      <w:txbxContent>
                        <w:p w14:paraId="11902F4D" w14:textId="77777777" w:rsidR="003A587C" w:rsidRPr="00A00568" w:rsidRDefault="003A587C" w:rsidP="00A00568">
                          <w:pPr>
                            <w:spacing w:before="40" w:after="0" w:line="240" w:lineRule="auto"/>
                            <w:ind w:left="0"/>
                            <w:jc w:val="center"/>
                            <w:rPr>
                              <w:rFonts w:ascii="Times New Roman" w:hAnsi="Times New Roman"/>
                            </w:rPr>
                          </w:pPr>
                          <w:r w:rsidRPr="00A00568">
                            <w:rPr>
                              <w:rFonts w:ascii="Times New Roman" w:hAnsi="Times New Roman"/>
                              <w:b/>
                              <w:i/>
                            </w:rPr>
                            <w:t>Market approach</w:t>
                          </w:r>
                        </w:p>
                      </w:txbxContent>
                    </v:textbox>
                  </v:shape>
                  <v:shape id="Text Box 3" o:spid="_x0000_s1176" type="#_x0000_t202" style="position:absolute;top:15284;width:20332;height:1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xuUugAAANsAAAAPAAAAZHJzL2Rvd25yZXYueG1sRE+9CsIw&#10;EN4F3yGc4KapFUSqUVQQxE3t4nY0Z1tsLiWJtr69GQTHj+9/ve1NI97kfG1ZwWyagCAurK65VJDf&#10;jpMlCB+QNTaWScGHPGw3w8EaM207vtD7GkoRQ9hnqKAKoc2k9EVFBv3UtsSRe1hnMEToSqkddjHc&#10;NDJNkoU0WHNsqLClQ0XF8/oyCk6LfbhTrs96ns5tl8vCPRqv1HjU71YgAvXhL/65T1pBGtfHL/EH&#10;yM0XAAD//wMAUEsBAi0AFAAGAAgAAAAhANvh9svuAAAAhQEAABMAAAAAAAAAAAAAAAAAAAAAAFtD&#10;b250ZW50X1R5cGVzXS54bWxQSwECLQAUAAYACAAAACEAWvQsW78AAAAVAQAACwAAAAAAAAAAAAAA&#10;AAAfAQAAX3JlbHMvLnJlbHNQSwECLQAUAAYACAAAACEALasblLoAAADbAAAADwAAAAAAAAAAAAAA&#10;AAAHAgAAZHJzL2Rvd25yZXYueG1sUEsFBgAAAAADAAMAtwAAAO4CAAAAAA==&#10;" strokeweight=".5pt">
                    <v:textbox>
                      <w:txbxContent>
                        <w:p w14:paraId="58C2AA61" w14:textId="77777777" w:rsidR="003A587C" w:rsidRPr="007D770B" w:rsidRDefault="003A587C" w:rsidP="00D5475B">
                          <w:pPr>
                            <w:spacing w:before="40" w:after="0" w:line="240" w:lineRule="auto"/>
                            <w:ind w:left="0"/>
                            <w:jc w:val="left"/>
                            <w:rPr>
                              <w:rFonts w:ascii="Times New Roman" w:hAnsi="Times New Roman"/>
                              <w:b/>
                              <w:sz w:val="16"/>
                              <w:szCs w:val="16"/>
                              <w:lang w:val="en-US"/>
                            </w:rPr>
                          </w:pPr>
                          <w:r w:rsidRPr="007D770B">
                            <w:rPr>
                              <w:rFonts w:ascii="Times New Roman" w:hAnsi="Times New Roman"/>
                              <w:b/>
                              <w:sz w:val="16"/>
                              <w:szCs w:val="16"/>
                              <w:lang w:val="en-US"/>
                            </w:rPr>
                            <w:t>It is based on the following:</w:t>
                          </w:r>
                        </w:p>
                        <w:p w14:paraId="3F0F411A" w14:textId="77777777" w:rsidR="003A587C" w:rsidRPr="007D770B" w:rsidRDefault="003A587C" w:rsidP="00D5475B">
                          <w:pPr>
                            <w:spacing w:before="40" w:after="0" w:line="240" w:lineRule="auto"/>
                            <w:ind w:left="0"/>
                            <w:jc w:val="left"/>
                            <w:rPr>
                              <w:rFonts w:ascii="Times New Roman" w:hAnsi="Times New Roman"/>
                              <w:sz w:val="16"/>
                              <w:szCs w:val="16"/>
                              <w:lang w:val="en-US"/>
                            </w:rPr>
                          </w:pPr>
                          <w:r w:rsidRPr="007D770B">
                            <w:rPr>
                              <w:rFonts w:ascii="Times New Roman" w:hAnsi="Times New Roman"/>
                              <w:sz w:val="16"/>
                              <w:szCs w:val="16"/>
                              <w:lang w:val="en-US"/>
                            </w:rPr>
                            <w:t>1. the current price of the asset/liability; or</w:t>
                          </w:r>
                        </w:p>
                        <w:p w14:paraId="47415192" w14:textId="77777777" w:rsidR="003A587C" w:rsidRPr="007D770B" w:rsidRDefault="003A587C" w:rsidP="00D5475B">
                          <w:pPr>
                            <w:spacing w:before="40" w:after="0" w:line="240" w:lineRule="auto"/>
                            <w:ind w:left="0"/>
                            <w:jc w:val="left"/>
                            <w:rPr>
                              <w:rFonts w:ascii="Times New Roman" w:hAnsi="Times New Roman"/>
                              <w:sz w:val="16"/>
                              <w:szCs w:val="16"/>
                              <w:lang w:val="en-US"/>
                            </w:rPr>
                          </w:pPr>
                          <w:r w:rsidRPr="007D770B">
                            <w:rPr>
                              <w:rFonts w:ascii="Times New Roman" w:hAnsi="Times New Roman"/>
                              <w:sz w:val="16"/>
                              <w:szCs w:val="16"/>
                              <w:lang w:val="en-US"/>
                            </w:rPr>
                            <w:t>2. The value of a recent asset/liability transaction;</w:t>
                          </w:r>
                        </w:p>
                        <w:p w14:paraId="2FE320B0" w14:textId="77777777" w:rsidR="003A587C" w:rsidRPr="007D770B" w:rsidRDefault="003A587C" w:rsidP="00D5475B">
                          <w:pPr>
                            <w:spacing w:before="40" w:after="0" w:line="240" w:lineRule="auto"/>
                            <w:ind w:left="0"/>
                            <w:jc w:val="left"/>
                            <w:rPr>
                              <w:rFonts w:ascii="Times New Roman" w:hAnsi="Times New Roman"/>
                              <w:sz w:val="16"/>
                              <w:szCs w:val="16"/>
                              <w:lang w:val="en-US"/>
                            </w:rPr>
                          </w:pPr>
                          <w:r w:rsidRPr="007D770B">
                            <w:rPr>
                              <w:rFonts w:ascii="Times New Roman" w:hAnsi="Times New Roman"/>
                              <w:sz w:val="16"/>
                              <w:szCs w:val="16"/>
                              <w:lang w:val="en-US"/>
                            </w:rPr>
                            <w:t>3. Adjustment of the prices specified in paragraphs 1 and 2 for a similar asset/liability.</w:t>
                          </w:r>
                        </w:p>
                      </w:txbxContent>
                    </v:textbox>
                  </v:shape>
                  <v:shape id="Text Box 4" o:spid="_x0000_s1177" type="#_x0000_t202" style="position:absolute;left:43891;top:6290;width:20332;height:6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74PvwAAANsAAAAPAAAAZHJzL2Rvd25yZXYueG1sRI9Bi8Iw&#10;FITvgv8hPMGbTa0gUo2iwoJ4U3vx9miebbF5KUnW1n9vhIU9DjPzDbPZDaYVL3K+saxgnqQgiEur&#10;G64UFLef2QqED8gaW8uk4E0edtvxaIO5tj1f6HUNlYgQ9jkqqEPocil9WZNBn9iOOHoP6wyGKF0l&#10;tcM+wk0rszRdSoMNx4UaOzrWVD6vv0bBaXkIdyr0WS+yhe0LWbpH65WaTob9GkSgIfyH/9onrSCb&#10;w/dL/AFy+wEAAP//AwBQSwECLQAUAAYACAAAACEA2+H2y+4AAACFAQAAEwAAAAAAAAAAAAAAAAAA&#10;AAAAW0NvbnRlbnRfVHlwZXNdLnhtbFBLAQItABQABgAIAAAAIQBa9CxbvwAAABUBAAALAAAAAAAA&#10;AAAAAAAAAB8BAABfcmVscy8ucmVsc1BLAQItABQABgAIAAAAIQBC574PvwAAANsAAAAPAAAAAAAA&#10;AAAAAAAAAAcCAABkcnMvZG93bnJldi54bWxQSwUGAAAAAAMAAwC3AAAA8wIAAAAA&#10;" strokeweight=".5pt">
                    <v:textbox>
                      <w:txbxContent>
                        <w:p w14:paraId="6F174407" w14:textId="77777777" w:rsidR="003A587C" w:rsidRPr="00A00568" w:rsidRDefault="003A587C" w:rsidP="00A00568">
                          <w:pPr>
                            <w:spacing w:before="40" w:after="0" w:line="240" w:lineRule="auto"/>
                            <w:ind w:left="0"/>
                            <w:jc w:val="center"/>
                            <w:rPr>
                              <w:rFonts w:ascii="Times New Roman" w:hAnsi="Times New Roman"/>
                              <w:szCs w:val="16"/>
                              <w:lang w:val="en-US"/>
                            </w:rPr>
                          </w:pPr>
                          <w:r w:rsidRPr="00A00568">
                            <w:rPr>
                              <w:rFonts w:ascii="Times New Roman" w:hAnsi="Times New Roman"/>
                              <w:b/>
                              <w:i/>
                              <w:szCs w:val="16"/>
                            </w:rPr>
                            <w:t>Cost approach</w:t>
                          </w:r>
                        </w:p>
                      </w:txbxContent>
                    </v:textbox>
                  </v:shape>
                  <v:shape id="Text Box 5" o:spid="_x0000_s1178" type="#_x0000_t202" style="position:absolute;top:29029;width:20332;height:16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SB4vwAAANsAAAAPAAAAZHJzL2Rvd25yZXYueG1sRI9Bi8Iw&#10;FITvgv8hvAVvNt0KItUou4Ig3tRevD2aZ1tsXkoSbf33RhA8DjPzDbPaDKYVD3K+sazgN0lBEJdW&#10;N1wpKM676QKED8gaW8uk4EkeNuvxaIW5tj0f6XEKlYgQ9jkqqEPocil9WZNBn9iOOHpX6wyGKF0l&#10;tcM+wk0rszSdS4MNx4UaO9rWVN5Od6NgP/8PFyr0Qc+yme0LWbpr65Wa/Ax/SxCBhvANf9p7rSDL&#10;4P0l/gC5fgEAAP//AwBQSwECLQAUAAYACAAAACEA2+H2y+4AAACFAQAAEwAAAAAAAAAAAAAAAAAA&#10;AAAAW0NvbnRlbnRfVHlwZXNdLnhtbFBLAQItABQABgAIAAAAIQBa9CxbvwAAABUBAAALAAAAAAAA&#10;AAAAAAAAAB8BAABfcmVscy8ucmVsc1BLAQItABQABgAIAAAAIQCyNSB4vwAAANsAAAAPAAAAAAAA&#10;AAAAAAAAAAcCAABkcnMvZG93bnJldi54bWxQSwUGAAAAAAMAAwC3AAAA8wIAAAAA&#10;" strokeweight=".5pt">
                    <v:textbox>
                      <w:txbxContent>
                        <w:p w14:paraId="2622A0F8" w14:textId="77777777" w:rsidR="003A587C" w:rsidRPr="007D770B" w:rsidRDefault="003A587C" w:rsidP="007033AD">
                          <w:pPr>
                            <w:spacing w:before="40" w:after="0" w:line="240" w:lineRule="auto"/>
                            <w:ind w:left="0"/>
                            <w:jc w:val="left"/>
                            <w:rPr>
                              <w:rFonts w:ascii="Times New Roman" w:hAnsi="Times New Roman"/>
                              <w:b/>
                              <w:sz w:val="16"/>
                              <w:szCs w:val="16"/>
                              <w:lang w:val="en-US"/>
                            </w:rPr>
                          </w:pPr>
                          <w:r w:rsidRPr="007D770B">
                            <w:rPr>
                              <w:rFonts w:ascii="Times New Roman" w:hAnsi="Times New Roman"/>
                              <w:b/>
                              <w:sz w:val="16"/>
                              <w:szCs w:val="16"/>
                              <w:lang w:val="en-US"/>
                            </w:rPr>
                            <w:t>Application Examples:</w:t>
                          </w:r>
                        </w:p>
                        <w:p w14:paraId="1986054A" w14:textId="77777777" w:rsidR="003A587C" w:rsidRPr="007D770B" w:rsidRDefault="003A587C" w:rsidP="007033AD">
                          <w:pPr>
                            <w:spacing w:before="40" w:after="0" w:line="240" w:lineRule="auto"/>
                            <w:ind w:left="0"/>
                            <w:jc w:val="left"/>
                            <w:rPr>
                              <w:rFonts w:ascii="Times New Roman" w:hAnsi="Times New Roman"/>
                              <w:sz w:val="16"/>
                              <w:szCs w:val="16"/>
                              <w:lang w:val="en-US"/>
                            </w:rPr>
                          </w:pPr>
                          <w:r w:rsidRPr="007D770B">
                            <w:rPr>
                              <w:rFonts w:ascii="Times New Roman" w:hAnsi="Times New Roman"/>
                              <w:b/>
                              <w:sz w:val="16"/>
                              <w:szCs w:val="16"/>
                              <w:lang w:val="en-US"/>
                            </w:rPr>
                            <w:t xml:space="preserve">Investment property </w:t>
                          </w:r>
                          <w:r w:rsidRPr="007D770B">
                            <w:rPr>
                              <w:rFonts w:ascii="Times New Roman" w:hAnsi="Times New Roman"/>
                              <w:sz w:val="16"/>
                              <w:szCs w:val="16"/>
                              <w:lang w:val="en-US"/>
                            </w:rPr>
                            <w:t>- sale of similar property, market rents;</w:t>
                          </w:r>
                        </w:p>
                        <w:p w14:paraId="4585AE64" w14:textId="77777777" w:rsidR="003A587C" w:rsidRPr="007D770B" w:rsidRDefault="003A587C" w:rsidP="007033AD">
                          <w:pPr>
                            <w:spacing w:before="40" w:after="0" w:line="240" w:lineRule="auto"/>
                            <w:ind w:left="0"/>
                            <w:jc w:val="left"/>
                            <w:rPr>
                              <w:rFonts w:ascii="Times New Roman" w:hAnsi="Times New Roman"/>
                              <w:sz w:val="16"/>
                              <w:szCs w:val="16"/>
                              <w:lang w:val="en-US"/>
                            </w:rPr>
                          </w:pPr>
                          <w:r w:rsidRPr="007D770B">
                            <w:rPr>
                              <w:rFonts w:ascii="Times New Roman" w:hAnsi="Times New Roman"/>
                              <w:b/>
                              <w:sz w:val="16"/>
                              <w:szCs w:val="16"/>
                              <w:lang w:val="en-US"/>
                            </w:rPr>
                            <w:t xml:space="preserve">Obligations or equity instruments listed on the market </w:t>
                          </w:r>
                          <w:r w:rsidRPr="007D770B">
                            <w:rPr>
                              <w:rFonts w:ascii="Times New Roman" w:hAnsi="Times New Roman"/>
                              <w:sz w:val="16"/>
                              <w:szCs w:val="16"/>
                              <w:lang w:val="en-US"/>
                            </w:rPr>
                            <w:t>- quoted price;</w:t>
                          </w:r>
                        </w:p>
                        <w:p w14:paraId="3480093F" w14:textId="77777777" w:rsidR="003A587C" w:rsidRPr="007D770B" w:rsidRDefault="003A587C" w:rsidP="007033AD">
                          <w:pPr>
                            <w:spacing w:before="40" w:after="0" w:line="240" w:lineRule="auto"/>
                            <w:ind w:left="0"/>
                            <w:jc w:val="left"/>
                            <w:rPr>
                              <w:rFonts w:ascii="Times New Roman" w:hAnsi="Times New Roman"/>
                              <w:sz w:val="16"/>
                              <w:szCs w:val="16"/>
                              <w:lang w:val="en-US"/>
                            </w:rPr>
                          </w:pPr>
                          <w:r w:rsidRPr="007D770B">
                            <w:rPr>
                              <w:rFonts w:ascii="Times New Roman" w:hAnsi="Times New Roman"/>
                              <w:b/>
                              <w:sz w:val="16"/>
                              <w:szCs w:val="16"/>
                              <w:lang w:val="en-US"/>
                            </w:rPr>
                            <w:t xml:space="preserve">Unlisted investments </w:t>
                          </w:r>
                          <w:r w:rsidRPr="007D770B">
                            <w:rPr>
                              <w:rFonts w:ascii="Times New Roman" w:hAnsi="Times New Roman"/>
                              <w:sz w:val="16"/>
                              <w:szCs w:val="16"/>
                              <w:lang w:val="en-US"/>
                            </w:rPr>
                            <w:t>- sales of shares in similar companies, comparison with quoted companies in the same industry.</w:t>
                          </w:r>
                        </w:p>
                      </w:txbxContent>
                    </v:textbox>
                  </v:shape>
                  <v:shape id="Text Box 6" o:spid="_x0000_s1179" type="#_x0000_t202" style="position:absolute;left:43818;top:15357;width:20332;height:8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YXjwAAAANsAAAAPAAAAZHJzL2Rvd25yZXYueG1sRI9Bi8Iw&#10;FITvwv6H8IS9aWoLIrWp6IIge1vtxdujebbF5qUk0Xb//WZB8DjMzDdMsZtML57kfGdZwWqZgCCu&#10;re64UVBdjosNCB+QNfaWScEvediVH7MCc21H/qHnOTQiQtjnqKANYcil9HVLBv3SDsTRu1lnMETp&#10;GqkdjhFuepkmyVoa7DgutDjQV0v1/fwwCk7rQ7hSpb91lmZ2rGTtbr1X6nM+7bcgAk3hHX61T1pB&#10;msH/l/gDZPkHAAD//wMAUEsBAi0AFAAGAAgAAAAhANvh9svuAAAAhQEAABMAAAAAAAAAAAAAAAAA&#10;AAAAAFtDb250ZW50X1R5cGVzXS54bWxQSwECLQAUAAYACAAAACEAWvQsW78AAAAVAQAACwAAAAAA&#10;AAAAAAAAAAAfAQAAX3JlbHMvLnJlbHNQSwECLQAUAAYACAAAACEA3XmF48AAAADbAAAADwAAAAAA&#10;AAAAAAAAAAAHAgAAZHJzL2Rvd25yZXYueG1sUEsFBgAAAAADAAMAtwAAAPQCAAAAAA==&#10;" strokeweight=".5pt">
                    <v:textbox>
                      <w:txbxContent>
                        <w:p w14:paraId="35B4B7E7" w14:textId="77777777" w:rsidR="003A587C" w:rsidRPr="007D770B" w:rsidRDefault="003A587C" w:rsidP="00D5475B">
                          <w:pPr>
                            <w:spacing w:before="40" w:after="0" w:line="240" w:lineRule="auto"/>
                            <w:ind w:left="0"/>
                            <w:jc w:val="left"/>
                            <w:rPr>
                              <w:rFonts w:ascii="Times New Roman" w:hAnsi="Times New Roman"/>
                              <w:b/>
                              <w:sz w:val="16"/>
                              <w:szCs w:val="16"/>
                              <w:lang w:val="en-US"/>
                            </w:rPr>
                          </w:pPr>
                          <w:r w:rsidRPr="007D770B">
                            <w:rPr>
                              <w:rFonts w:ascii="Times New Roman" w:hAnsi="Times New Roman"/>
                              <w:b/>
                              <w:sz w:val="16"/>
                              <w:szCs w:val="16"/>
                              <w:lang w:val="en-US"/>
                            </w:rPr>
                            <w:t>It is based on the following:</w:t>
                          </w:r>
                        </w:p>
                        <w:p w14:paraId="70FFD888" w14:textId="77777777" w:rsidR="003A587C" w:rsidRPr="007D770B" w:rsidRDefault="003A587C" w:rsidP="00D5475B">
                          <w:pPr>
                            <w:spacing w:before="40" w:after="0" w:line="240" w:lineRule="auto"/>
                            <w:ind w:left="0"/>
                            <w:jc w:val="left"/>
                            <w:rPr>
                              <w:rFonts w:ascii="Times New Roman" w:hAnsi="Times New Roman"/>
                              <w:sz w:val="16"/>
                              <w:szCs w:val="16"/>
                              <w:lang w:val="en-US"/>
                            </w:rPr>
                          </w:pPr>
                          <w:r w:rsidRPr="007D770B">
                            <w:rPr>
                              <w:rFonts w:ascii="Times New Roman" w:hAnsi="Times New Roman"/>
                              <w:sz w:val="16"/>
                              <w:szCs w:val="16"/>
                              <w:lang w:val="en-US"/>
                            </w:rPr>
                            <w:t>1. the current replacement cost of the asset;</w:t>
                          </w:r>
                        </w:p>
                        <w:p w14:paraId="2222BB6A" w14:textId="77777777" w:rsidR="003A587C" w:rsidRPr="007D770B" w:rsidRDefault="003A587C" w:rsidP="00D5475B">
                          <w:pPr>
                            <w:spacing w:before="40" w:after="0" w:line="240" w:lineRule="auto"/>
                            <w:ind w:left="0"/>
                            <w:jc w:val="left"/>
                            <w:rPr>
                              <w:rFonts w:ascii="Times New Roman" w:hAnsi="Times New Roman"/>
                              <w:sz w:val="16"/>
                              <w:szCs w:val="16"/>
                              <w:lang w:val="en-US"/>
                            </w:rPr>
                          </w:pPr>
                          <w:r w:rsidRPr="007D770B">
                            <w:rPr>
                              <w:rFonts w:ascii="Times New Roman" w:hAnsi="Times New Roman"/>
                              <w:sz w:val="16"/>
                              <w:szCs w:val="16"/>
                              <w:lang w:val="en-US"/>
                            </w:rPr>
                            <w:t>2. the current age and condition of the asset;</w:t>
                          </w:r>
                        </w:p>
                        <w:p w14:paraId="297C9B77" w14:textId="77777777" w:rsidR="003A587C" w:rsidRPr="00042F2E" w:rsidRDefault="003A587C" w:rsidP="00D5475B">
                          <w:pPr>
                            <w:spacing w:before="40" w:after="0" w:line="240" w:lineRule="auto"/>
                            <w:ind w:left="0"/>
                            <w:jc w:val="left"/>
                            <w:rPr>
                              <w:rFonts w:ascii="Times New Roman" w:hAnsi="Times New Roman"/>
                              <w:sz w:val="16"/>
                              <w:szCs w:val="16"/>
                            </w:rPr>
                          </w:pPr>
                          <w:r w:rsidRPr="00042F2E">
                            <w:rPr>
                              <w:rFonts w:ascii="Times New Roman" w:hAnsi="Times New Roman"/>
                              <w:sz w:val="16"/>
                              <w:szCs w:val="16"/>
                            </w:rPr>
                            <w:t>3. economic and functional depreciation.</w:t>
                          </w:r>
                        </w:p>
                      </w:txbxContent>
                    </v:textbox>
                  </v:shape>
                  <v:shape id="Text Box 7" o:spid="_x0000_s1180" type="#_x0000_t202" style="position:absolute;left:43818;top:25523;width:20332;height:19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B2XwQAAANsAAAAPAAAAZHJzL2Rvd25yZXYueG1sRI9Bi8Iw&#10;FITvgv8hPMGbpltFpGss68KC7E3txdujebZlm5eSxLb++40geBxm5html4+mFT0531hW8LFMQBCX&#10;VjdcKSguP4stCB+QNbaWScGDPOT76WSHmbYDn6g/h0pECPsMFdQhdJmUvqzJoF/ajjh6N+sMhihd&#10;JbXDIcJNK9Mk2UiDDceFGjv6rqn8O9+NguPmEK5U6F+9Sld2KGTpbq1Xaj4bvz5BBBrDO/xqH7WC&#10;dA3PL/EHyP0/AAAA//8DAFBLAQItABQABgAIAAAAIQDb4fbL7gAAAIUBAAATAAAAAAAAAAAAAAAA&#10;AAAAAABbQ29udGVudF9UeXBlc10ueG1sUEsBAi0AFAAGAAgAAAAhAFr0LFu/AAAAFQEAAAsAAAAA&#10;AAAAAAAAAAAAHwEAAF9yZWxzLy5yZWxzUEsBAi0AFAAGAAgAAAAhAFKQHZfBAAAA2wAAAA8AAAAA&#10;AAAAAAAAAAAABwIAAGRycy9kb3ducmV2LnhtbFBLBQYAAAAAAwADALcAAAD1AgAAAAA=&#10;" strokeweight=".5pt">
                    <v:textbox>
                      <w:txbxContent>
                        <w:p w14:paraId="354F19EF" w14:textId="77777777" w:rsidR="003A587C" w:rsidRPr="007D770B" w:rsidRDefault="003A587C" w:rsidP="007033AD">
                          <w:pPr>
                            <w:spacing w:before="40" w:after="0" w:line="240" w:lineRule="auto"/>
                            <w:ind w:left="0"/>
                            <w:jc w:val="left"/>
                            <w:rPr>
                              <w:rFonts w:ascii="Times New Roman" w:hAnsi="Times New Roman"/>
                              <w:b/>
                              <w:sz w:val="16"/>
                              <w:szCs w:val="16"/>
                              <w:lang w:val="en-US"/>
                            </w:rPr>
                          </w:pPr>
                          <w:r w:rsidRPr="007D770B">
                            <w:rPr>
                              <w:rFonts w:ascii="Times New Roman" w:hAnsi="Times New Roman"/>
                              <w:b/>
                              <w:sz w:val="16"/>
                              <w:szCs w:val="16"/>
                              <w:lang w:val="en-US"/>
                            </w:rPr>
                            <w:t>Application Examples:</w:t>
                          </w:r>
                        </w:p>
                        <w:p w14:paraId="36A2B15A" w14:textId="77777777" w:rsidR="003A587C" w:rsidRPr="007D770B" w:rsidRDefault="003A587C" w:rsidP="007033AD">
                          <w:pPr>
                            <w:spacing w:before="40" w:after="0" w:line="240" w:lineRule="auto"/>
                            <w:ind w:left="0"/>
                            <w:jc w:val="left"/>
                            <w:rPr>
                              <w:rFonts w:ascii="Times New Roman" w:hAnsi="Times New Roman"/>
                              <w:sz w:val="16"/>
                              <w:szCs w:val="16"/>
                              <w:lang w:val="en-US"/>
                            </w:rPr>
                          </w:pPr>
                          <w:r w:rsidRPr="007D770B">
                            <w:rPr>
                              <w:rFonts w:ascii="Times New Roman" w:hAnsi="Times New Roman"/>
                              <w:sz w:val="16"/>
                              <w:szCs w:val="16"/>
                              <w:lang w:val="en-US"/>
                            </w:rPr>
                            <w:t xml:space="preserve"> - Fixed Assets;</w:t>
                          </w:r>
                        </w:p>
                        <w:p w14:paraId="1A7AA722" w14:textId="77777777" w:rsidR="003A587C" w:rsidRPr="007D770B" w:rsidRDefault="003A587C" w:rsidP="007033AD">
                          <w:pPr>
                            <w:spacing w:before="40" w:after="0" w:line="240" w:lineRule="auto"/>
                            <w:ind w:left="0"/>
                            <w:jc w:val="left"/>
                            <w:rPr>
                              <w:rFonts w:ascii="Times New Roman" w:hAnsi="Times New Roman"/>
                              <w:sz w:val="16"/>
                              <w:szCs w:val="16"/>
                              <w:lang w:val="en-US"/>
                            </w:rPr>
                          </w:pPr>
                          <w:r w:rsidRPr="007D770B">
                            <w:rPr>
                              <w:rFonts w:ascii="Times New Roman" w:hAnsi="Times New Roman"/>
                              <w:sz w:val="16"/>
                              <w:szCs w:val="16"/>
                              <w:lang w:val="en-US"/>
                            </w:rPr>
                            <w:t xml:space="preserve"> - Intangible assets that do not directly generate income (software for internal use);</w:t>
                          </w:r>
                        </w:p>
                        <w:p w14:paraId="6E6A8A3B" w14:textId="77777777" w:rsidR="003A587C" w:rsidRPr="007D770B" w:rsidRDefault="003A587C" w:rsidP="007033AD">
                          <w:pPr>
                            <w:spacing w:before="40" w:after="0" w:line="240" w:lineRule="auto"/>
                            <w:ind w:left="0"/>
                            <w:jc w:val="left"/>
                            <w:rPr>
                              <w:rFonts w:ascii="Times New Roman" w:hAnsi="Times New Roman"/>
                              <w:sz w:val="16"/>
                              <w:szCs w:val="16"/>
                              <w:lang w:val="en-US"/>
                            </w:rPr>
                          </w:pPr>
                          <w:r w:rsidRPr="007D770B">
                            <w:rPr>
                              <w:rFonts w:ascii="Times New Roman" w:hAnsi="Times New Roman"/>
                              <w:sz w:val="16"/>
                              <w:szCs w:val="16"/>
                              <w:lang w:val="en-US"/>
                            </w:rPr>
                            <w:t xml:space="preserve"> - It is possible to use market and income methods as a second method to test the validity of the results.</w:t>
                          </w:r>
                        </w:p>
                      </w:txbxContent>
                    </v:textbox>
                  </v:shape>
                  <v:shape id="Text Box 8" o:spid="_x0000_s1181" type="#_x0000_t202" style="position:absolute;left:21945;top:6290;width:20333;height:6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3LgMwQAAANsAAAAPAAAAZHJzL2Rvd25yZXYueG1sRI9Bi8Iw&#10;FITvgv8hPMGbpltRpGss68KC7E3txdujebZlm5eSxLb++40geBxm5html4+mFT0531hW8LFMQBCX&#10;VjdcKSguP4stCB+QNbaWScGDPOT76WSHmbYDn6g/h0pECPsMFdQhdJmUvqzJoF/ajjh6N+sMhihd&#10;JbXDIcJNK9Mk2UiDDceFGjv6rqn8O9+NguPmEK5U6F+9Sld2KGTpbq1Xaj4bvz5BBBrDO/xqH7WC&#10;dA3PL/EHyP0/AAAA//8DAFBLAQItABQABgAIAAAAIQDb4fbL7gAAAIUBAAATAAAAAAAAAAAAAAAA&#10;AAAAAABbQ29udGVudF9UeXBlc10ueG1sUEsBAi0AFAAGAAgAAAAhAFr0LFu/AAAAFQEAAAsAAAAA&#10;AAAAAAAAAAAAHwEAAF9yZWxzLy5yZWxzUEsBAi0AFAAGAAgAAAAhAD3cuAzBAAAA2wAAAA8AAAAA&#10;AAAAAAAAAAAABwIAAGRycy9kb3ducmV2LnhtbFBLBQYAAAAAAwADALcAAAD1AgAAAAA=&#10;" strokeweight=".5pt">
                    <v:textbox>
                      <w:txbxContent>
                        <w:p w14:paraId="7E8F7F15" w14:textId="77777777" w:rsidR="003A587C" w:rsidRPr="00A00568" w:rsidRDefault="003A587C" w:rsidP="00A00568">
                          <w:pPr>
                            <w:spacing w:before="40" w:after="0" w:line="240" w:lineRule="auto"/>
                            <w:ind w:left="0"/>
                            <w:jc w:val="center"/>
                            <w:rPr>
                              <w:rFonts w:ascii="Times New Roman" w:hAnsi="Times New Roman"/>
                              <w:szCs w:val="16"/>
                            </w:rPr>
                          </w:pPr>
                          <w:r w:rsidRPr="00A00568">
                            <w:rPr>
                              <w:rFonts w:ascii="Times New Roman" w:hAnsi="Times New Roman"/>
                              <w:b/>
                              <w:i/>
                              <w:szCs w:val="16"/>
                            </w:rPr>
                            <w:t>Income approach</w:t>
                          </w:r>
                        </w:p>
                      </w:txbxContent>
                    </v:textbox>
                  </v:shape>
                  <v:shape id="Text Box 9" o:spid="_x0000_s1182" type="#_x0000_t202" style="position:absolute;left:21869;top:15283;width:20333;height:16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iZ7vwAAANsAAAAPAAAAZHJzL2Rvd25yZXYueG1sRI9Bi8Iw&#10;FITvgv8hPMGbplYoUo2iwoJ4U3vx9miebbF5KUnW1n9vhIU9DjPzDbPZDaYVL3K+saxgMU9AEJdW&#10;N1wpKG4/sxUIH5A1tpZJwZs87Lbj0QZzbXu+0OsaKhEh7HNUUIfQ5VL6siaDfm474ug9rDMYonSV&#10;1A77CDetTJMkkwYbjgs1dnSsqXxef42CU3YIdyr0WS/Tpe0LWbpH65WaTob9GkSgIfyH/9onrSDN&#10;4Psl/gC5/QAAAP//AwBQSwECLQAUAAYACAAAACEA2+H2y+4AAACFAQAAEwAAAAAAAAAAAAAAAAAA&#10;AAAAW0NvbnRlbnRfVHlwZXNdLnhtbFBLAQItABQABgAIAAAAIQBa9CxbvwAAABUBAAALAAAAAAAA&#10;AAAAAAAAAB8BAABfcmVscy8ucmVsc1BLAQItABQABgAIAAAAIQDNDiZ7vwAAANsAAAAPAAAAAAAA&#10;AAAAAAAAAAcCAABkcnMvZG93bnJldi54bWxQSwUGAAAAAAMAAwC3AAAA8wIAAAAA&#10;" strokeweight=".5pt">
                    <v:textbox>
                      <w:txbxContent>
                        <w:p w14:paraId="628EEC3C" w14:textId="77777777" w:rsidR="003A587C" w:rsidRPr="007D770B" w:rsidRDefault="003A587C" w:rsidP="00D5475B">
                          <w:pPr>
                            <w:spacing w:before="40" w:after="0" w:line="240" w:lineRule="auto"/>
                            <w:ind w:left="0"/>
                            <w:jc w:val="left"/>
                            <w:rPr>
                              <w:rFonts w:ascii="Times New Roman" w:hAnsi="Times New Roman"/>
                              <w:b/>
                              <w:sz w:val="16"/>
                              <w:szCs w:val="16"/>
                              <w:lang w:val="en-US"/>
                            </w:rPr>
                          </w:pPr>
                          <w:r w:rsidRPr="007D770B">
                            <w:rPr>
                              <w:rFonts w:ascii="Times New Roman" w:hAnsi="Times New Roman"/>
                              <w:b/>
                              <w:sz w:val="16"/>
                              <w:szCs w:val="16"/>
                              <w:lang w:val="en-US"/>
                            </w:rPr>
                            <w:t>It is based on the following:</w:t>
                          </w:r>
                        </w:p>
                        <w:p w14:paraId="2009A83E" w14:textId="77777777" w:rsidR="003A587C" w:rsidRPr="007D770B" w:rsidRDefault="003A587C" w:rsidP="00D5475B">
                          <w:pPr>
                            <w:spacing w:before="40" w:after="0" w:line="240" w:lineRule="auto"/>
                            <w:ind w:left="0"/>
                            <w:jc w:val="left"/>
                            <w:rPr>
                              <w:rFonts w:ascii="Times New Roman" w:hAnsi="Times New Roman"/>
                              <w:b/>
                              <w:sz w:val="16"/>
                              <w:szCs w:val="16"/>
                              <w:lang w:val="en-US"/>
                            </w:rPr>
                          </w:pPr>
                          <w:r w:rsidRPr="007D770B">
                            <w:rPr>
                              <w:rFonts w:ascii="Times New Roman" w:hAnsi="Times New Roman"/>
                              <w:b/>
                              <w:sz w:val="16"/>
                              <w:szCs w:val="16"/>
                              <w:lang w:val="en-US"/>
                            </w:rPr>
                            <w:t>1. Direct methods:</w:t>
                          </w:r>
                        </w:p>
                        <w:p w14:paraId="2D882253" w14:textId="77777777" w:rsidR="003A587C" w:rsidRPr="007D770B" w:rsidRDefault="003A587C" w:rsidP="00D5475B">
                          <w:pPr>
                            <w:spacing w:before="40" w:after="0" w:line="240" w:lineRule="auto"/>
                            <w:ind w:left="0"/>
                            <w:jc w:val="left"/>
                            <w:rPr>
                              <w:rFonts w:ascii="Times New Roman" w:hAnsi="Times New Roman"/>
                              <w:sz w:val="16"/>
                              <w:szCs w:val="16"/>
                              <w:lang w:val="en-US"/>
                            </w:rPr>
                          </w:pPr>
                          <w:r w:rsidRPr="007D770B">
                            <w:rPr>
                              <w:rFonts w:ascii="Times New Roman" w:hAnsi="Times New Roman"/>
                              <w:sz w:val="16"/>
                              <w:szCs w:val="16"/>
                              <w:lang w:val="en-US"/>
                            </w:rPr>
                            <w:t xml:space="preserve"> - royalty exemption method</w:t>
                          </w:r>
                        </w:p>
                        <w:p w14:paraId="5A998EC9" w14:textId="77777777" w:rsidR="003A587C" w:rsidRPr="007D770B" w:rsidRDefault="003A587C" w:rsidP="00D5475B">
                          <w:pPr>
                            <w:spacing w:before="40" w:after="0" w:line="240" w:lineRule="auto"/>
                            <w:ind w:left="0"/>
                            <w:jc w:val="left"/>
                            <w:rPr>
                              <w:rFonts w:ascii="Times New Roman" w:hAnsi="Times New Roman"/>
                              <w:sz w:val="16"/>
                              <w:szCs w:val="16"/>
                              <w:lang w:val="en-US"/>
                            </w:rPr>
                          </w:pPr>
                          <w:r w:rsidRPr="007D770B">
                            <w:rPr>
                              <w:rFonts w:ascii="Times New Roman" w:hAnsi="Times New Roman"/>
                              <w:sz w:val="16"/>
                              <w:szCs w:val="16"/>
                              <w:lang w:val="en-US"/>
                            </w:rPr>
                            <w:t xml:space="preserve"> - cost-saving method</w:t>
                          </w:r>
                        </w:p>
                        <w:p w14:paraId="50079D8B" w14:textId="77777777" w:rsidR="003A587C" w:rsidRPr="007D770B" w:rsidRDefault="003A587C" w:rsidP="00D5475B">
                          <w:pPr>
                            <w:spacing w:before="40" w:after="0" w:line="240" w:lineRule="auto"/>
                            <w:ind w:left="0"/>
                            <w:jc w:val="left"/>
                            <w:rPr>
                              <w:rFonts w:ascii="Times New Roman" w:hAnsi="Times New Roman"/>
                              <w:sz w:val="16"/>
                              <w:szCs w:val="16"/>
                              <w:lang w:val="en-US"/>
                            </w:rPr>
                          </w:pPr>
                          <w:r w:rsidRPr="007D770B">
                            <w:rPr>
                              <w:rFonts w:ascii="Times New Roman" w:hAnsi="Times New Roman"/>
                              <w:sz w:val="16"/>
                              <w:szCs w:val="16"/>
                              <w:lang w:val="en-US"/>
                            </w:rPr>
                            <w:t xml:space="preserve"> - premium pricing method</w:t>
                          </w:r>
                        </w:p>
                        <w:p w14:paraId="4F33C63F" w14:textId="77777777" w:rsidR="003A587C" w:rsidRPr="007D770B" w:rsidRDefault="003A587C" w:rsidP="00D5475B">
                          <w:pPr>
                            <w:spacing w:before="40" w:after="0" w:line="240" w:lineRule="auto"/>
                            <w:ind w:left="0"/>
                            <w:jc w:val="left"/>
                            <w:rPr>
                              <w:rFonts w:ascii="Times New Roman" w:hAnsi="Times New Roman"/>
                              <w:sz w:val="16"/>
                              <w:szCs w:val="16"/>
                              <w:lang w:val="en-US"/>
                            </w:rPr>
                          </w:pPr>
                          <w:r w:rsidRPr="007D770B">
                            <w:rPr>
                              <w:rFonts w:ascii="Times New Roman" w:hAnsi="Times New Roman"/>
                              <w:sz w:val="16"/>
                              <w:szCs w:val="16"/>
                              <w:lang w:val="en-US"/>
                            </w:rPr>
                            <w:t xml:space="preserve"> - premium method</w:t>
                          </w:r>
                        </w:p>
                        <w:p w14:paraId="1049362E" w14:textId="77777777" w:rsidR="003A587C" w:rsidRPr="007D770B" w:rsidRDefault="003A587C" w:rsidP="00D5475B">
                          <w:pPr>
                            <w:spacing w:before="40" w:after="0" w:line="240" w:lineRule="auto"/>
                            <w:ind w:left="0"/>
                            <w:jc w:val="left"/>
                            <w:rPr>
                              <w:rFonts w:ascii="Times New Roman" w:hAnsi="Times New Roman"/>
                              <w:b/>
                              <w:sz w:val="16"/>
                              <w:szCs w:val="16"/>
                              <w:lang w:val="en-US"/>
                            </w:rPr>
                          </w:pPr>
                          <w:r w:rsidRPr="007D770B">
                            <w:rPr>
                              <w:rFonts w:ascii="Times New Roman" w:hAnsi="Times New Roman"/>
                              <w:b/>
                              <w:sz w:val="16"/>
                              <w:szCs w:val="16"/>
                              <w:lang w:val="en-US"/>
                            </w:rPr>
                            <w:t>2. Indirect or residual methods:</w:t>
                          </w:r>
                        </w:p>
                        <w:p w14:paraId="63B04DA3" w14:textId="77777777" w:rsidR="003A587C" w:rsidRPr="007D770B" w:rsidRDefault="003A587C" w:rsidP="00D5475B">
                          <w:pPr>
                            <w:spacing w:before="40" w:after="0" w:line="240" w:lineRule="auto"/>
                            <w:ind w:left="0"/>
                            <w:jc w:val="left"/>
                            <w:rPr>
                              <w:rFonts w:ascii="Times New Roman" w:hAnsi="Times New Roman"/>
                              <w:sz w:val="16"/>
                              <w:szCs w:val="16"/>
                              <w:lang w:val="en-US"/>
                            </w:rPr>
                          </w:pPr>
                          <w:r w:rsidRPr="007D770B">
                            <w:rPr>
                              <w:rFonts w:ascii="Times New Roman" w:hAnsi="Times New Roman"/>
                              <w:sz w:val="16"/>
                              <w:szCs w:val="16"/>
                              <w:lang w:val="en-US"/>
                            </w:rPr>
                            <w:t xml:space="preserve"> - return on assets (</w:t>
                          </w:r>
                          <w:r w:rsidRPr="00042F2E">
                            <w:rPr>
                              <w:rFonts w:ascii="Times New Roman" w:hAnsi="Times New Roman"/>
                              <w:sz w:val="16"/>
                              <w:szCs w:val="16"/>
                              <w:lang w:val="en-GB"/>
                            </w:rPr>
                            <w:t>ROA</w:t>
                          </w:r>
                          <w:r w:rsidRPr="007D770B">
                            <w:rPr>
                              <w:rFonts w:ascii="Times New Roman" w:hAnsi="Times New Roman"/>
                              <w:sz w:val="16"/>
                              <w:szCs w:val="16"/>
                              <w:lang w:val="en-US"/>
                            </w:rPr>
                            <w:t>)</w:t>
                          </w:r>
                        </w:p>
                        <w:p w14:paraId="7D9F58A0" w14:textId="77777777" w:rsidR="003A587C" w:rsidRPr="007D770B" w:rsidRDefault="003A587C" w:rsidP="00D5475B">
                          <w:pPr>
                            <w:spacing w:before="40" w:after="0" w:line="240" w:lineRule="auto"/>
                            <w:ind w:left="0"/>
                            <w:jc w:val="left"/>
                            <w:rPr>
                              <w:rFonts w:ascii="Times New Roman" w:hAnsi="Times New Roman"/>
                              <w:sz w:val="16"/>
                              <w:szCs w:val="16"/>
                              <w:lang w:val="en-US"/>
                            </w:rPr>
                          </w:pPr>
                          <w:r w:rsidRPr="007D770B">
                            <w:rPr>
                              <w:rFonts w:ascii="Times New Roman" w:hAnsi="Times New Roman"/>
                              <w:sz w:val="16"/>
                              <w:szCs w:val="16"/>
                              <w:lang w:val="en-US"/>
                            </w:rPr>
                            <w:t xml:space="preserve"> - residual yield method</w:t>
                          </w:r>
                        </w:p>
                        <w:p w14:paraId="65180056" w14:textId="77777777" w:rsidR="003A587C" w:rsidRPr="00042F2E" w:rsidRDefault="003A587C" w:rsidP="00D5475B">
                          <w:pPr>
                            <w:spacing w:before="40" w:after="0" w:line="240" w:lineRule="auto"/>
                            <w:ind w:left="0"/>
                            <w:jc w:val="left"/>
                            <w:rPr>
                              <w:rFonts w:ascii="Times New Roman" w:hAnsi="Times New Roman"/>
                              <w:sz w:val="16"/>
                              <w:szCs w:val="16"/>
                            </w:rPr>
                          </w:pPr>
                          <w:r w:rsidRPr="007D770B">
                            <w:rPr>
                              <w:rFonts w:ascii="Times New Roman" w:hAnsi="Times New Roman"/>
                              <w:sz w:val="16"/>
                              <w:szCs w:val="16"/>
                              <w:lang w:val="en-US"/>
                            </w:rPr>
                            <w:t xml:space="preserve"> </w:t>
                          </w:r>
                          <w:r w:rsidRPr="00042F2E">
                            <w:rPr>
                              <w:rFonts w:ascii="Times New Roman" w:hAnsi="Times New Roman"/>
                              <w:sz w:val="16"/>
                              <w:szCs w:val="16"/>
                            </w:rPr>
                            <w:t>- excess return method (MEEM).</w:t>
                          </w:r>
                        </w:p>
                      </w:txbxContent>
                    </v:textbox>
                  </v:shape>
                  <v:shape id="Text Box 10" o:spid="_x0000_s1183" type="#_x0000_t202" style="position:absolute;left:21869;top:33501;width:20333;height:11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oPgwQAAANsAAAAPAAAAZHJzL2Rvd25yZXYueG1sRI9Bi8Iw&#10;FITvgv8hPMGbpltBl66xrIIg3tRe9vZonm3Z5qUksa3/3iwseBxm5htmm4+mFT0531hW8LFMQBCX&#10;VjdcKShux8UnCB+QNbaWScGTPOS76WSLmbYDX6i/hkpECPsMFdQhdJmUvqzJoF/ajjh6d+sMhihd&#10;JbXDIcJNK9MkWUuDDceFGjs61FT+Xh9GwWm9Dz9U6LNepSs7FLJ099YrNZ+N318gAo3hHf5vn7SC&#10;dAN/X+IPkLsXAAAA//8DAFBLAQItABQABgAIAAAAIQDb4fbL7gAAAIUBAAATAAAAAAAAAAAAAAAA&#10;AAAAAABbQ29udGVudF9UeXBlc10ueG1sUEsBAi0AFAAGAAgAAAAhAFr0LFu/AAAAFQEAAAsAAAAA&#10;AAAAAAAAAAAAHwEAAF9yZWxzLy5yZWxzUEsBAi0AFAAGAAgAAAAhAKJCg+DBAAAA2wAAAA8AAAAA&#10;AAAAAAAAAAAABwIAAGRycy9kb3ducmV2LnhtbFBLBQYAAAAAAwADALcAAAD1AgAAAAA=&#10;" strokeweight=".5pt">
                    <v:textbox>
                      <w:txbxContent>
                        <w:p w14:paraId="61AAEE1F" w14:textId="77777777" w:rsidR="003A587C" w:rsidRPr="007D770B" w:rsidRDefault="003A587C" w:rsidP="007033AD">
                          <w:pPr>
                            <w:spacing w:before="40" w:after="0" w:line="240" w:lineRule="auto"/>
                            <w:ind w:left="0"/>
                            <w:jc w:val="left"/>
                            <w:rPr>
                              <w:rFonts w:ascii="Times New Roman" w:hAnsi="Times New Roman"/>
                              <w:b/>
                              <w:sz w:val="16"/>
                              <w:szCs w:val="16"/>
                              <w:lang w:val="en-US"/>
                            </w:rPr>
                          </w:pPr>
                          <w:r w:rsidRPr="007D770B">
                            <w:rPr>
                              <w:rFonts w:ascii="Times New Roman" w:hAnsi="Times New Roman"/>
                              <w:b/>
                              <w:sz w:val="16"/>
                              <w:szCs w:val="16"/>
                              <w:lang w:val="en-US"/>
                            </w:rPr>
                            <w:t>Application Examples:</w:t>
                          </w:r>
                        </w:p>
                        <w:p w14:paraId="757E00F0" w14:textId="77777777" w:rsidR="003A587C" w:rsidRPr="007D770B" w:rsidRDefault="003A587C" w:rsidP="007033AD">
                          <w:pPr>
                            <w:spacing w:before="40" w:after="0" w:line="240" w:lineRule="auto"/>
                            <w:ind w:left="0"/>
                            <w:jc w:val="left"/>
                            <w:rPr>
                              <w:rFonts w:ascii="Times New Roman" w:hAnsi="Times New Roman"/>
                              <w:sz w:val="16"/>
                              <w:szCs w:val="16"/>
                              <w:lang w:val="en-US"/>
                            </w:rPr>
                          </w:pPr>
                          <w:r w:rsidRPr="007D770B">
                            <w:rPr>
                              <w:rFonts w:ascii="Times New Roman" w:hAnsi="Times New Roman"/>
                              <w:sz w:val="16"/>
                              <w:szCs w:val="16"/>
                              <w:lang w:val="en-US"/>
                            </w:rPr>
                            <w:t xml:space="preserve"> - Intangible Assets;</w:t>
                          </w:r>
                        </w:p>
                        <w:p w14:paraId="7DF6E3AE" w14:textId="77777777" w:rsidR="003A587C" w:rsidRPr="007D770B" w:rsidRDefault="003A587C" w:rsidP="007033AD">
                          <w:pPr>
                            <w:spacing w:before="40" w:after="0" w:line="240" w:lineRule="auto"/>
                            <w:ind w:left="0"/>
                            <w:jc w:val="left"/>
                            <w:rPr>
                              <w:rFonts w:ascii="Times New Roman" w:hAnsi="Times New Roman"/>
                              <w:sz w:val="16"/>
                              <w:szCs w:val="16"/>
                              <w:lang w:val="en-US"/>
                            </w:rPr>
                          </w:pPr>
                          <w:r w:rsidRPr="007D770B">
                            <w:rPr>
                              <w:rFonts w:ascii="Times New Roman" w:hAnsi="Times New Roman"/>
                              <w:sz w:val="16"/>
                              <w:szCs w:val="16"/>
                              <w:lang w:val="en-US"/>
                            </w:rPr>
                            <w:t xml:space="preserve"> - Investment Property;</w:t>
                          </w:r>
                        </w:p>
                        <w:p w14:paraId="03898B04" w14:textId="77777777" w:rsidR="003A587C" w:rsidRPr="007D770B" w:rsidRDefault="003A587C" w:rsidP="007033AD">
                          <w:pPr>
                            <w:spacing w:before="40" w:after="0" w:line="240" w:lineRule="auto"/>
                            <w:ind w:left="0"/>
                            <w:jc w:val="left"/>
                            <w:rPr>
                              <w:rFonts w:ascii="Times New Roman" w:hAnsi="Times New Roman"/>
                              <w:sz w:val="16"/>
                              <w:szCs w:val="16"/>
                              <w:lang w:val="en-US"/>
                            </w:rPr>
                          </w:pPr>
                          <w:r w:rsidRPr="007D770B">
                            <w:rPr>
                              <w:rFonts w:ascii="Times New Roman" w:hAnsi="Times New Roman"/>
                              <w:sz w:val="16"/>
                              <w:szCs w:val="16"/>
                              <w:lang w:val="en-US"/>
                            </w:rPr>
                            <w:t xml:space="preserve"> - Financial Instruments;</w:t>
                          </w:r>
                        </w:p>
                        <w:p w14:paraId="4EA6D538" w14:textId="77777777" w:rsidR="003A587C" w:rsidRPr="007D770B" w:rsidRDefault="003A587C" w:rsidP="007033AD">
                          <w:pPr>
                            <w:spacing w:before="40" w:after="0" w:line="240" w:lineRule="auto"/>
                            <w:ind w:left="0"/>
                            <w:jc w:val="left"/>
                            <w:rPr>
                              <w:rFonts w:ascii="Times New Roman" w:hAnsi="Times New Roman"/>
                              <w:sz w:val="16"/>
                              <w:szCs w:val="16"/>
                              <w:lang w:val="en-US"/>
                            </w:rPr>
                          </w:pPr>
                          <w:r w:rsidRPr="007D770B">
                            <w:rPr>
                              <w:rFonts w:ascii="Times New Roman" w:hAnsi="Times New Roman"/>
                              <w:sz w:val="16"/>
                              <w:szCs w:val="16"/>
                              <w:lang w:val="en-US"/>
                            </w:rPr>
                            <w:t xml:space="preserve"> - Non-financial assets.</w:t>
                          </w:r>
                        </w:p>
                      </w:txbxContent>
                    </v:textbox>
                  </v:shape>
                  <v:line id="Straight Connector 12" o:spid="_x0000_s1184" style="position:absolute;visibility:visible;mso-wrap-style:square" from="9875,13167" to="9875,15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QYdwQAAANsAAAAPAAAAZHJzL2Rvd25yZXYueG1sRE/Pa8Iw&#10;FL4P/B/CE3abqQ42rUYRQRwMYdYdPD6SZ1NtXmqT1e6/Xw7Cjh/f78Wqd7XoqA2VZwXjUQaCWHtT&#10;cang+7h9mYIIEdlg7ZkU/FKA1XLwtMDc+DsfqCtiKVIIhxwV2BibXMqgLTkMI98QJ+7sW4cxwbaU&#10;psV7Cne1nGTZm3RYcWqw2NDGkr4WP06BrItMXz5v0/eT3ZnXY7fXX4eZUs/Dfj0HEamP/+KH+8Mo&#10;mKSx6Uv6AXL5BwAA//8DAFBLAQItABQABgAIAAAAIQDb4fbL7gAAAIUBAAATAAAAAAAAAAAAAAAA&#10;AAAAAABbQ29udGVudF9UeXBlc10ueG1sUEsBAi0AFAAGAAgAAAAhAFr0LFu/AAAAFQEAAAsAAAAA&#10;AAAAAAAAAAAAHwEAAF9yZWxzLy5yZWxzUEsBAi0AFAAGAAgAAAAhAKZxBh3BAAAA2wAAAA8AAAAA&#10;AAAAAAAAAAAABwIAAGRycy9kb3ducmV2LnhtbFBLBQYAAAAAAwADALcAAAD1AgAAAAA=&#10;" strokeweight="2pt">
                    <v:shadow on="t" color="black" opacity="24903f" origin=",.5" offset="0,.55556mm"/>
                  </v:line>
                  <v:line id="Straight Connector 14" o:spid="_x0000_s1185" style="position:absolute;visibility:visible;mso-wrap-style:square" from="31382,13167" to="31382,15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aOGxAAAANsAAAAPAAAAZHJzL2Rvd25yZXYueG1sRI9BawIx&#10;FITvBf9DeIK3mlWh6moUKZQKpaBrDz0+kudm283LdhPX9d+bQqHHYWa+Ydbb3tWiozZUnhVMxhkI&#10;Yu1NxaWCj9PL4wJEiMgGa8+k4EYBtpvBwxpz4698pK6IpUgQDjkqsDE2uZRBW3IYxr4hTt7Ztw5j&#10;km0pTYvXBHe1nGbZk3RYcVqw2NCzJf1dXJwCWReZ/nr7Wcw/7auZnbp3fTgulRoN+90KRKQ+/of/&#10;2nujYLqE3y/pB8jNHQAA//8DAFBLAQItABQABgAIAAAAIQDb4fbL7gAAAIUBAAATAAAAAAAAAAAA&#10;AAAAAAAAAABbQ29udGVudF9UeXBlc10ueG1sUEsBAi0AFAAGAAgAAAAhAFr0LFu/AAAAFQEAAAsA&#10;AAAAAAAAAAAAAAAAHwEAAF9yZWxzLy5yZWxzUEsBAi0AFAAGAAgAAAAhAMk9o4bEAAAA2wAAAA8A&#10;AAAAAAAAAAAAAAAABwIAAGRycy9kb3ducmV2LnhtbFBLBQYAAAAAAwADALcAAAD4AgAAAAA=&#10;" strokeweight="2pt">
                    <v:shadow on="t" color="black" opacity="24903f" origin=",.5" offset="0,.55556mm"/>
                  </v:line>
                  <v:line id="Straight Connector 15" o:spid="_x0000_s1186" style="position:absolute;visibility:visible;mso-wrap-style:square" from="53620,23481" to="53620,25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pzGwgAAANsAAAAPAAAAZHJzL2Rvd25yZXYueG1sRE/LagIx&#10;FN0L/YdwC91ppgo+RqMUobQggo5duLwk18m0k5vpJB3HvzcLocvDea82vatFR22oPCt4HWUgiLU3&#10;FZcKvk7vwzmIEJEN1p5JwY0CbNZPgxXmxl/5SF0RS5FCOOSowMbY5FIGbclhGPmGOHEX3zqMCbal&#10;NC1eU7ir5TjLptJhxanBYkNbS/qn+HMKZF1k+nv3O5+d7YeZnLq9PhwXSr08929LEJH6+C9+uD+N&#10;gklan76kHyDXdwAAAP//AwBQSwECLQAUAAYACAAAACEA2+H2y+4AAACFAQAAEwAAAAAAAAAAAAAA&#10;AAAAAAAAW0NvbnRlbnRfVHlwZXNdLnhtbFBLAQItABQABgAIAAAAIQBa9CxbvwAAABUBAAALAAAA&#10;AAAAAAAAAAAAAB8BAABfcmVscy8ucmVsc1BLAQItABQABgAIAAAAIQDd3pzGwgAAANsAAAAPAAAA&#10;AAAAAAAAAAAAAAcCAABkcnMvZG93bnJldi54bWxQSwUGAAAAAAMAAwC3AAAA9gIAAAAA&#10;" strokeweight="2pt">
                    <v:shadow on="t" color="black" opacity="24903f" origin=",.5" offset="0,.55556mm"/>
                  </v:line>
                  <v:line id="Straight Connector 16" o:spid="_x0000_s1187" style="position:absolute;visibility:visible;mso-wrap-style:square" from="53547,13164" to="53547,15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jldxAAAANsAAAAPAAAAZHJzL2Rvd25yZXYueG1sRI9BawIx&#10;FITvBf9DeIK3mrVCq6tRpFAsFKGuHjw+kudmdfOy3aTr9t83QqHHYWa+YZbr3tWiozZUnhVMxhkI&#10;Yu1NxaWC4+HtcQYiRGSDtWdS8EMB1qvBwxJz42+8p66IpUgQDjkqsDE2uZRBW3IYxr4hTt7Ztw5j&#10;km0pTYu3BHe1fMqyZ+mw4rRgsaFXS/pafDsFsi4yffn4mr2c7NZMD91Of+7nSo2G/WYBIlIf/8N/&#10;7XejYDqB+5f0A+TqFwAA//8DAFBLAQItABQABgAIAAAAIQDb4fbL7gAAAIUBAAATAAAAAAAAAAAA&#10;AAAAAAAAAABbQ29udGVudF9UeXBlc10ueG1sUEsBAi0AFAAGAAgAAAAhAFr0LFu/AAAAFQEAAAsA&#10;AAAAAAAAAAAAAAAAHwEAAF9yZWxzLy5yZWxzUEsBAi0AFAAGAAgAAAAhALKSOV3EAAAA2wAAAA8A&#10;AAAAAAAAAAAAAAAABwIAAGRycy9kb3ducmV2LnhtbFBLBQYAAAAAAwADALcAAAD4AgAAAAA=&#10;" strokeweight="2pt">
                    <v:shadow on="t" color="black" opacity="24903f" origin=",.5" offset="0,.55556mm"/>
                  </v:line>
                  <v:line id="Straight Connector 17" o:spid="_x0000_s1188" style="position:absolute;visibility:visible;mso-wrap-style:square" from="32040,31674" to="32040,33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aH9xgAAANwAAAAPAAAAZHJzL2Rvd25yZXYueG1sRI9BSwMx&#10;EIXvBf9DGKG3NmsLWtemRQSxIILdevA4JONmdTNZN+l2++87B8HbDO/Ne9+st2No1UB9aiIbuJkX&#10;oIhtdA3XBj4Oz7MVqJSRHbaRycCZEmw3V5M1li6eeE9DlWslIZxKNOBz7kqtk/UUMM1jRyzaV+wD&#10;Zln7WrseTxIeWr0oilsdsGFp8NjRkyf7Ux2DAd1Whf1+/V3dffoXtzwMb/Z9f2/M9Hp8fACVacz/&#10;5r/rnRP8hdDKMzKB3lwAAAD//wMAUEsBAi0AFAAGAAgAAAAhANvh9svuAAAAhQEAABMAAAAAAAAA&#10;AAAAAAAAAAAAAFtDb250ZW50X1R5cGVzXS54bWxQSwECLQAUAAYACAAAACEAWvQsW78AAAAVAQAA&#10;CwAAAAAAAAAAAAAAAAAfAQAAX3JlbHMvLnJlbHNQSwECLQAUAAYACAAAACEAHK2h/cYAAADcAAAA&#10;DwAAAAAAAAAAAAAAAAAHAgAAZHJzL2Rvd25yZXYueG1sUEsFBgAAAAADAAMAtwAAAPoCAAAAAA==&#10;" strokeweight="2pt">
                    <v:shadow on="t" color="black" opacity="24903f" origin=",.5" offset="0,.55556mm"/>
                  </v:line>
                  <v:shape id="Straight Arrow Connector 18" o:spid="_x0000_s1189" type="#_x0000_t32" style="position:absolute;left:31455;top:3072;width:0;height:3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6a+wgAAANwAAAAPAAAAZHJzL2Rvd25yZXYueG1sRE9Na8JA&#10;EL0L/Q/LFHoR3ZiitamrFKEqeNIKXofsJBvMzobsNsZ/3xUEb/N4n7NY9bYWHbW+cqxgMk5AEOdO&#10;V1wqOP3+jOYgfEDWWDsmBTfysFq+DBaYaXflA3XHUIoYwj5DBSaEJpPS54Ys+rFriCNXuNZiiLAt&#10;pW7xGsNtLdMkmUmLFccGgw2tDeWX459VUKSaJsPL2Ww/plis9+9p19Ubpd5e++8vEIH68BQ/3Dsd&#10;56efcH8mXiCX/wAAAP//AwBQSwECLQAUAAYACAAAACEA2+H2y+4AAACFAQAAEwAAAAAAAAAAAAAA&#10;AAAAAAAAW0NvbnRlbnRfVHlwZXNdLnhtbFBLAQItABQABgAIAAAAIQBa9CxbvwAAABUBAAALAAAA&#10;AAAAAAAAAAAAAB8BAABfcmVscy8ucmVsc1BLAQItABQABgAIAAAAIQCt56a+wgAAANwAAAAPAAAA&#10;AAAAAAAAAAAAAAcCAABkcnMvZG93bnJldi54bWxQSwUGAAAAAAMAAwC3AAAA9gIAAAAA&#10;">
                    <v:stroke endarrow="open"/>
                  </v:shape>
                  <v:shape id="Straight Arrow Connector 19" o:spid="_x0000_s1190" type="#_x0000_t32" style="position:absolute;left:13606;top:3072;width:12070;height:329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ioKxgAAANwAAAAPAAAAZHJzL2Rvd25yZXYueG1sRI9Ba8JA&#10;EIXvBf/DMkIvpW5aQSR1FSkURAqi9tLbkJ1kg9nZNLvG2F/vHARvM7w3732zWA2+UT11sQ5s4G2S&#10;gSIugq25MvBz/Hqdg4oJ2WITmAxcKcJqOXpaYG7DhffUH1KlJIRjjgZcSm2udSwceYyT0BKLVobO&#10;Y5K1q7Tt8CLhvtHvWTbTHmuWBoctfToqToezN/Cy/62rsjx/X+P0fzfPtrs/V/TGPI+H9QeoREN6&#10;mO/XGyv4U8GXZ2QCvbwBAAD//wMAUEsBAi0AFAAGAAgAAAAhANvh9svuAAAAhQEAABMAAAAAAAAA&#10;AAAAAAAAAAAAAFtDb250ZW50X1R5cGVzXS54bWxQSwECLQAUAAYACAAAACEAWvQsW78AAAAVAQAA&#10;CwAAAAAAAAAAAAAAAAAfAQAAX3JlbHMvLnJlbHNQSwECLQAUAAYACAAAACEAQeoqCsYAAADcAAAA&#10;DwAAAAAAAAAAAAAAAAAHAgAAZHJzL2Rvd25yZXYueG1sUEsFBgAAAAADAAMAtwAAAPoCAAAAAA==&#10;">
                    <v:stroke endarrow="open"/>
                  </v:shape>
                  <v:shape id="Straight Arrow Connector 20" o:spid="_x0000_s1191" type="#_x0000_t32" style="position:absolute;left:38916;top:3072;width:11924;height:32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DxlwgAAANwAAAAPAAAAZHJzL2Rvd25yZXYueG1sRE9La8JA&#10;EL4X/A/LCL0U3SRSlegqItQWevIBXofsJBvMzobsGuO/7xYKvc3H95z1drCN6KnztWMF6TQBQVw4&#10;XXOl4HL+mCxB+ICssXFMCp7kYbsZvawx1+7BR+pPoRIxhH2OCkwIbS6lLwxZ9FPXEkeudJ3FEGFX&#10;Sd3hI4bbRmZJMpcWa44NBlvaGypup7tVUGaa0rfb1Xwu3rHcf8+yvm8OSr2Oh90KRKAh/Iv/3F86&#10;zp+l8PtMvEBufgAAAP//AwBQSwECLQAUAAYACAAAACEA2+H2y+4AAACFAQAAEwAAAAAAAAAAAAAA&#10;AAAAAAAAW0NvbnRlbnRfVHlwZXNdLnhtbFBLAQItABQABgAIAAAAIQBa9CxbvwAAABUBAAALAAAA&#10;AAAAAAAAAAAAAB8BAABfcmVscy8ucmVsc1BLAQItABQABgAIAAAAIQDWSDxlwgAAANwAAAAPAAAA&#10;AAAAAAAAAAAAAAcCAABkcnMvZG93bnJldi54bWxQSwUGAAAAAAMAAwC3AAAA9gIAAAAA&#10;">
                    <v:stroke endarrow="open"/>
                  </v:shape>
                </v:group>
                <w10:anchorlock/>
              </v:group>
            </w:pict>
          </mc:Fallback>
        </mc:AlternateContent>
      </w:r>
    </w:p>
    <w:p w14:paraId="7763876E" w14:textId="77777777" w:rsidR="00EB24FC" w:rsidRDefault="00EB24FC" w:rsidP="00A00568">
      <w:pPr>
        <w:autoSpaceDE w:val="0"/>
        <w:autoSpaceDN w:val="0"/>
        <w:adjustRightInd w:val="0"/>
        <w:spacing w:before="60" w:line="240" w:lineRule="auto"/>
        <w:ind w:left="0"/>
        <w:rPr>
          <w:rFonts w:ascii="Times New Roman" w:hAnsi="Times New Roman"/>
          <w:bCs/>
          <w:sz w:val="16"/>
        </w:rPr>
      </w:pPr>
    </w:p>
    <w:p w14:paraId="404F8EBB" w14:textId="77777777" w:rsidR="00EB24FC" w:rsidRDefault="00EB24FC" w:rsidP="00A00568">
      <w:pPr>
        <w:autoSpaceDE w:val="0"/>
        <w:autoSpaceDN w:val="0"/>
        <w:adjustRightInd w:val="0"/>
        <w:spacing w:before="60" w:line="240" w:lineRule="auto"/>
        <w:ind w:left="0"/>
        <w:rPr>
          <w:rFonts w:ascii="Times New Roman" w:hAnsi="Times New Roman"/>
          <w:bCs/>
          <w:sz w:val="16"/>
        </w:rPr>
      </w:pPr>
    </w:p>
    <w:p w14:paraId="47237ADE" w14:textId="77777777" w:rsidR="00EB24FC" w:rsidRDefault="00EB24FC" w:rsidP="00A00568">
      <w:pPr>
        <w:autoSpaceDE w:val="0"/>
        <w:autoSpaceDN w:val="0"/>
        <w:adjustRightInd w:val="0"/>
        <w:spacing w:before="60" w:line="240" w:lineRule="auto"/>
        <w:ind w:left="0"/>
        <w:rPr>
          <w:rFonts w:ascii="Times New Roman" w:hAnsi="Times New Roman"/>
          <w:bCs/>
          <w:sz w:val="16"/>
        </w:rPr>
      </w:pPr>
    </w:p>
    <w:p w14:paraId="372D75CF" w14:textId="77777777" w:rsidR="00EB24FC" w:rsidRDefault="00EB24FC" w:rsidP="00A00568">
      <w:pPr>
        <w:autoSpaceDE w:val="0"/>
        <w:autoSpaceDN w:val="0"/>
        <w:adjustRightInd w:val="0"/>
        <w:spacing w:before="60" w:line="240" w:lineRule="auto"/>
        <w:ind w:left="0"/>
        <w:rPr>
          <w:rFonts w:ascii="Times New Roman" w:hAnsi="Times New Roman"/>
          <w:bCs/>
          <w:sz w:val="16"/>
        </w:rPr>
      </w:pPr>
    </w:p>
    <w:p w14:paraId="660D53E6" w14:textId="77777777" w:rsidR="004A6099" w:rsidRPr="007D770B" w:rsidRDefault="004A6099" w:rsidP="00A00568">
      <w:pPr>
        <w:autoSpaceDE w:val="0"/>
        <w:autoSpaceDN w:val="0"/>
        <w:adjustRightInd w:val="0"/>
        <w:spacing w:before="60" w:line="240" w:lineRule="auto"/>
        <w:ind w:left="0"/>
        <w:rPr>
          <w:rFonts w:ascii="Times New Roman" w:hAnsi="Times New Roman"/>
          <w:bCs/>
          <w:sz w:val="16"/>
          <w:lang w:val="en-US"/>
        </w:rPr>
      </w:pPr>
      <w:r w:rsidRPr="007D770B">
        <w:rPr>
          <w:rFonts w:ascii="Times New Roman" w:hAnsi="Times New Roman"/>
          <w:bCs/>
          <w:sz w:val="16"/>
          <w:lang w:val="en-US"/>
        </w:rPr>
        <w:t xml:space="preserve">* </w:t>
      </w:r>
      <w:r w:rsidR="00A00568" w:rsidRPr="007D770B">
        <w:rPr>
          <w:rFonts w:ascii="Times New Roman" w:hAnsi="Times New Roman"/>
          <w:bCs/>
          <w:sz w:val="16"/>
          <w:lang w:val="en-US"/>
        </w:rPr>
        <w:t>an official translation of the technical guidance to the International Standards for Evaluation is attached in Annex 2</w:t>
      </w:r>
      <w:r w:rsidRPr="007D770B">
        <w:rPr>
          <w:rFonts w:ascii="Times New Roman" w:hAnsi="Times New Roman"/>
          <w:bCs/>
          <w:sz w:val="16"/>
          <w:lang w:val="en-US"/>
        </w:rPr>
        <w:t>.</w:t>
      </w:r>
    </w:p>
    <w:p w14:paraId="28588642" w14:textId="77777777" w:rsidR="004B37E4" w:rsidRPr="007D770B" w:rsidRDefault="004B37E4" w:rsidP="004B37E4">
      <w:pPr>
        <w:autoSpaceDE w:val="0"/>
        <w:autoSpaceDN w:val="0"/>
        <w:adjustRightInd w:val="0"/>
        <w:spacing w:before="240" w:line="240" w:lineRule="auto"/>
        <w:ind w:left="0"/>
        <w:rPr>
          <w:rFonts w:ascii="Times New Roman" w:hAnsi="Times New Roman"/>
          <w:bCs/>
          <w:lang w:val="en-US"/>
        </w:rPr>
      </w:pPr>
      <w:r w:rsidRPr="007D770B">
        <w:rPr>
          <w:rFonts w:ascii="Times New Roman" w:hAnsi="Times New Roman"/>
          <w:b/>
          <w:bCs/>
          <w:lang w:val="en-US"/>
        </w:rPr>
        <w:t xml:space="preserve">Market approach. </w:t>
      </w:r>
      <w:r w:rsidRPr="007D770B">
        <w:rPr>
          <w:rFonts w:ascii="Times New Roman" w:hAnsi="Times New Roman"/>
          <w:bCs/>
          <w:lang w:val="en-US"/>
        </w:rPr>
        <w:t xml:space="preserve">The market approach uses prices and other relevant information generated by market transactions involving identical or comparable (i.e., similar) assets, liabilities or a group of assets and liabilities, such as a business. For example, valuation techniques compatible with the market approach often use market multipliers arising from a set of comparables. The multipliers may be in the same ranges as another multiplier for each comparable. Selecting the appropriate multiplier from the range requires the use of judgment, taking into account qualitative and quantitative factors specific to the valuation. Valuation techniques compatible with the market approach include matrix pricing. Matrix pricing is a mathematical technique used primarily to value certain types of financial instruments, such as debt securities, not based solely on the quoted prices of certain securities, but rather on the relationship of the securities to other quoted securities used as a benchmark. </w:t>
      </w:r>
    </w:p>
    <w:p w14:paraId="67235470" w14:textId="77777777" w:rsidR="004B37E4" w:rsidRPr="007D770B" w:rsidRDefault="004B37E4" w:rsidP="004B37E4">
      <w:pPr>
        <w:autoSpaceDE w:val="0"/>
        <w:autoSpaceDN w:val="0"/>
        <w:adjustRightInd w:val="0"/>
        <w:spacing w:before="240" w:line="240" w:lineRule="auto"/>
        <w:ind w:left="0"/>
        <w:rPr>
          <w:rFonts w:ascii="Times New Roman" w:hAnsi="Times New Roman"/>
          <w:bCs/>
          <w:lang w:val="en-US"/>
        </w:rPr>
      </w:pPr>
      <w:r w:rsidRPr="007D770B">
        <w:rPr>
          <w:rFonts w:ascii="Times New Roman" w:hAnsi="Times New Roman"/>
          <w:b/>
          <w:bCs/>
          <w:lang w:val="en-US"/>
        </w:rPr>
        <w:t>Cost approach.</w:t>
      </w:r>
      <w:r w:rsidRPr="007D770B">
        <w:rPr>
          <w:rFonts w:ascii="Times New Roman" w:hAnsi="Times New Roman"/>
          <w:bCs/>
          <w:lang w:val="en-US"/>
        </w:rPr>
        <w:t xml:space="preserve"> The cost approach reflects the amount that would currently be required to replace the productive capacity of the asset (often referred to as the current replacement cost). From the perspective of the seller as a market participant, the price that would be received for the asset is based on the amount that the buyer as a market participant would pay to acquire or construct a replacement asset of comparable utility, taking into account obsolescence. The reason for this is that the purchaser as a market participant would not pay more for the asset than the amount for which it could replace the productive capacity of the asset. Depreciation includes physical deterioration, functional (technological) obsolescence and economic (external) obsolescence, and is a broader concept than depreciation for financial reporting and presentation purposes (allocation of historical cost) or tax purposes (use of specific useful lives). In many cases, the current replacement cost method is used to estimate the fair value of tangible assets that are used in combination with other assets or with other assets and liabilities. </w:t>
      </w:r>
    </w:p>
    <w:p w14:paraId="516B2AF2" w14:textId="77777777" w:rsidR="004B37E4" w:rsidRPr="004B37E4" w:rsidRDefault="004B37E4" w:rsidP="004B37E4">
      <w:pPr>
        <w:autoSpaceDE w:val="0"/>
        <w:autoSpaceDN w:val="0"/>
        <w:adjustRightInd w:val="0"/>
        <w:spacing w:before="240" w:line="240" w:lineRule="auto"/>
        <w:ind w:left="0"/>
        <w:rPr>
          <w:rFonts w:ascii="Times New Roman" w:hAnsi="Times New Roman"/>
          <w:bCs/>
        </w:rPr>
      </w:pPr>
      <w:r w:rsidRPr="007D770B">
        <w:rPr>
          <w:rFonts w:ascii="Times New Roman" w:hAnsi="Times New Roman"/>
          <w:b/>
          <w:bCs/>
          <w:lang w:val="en-US"/>
        </w:rPr>
        <w:t xml:space="preserve">Income approach. </w:t>
      </w:r>
      <w:r w:rsidRPr="007D770B">
        <w:rPr>
          <w:rFonts w:ascii="Times New Roman" w:hAnsi="Times New Roman"/>
          <w:bCs/>
          <w:lang w:val="en-US"/>
        </w:rPr>
        <w:t xml:space="preserve">Under the income approach, future amounts (e.g., cash flows or revenues and expenses) are converted to a single present value (i.e., discounted) amount. Under the income approach, fair value measurements reflect current market expectations for such future amounts. </w:t>
      </w:r>
      <w:r w:rsidRPr="004B37E4">
        <w:rPr>
          <w:rFonts w:ascii="Times New Roman" w:hAnsi="Times New Roman"/>
          <w:bCs/>
        </w:rPr>
        <w:t xml:space="preserve">Such valuation techniques include, for example, the following: </w:t>
      </w:r>
    </w:p>
    <w:p w14:paraId="175B7316" w14:textId="5A888662" w:rsidR="004B37E4" w:rsidRPr="007D770B" w:rsidRDefault="004B37E4" w:rsidP="00AE698A">
      <w:pPr>
        <w:numPr>
          <w:ilvl w:val="0"/>
          <w:numId w:val="257"/>
        </w:numPr>
        <w:autoSpaceDE w:val="0"/>
        <w:autoSpaceDN w:val="0"/>
        <w:adjustRightInd w:val="0"/>
        <w:spacing w:before="240" w:line="240" w:lineRule="auto"/>
        <w:rPr>
          <w:rFonts w:ascii="Times New Roman" w:hAnsi="Times New Roman"/>
          <w:bCs/>
          <w:lang w:val="en-US"/>
        </w:rPr>
      </w:pPr>
      <w:r w:rsidRPr="007D770B">
        <w:rPr>
          <w:rFonts w:ascii="Times New Roman" w:hAnsi="Times New Roman"/>
          <w:bCs/>
          <w:lang w:val="en-US"/>
        </w:rPr>
        <w:t xml:space="preserve">present value methods of valuation </w:t>
      </w:r>
      <w:r w:rsidR="0016170E" w:rsidRPr="007D770B">
        <w:rPr>
          <w:rFonts w:ascii="Times New Roman" w:hAnsi="Times New Roman"/>
          <w:bCs/>
          <w:lang w:val="en-US"/>
        </w:rPr>
        <w:t>as described in Appendix 1</w:t>
      </w:r>
      <w:r w:rsidR="00802136" w:rsidRPr="007D770B">
        <w:rPr>
          <w:rFonts w:ascii="Times New Roman" w:hAnsi="Times New Roman"/>
          <w:bCs/>
          <w:lang w:val="en-US"/>
        </w:rPr>
        <w:t xml:space="preserve">, </w:t>
      </w:r>
      <w:r w:rsidR="0016170E" w:rsidRPr="007D770B">
        <w:rPr>
          <w:rFonts w:ascii="Times New Roman" w:hAnsi="Times New Roman"/>
          <w:bCs/>
          <w:lang w:val="en-US"/>
        </w:rPr>
        <w:t>Present Value Methods of Valuation</w:t>
      </w:r>
      <w:r w:rsidRPr="007D770B">
        <w:rPr>
          <w:rFonts w:ascii="Times New Roman" w:hAnsi="Times New Roman"/>
          <w:bCs/>
          <w:lang w:val="en-US"/>
        </w:rPr>
        <w:t xml:space="preserve">; </w:t>
      </w:r>
    </w:p>
    <w:p w14:paraId="2A5ADF6C" w14:textId="77777777" w:rsidR="004B37E4" w:rsidRPr="007D770B" w:rsidRDefault="004B37E4" w:rsidP="00AE698A">
      <w:pPr>
        <w:numPr>
          <w:ilvl w:val="0"/>
          <w:numId w:val="257"/>
        </w:numPr>
        <w:autoSpaceDE w:val="0"/>
        <w:autoSpaceDN w:val="0"/>
        <w:adjustRightInd w:val="0"/>
        <w:spacing w:before="240" w:line="240" w:lineRule="auto"/>
        <w:rPr>
          <w:rFonts w:ascii="Times New Roman" w:hAnsi="Times New Roman"/>
          <w:bCs/>
          <w:lang w:val="en-US"/>
        </w:rPr>
      </w:pPr>
      <w:r w:rsidRPr="007D770B">
        <w:rPr>
          <w:rFonts w:ascii="Times New Roman" w:hAnsi="Times New Roman"/>
          <w:bCs/>
          <w:lang w:val="en-US"/>
        </w:rPr>
        <w:t xml:space="preserve">option valuation models, such as the Black-Scholes-Merton formula or the binomial model (i.e., a structural model), that incorporate present value techniques and reflect both the time value and intrinsic value of the option; and </w:t>
      </w:r>
    </w:p>
    <w:p w14:paraId="7B39F032" w14:textId="77777777" w:rsidR="004B37E4" w:rsidRPr="007D770B" w:rsidRDefault="004B37E4" w:rsidP="00AE698A">
      <w:pPr>
        <w:numPr>
          <w:ilvl w:val="0"/>
          <w:numId w:val="257"/>
        </w:numPr>
        <w:autoSpaceDE w:val="0"/>
        <w:autoSpaceDN w:val="0"/>
        <w:adjustRightInd w:val="0"/>
        <w:spacing w:before="240" w:line="240" w:lineRule="auto"/>
        <w:rPr>
          <w:rFonts w:ascii="Times New Roman" w:hAnsi="Times New Roman"/>
          <w:bCs/>
          <w:lang w:val="en-US"/>
        </w:rPr>
      </w:pPr>
      <w:r w:rsidRPr="007D770B">
        <w:rPr>
          <w:rFonts w:ascii="Times New Roman" w:hAnsi="Times New Roman"/>
          <w:bCs/>
          <w:lang w:val="en-US"/>
        </w:rPr>
        <w:t xml:space="preserve">discounted cash flow method, which is used to estimate the fair value of certain intangible assets. </w:t>
      </w:r>
    </w:p>
    <w:p w14:paraId="78C0B6AE" w14:textId="77777777" w:rsidR="009E2B77" w:rsidRPr="007D770B" w:rsidRDefault="001F4084" w:rsidP="006105D8">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 xml:space="preserve">The </w:t>
      </w:r>
      <w:r w:rsidR="00F9744B" w:rsidRPr="007D770B">
        <w:rPr>
          <w:rFonts w:ascii="Times New Roman" w:hAnsi="Times New Roman"/>
          <w:lang w:val="en-US"/>
        </w:rPr>
        <w:t xml:space="preserve">Bank </w:t>
      </w:r>
      <w:r w:rsidRPr="007D770B">
        <w:rPr>
          <w:rFonts w:ascii="Times New Roman" w:hAnsi="Times New Roman"/>
          <w:lang w:val="en-US"/>
        </w:rPr>
        <w:t xml:space="preserve">may use one or more valuation techniques. </w:t>
      </w:r>
      <w:r w:rsidR="009E2B77" w:rsidRPr="007D770B">
        <w:rPr>
          <w:rFonts w:ascii="Times New Roman" w:hAnsi="Times New Roman"/>
          <w:lang w:val="en-US"/>
        </w:rPr>
        <w:t>If multiple valuation techniques are used to measure fair value, the results (i.e. the relevant fair value measurements) should be assessed by considering the appropriateness of the range of values indicated by those results. A fair value measurement is a value within that range that most closely represents fair value in the circumstances.</w:t>
      </w:r>
    </w:p>
    <w:p w14:paraId="142D2F9E" w14:textId="75C4DC4D"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 xml:space="preserve">If the transaction price represents fair value at initial recognition and a valuation technique that uses unobservable inputs will be used to measure fair value in subsequent periods, the valuation technique must be calibrated such that the result of the valuation technique equals the transaction price at initial recognition. Calibration ensures that the valuation technique reflects current market conditions and helps the </w:t>
      </w:r>
      <w:r w:rsidR="00F34077" w:rsidRPr="007D770B">
        <w:rPr>
          <w:rFonts w:ascii="Times New Roman" w:hAnsi="Times New Roman"/>
          <w:lang w:val="en-US"/>
        </w:rPr>
        <w:t xml:space="preserve">Bank determine </w:t>
      </w:r>
      <w:r w:rsidRPr="007D770B">
        <w:rPr>
          <w:rFonts w:ascii="Times New Roman" w:hAnsi="Times New Roman"/>
          <w:lang w:val="en-US"/>
        </w:rPr>
        <w:t xml:space="preserve">whether the valuation technique needs to be adjusted (e.g., an asset or liability may have a characteristic that is not captured by the valuation technique). After initial recognition, when measuring fair value using a valuation technique or techniques that </w:t>
      </w:r>
      <w:r w:rsidR="00F34077" w:rsidRPr="007D770B">
        <w:rPr>
          <w:rFonts w:ascii="Times New Roman" w:hAnsi="Times New Roman"/>
          <w:lang w:val="en-US"/>
        </w:rPr>
        <w:t xml:space="preserve">use unobservable </w:t>
      </w:r>
      <w:r w:rsidRPr="007D770B">
        <w:rPr>
          <w:rFonts w:ascii="Times New Roman" w:hAnsi="Times New Roman"/>
          <w:lang w:val="en-US"/>
        </w:rPr>
        <w:t xml:space="preserve">inputs, </w:t>
      </w:r>
      <w:r w:rsidR="00F9744B" w:rsidRPr="007D770B">
        <w:rPr>
          <w:rFonts w:ascii="Times New Roman" w:hAnsi="Times New Roman"/>
          <w:lang w:val="en-US"/>
        </w:rPr>
        <w:t xml:space="preserve">the Bank </w:t>
      </w:r>
      <w:r w:rsidR="00572DED" w:rsidRPr="007D770B">
        <w:rPr>
          <w:rFonts w:ascii="Times New Roman" w:hAnsi="Times New Roman"/>
          <w:lang w:val="en-US"/>
        </w:rPr>
        <w:t xml:space="preserve">must </w:t>
      </w:r>
      <w:r w:rsidRPr="007D770B">
        <w:rPr>
          <w:rFonts w:ascii="Times New Roman" w:hAnsi="Times New Roman"/>
          <w:lang w:val="en-US"/>
        </w:rPr>
        <w:t>ensure that the valuation technique reflects observable market data (e.g., the price of a similar asset or liability) at the measurement date.</w:t>
      </w:r>
    </w:p>
    <w:p w14:paraId="2488845C" w14:textId="0551BDE5"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 xml:space="preserve">Valuation techniques used to measure fair value should be applied consistently. However, a change in a valuation technique or its application (e.g., a change in </w:t>
      </w:r>
      <w:r w:rsidR="00F34077" w:rsidRPr="007D770B">
        <w:rPr>
          <w:rFonts w:ascii="Times New Roman" w:hAnsi="Times New Roman"/>
          <w:lang w:val="en-US"/>
        </w:rPr>
        <w:t xml:space="preserve">its weighting </w:t>
      </w:r>
      <w:r w:rsidRPr="007D770B">
        <w:rPr>
          <w:rFonts w:ascii="Times New Roman" w:hAnsi="Times New Roman"/>
          <w:lang w:val="en-US"/>
        </w:rPr>
        <w:t>when multiple valuation techniques are used or a change in the adjustment applied to a valuation technique) is required if the change results in a valuation that is equal to or more representative of fair value in the circumstances. This may be the case if, for example, any of the following events occur:</w:t>
      </w:r>
    </w:p>
    <w:p w14:paraId="244A8D99" w14:textId="77777777" w:rsidR="009E2B77" w:rsidRPr="002D4EA3" w:rsidRDefault="009E2B77" w:rsidP="00AE698A">
      <w:pPr>
        <w:pStyle w:val="aa"/>
        <w:numPr>
          <w:ilvl w:val="0"/>
          <w:numId w:val="136"/>
        </w:numPr>
        <w:autoSpaceDE w:val="0"/>
        <w:autoSpaceDN w:val="0"/>
        <w:adjustRightInd w:val="0"/>
        <w:spacing w:before="240" w:line="240" w:lineRule="auto"/>
        <w:contextualSpacing w:val="0"/>
        <w:rPr>
          <w:rFonts w:ascii="Times New Roman" w:hAnsi="Times New Roman"/>
        </w:rPr>
      </w:pPr>
      <w:r w:rsidRPr="002D4EA3">
        <w:rPr>
          <w:rFonts w:ascii="Times New Roman" w:hAnsi="Times New Roman"/>
        </w:rPr>
        <w:t>new markets are developing;</w:t>
      </w:r>
    </w:p>
    <w:p w14:paraId="5B26E7B2" w14:textId="77777777" w:rsidR="009E2B77" w:rsidRPr="002D4EA3" w:rsidRDefault="009E2B77" w:rsidP="00AE698A">
      <w:pPr>
        <w:pStyle w:val="aa"/>
        <w:numPr>
          <w:ilvl w:val="0"/>
          <w:numId w:val="136"/>
        </w:numPr>
        <w:autoSpaceDE w:val="0"/>
        <w:autoSpaceDN w:val="0"/>
        <w:adjustRightInd w:val="0"/>
        <w:spacing w:before="240" w:line="240" w:lineRule="auto"/>
        <w:contextualSpacing w:val="0"/>
        <w:rPr>
          <w:rFonts w:ascii="Times New Roman" w:hAnsi="Times New Roman"/>
        </w:rPr>
      </w:pPr>
      <w:r w:rsidRPr="002D4EA3">
        <w:rPr>
          <w:rFonts w:ascii="Times New Roman" w:hAnsi="Times New Roman"/>
        </w:rPr>
        <w:t>new information becomes available;</w:t>
      </w:r>
    </w:p>
    <w:p w14:paraId="7E936B95" w14:textId="77777777" w:rsidR="009E2B77" w:rsidRPr="007D770B" w:rsidRDefault="009E2B77" w:rsidP="00AE698A">
      <w:pPr>
        <w:pStyle w:val="aa"/>
        <w:numPr>
          <w:ilvl w:val="0"/>
          <w:numId w:val="136"/>
        </w:numPr>
        <w:autoSpaceDE w:val="0"/>
        <w:autoSpaceDN w:val="0"/>
        <w:adjustRightInd w:val="0"/>
        <w:spacing w:before="240" w:line="240" w:lineRule="auto"/>
        <w:contextualSpacing w:val="0"/>
        <w:rPr>
          <w:rFonts w:ascii="Times New Roman" w:hAnsi="Times New Roman"/>
          <w:lang w:val="en-US"/>
        </w:rPr>
      </w:pPr>
      <w:r w:rsidRPr="007D770B">
        <w:rPr>
          <w:rFonts w:ascii="Times New Roman" w:hAnsi="Times New Roman"/>
          <w:lang w:val="en-US"/>
        </w:rPr>
        <w:t>previously used information is no longer available;</w:t>
      </w:r>
    </w:p>
    <w:p w14:paraId="78931DC0" w14:textId="77777777" w:rsidR="009E2B77" w:rsidRPr="002D4EA3" w:rsidRDefault="009E2B77" w:rsidP="00AE698A">
      <w:pPr>
        <w:pStyle w:val="aa"/>
        <w:numPr>
          <w:ilvl w:val="0"/>
          <w:numId w:val="136"/>
        </w:numPr>
        <w:autoSpaceDE w:val="0"/>
        <w:autoSpaceDN w:val="0"/>
        <w:adjustRightInd w:val="0"/>
        <w:spacing w:before="240" w:line="240" w:lineRule="auto"/>
        <w:contextualSpacing w:val="0"/>
        <w:rPr>
          <w:rFonts w:ascii="Times New Roman" w:hAnsi="Times New Roman"/>
        </w:rPr>
      </w:pPr>
      <w:r w:rsidRPr="002D4EA3">
        <w:rPr>
          <w:rFonts w:ascii="Times New Roman" w:hAnsi="Times New Roman"/>
        </w:rPr>
        <w:t>evaluation methods are improved; or</w:t>
      </w:r>
    </w:p>
    <w:p w14:paraId="3EE93ADF" w14:textId="77777777" w:rsidR="009E2B77" w:rsidRPr="002D4EA3" w:rsidRDefault="009E2B77" w:rsidP="00AE698A">
      <w:pPr>
        <w:pStyle w:val="aa"/>
        <w:numPr>
          <w:ilvl w:val="0"/>
          <w:numId w:val="136"/>
        </w:numPr>
        <w:autoSpaceDE w:val="0"/>
        <w:autoSpaceDN w:val="0"/>
        <w:adjustRightInd w:val="0"/>
        <w:spacing w:before="240" w:line="240" w:lineRule="auto"/>
        <w:contextualSpacing w:val="0"/>
        <w:rPr>
          <w:rFonts w:ascii="Times New Roman" w:hAnsi="Times New Roman"/>
        </w:rPr>
      </w:pPr>
      <w:r w:rsidRPr="002D4EA3">
        <w:rPr>
          <w:rFonts w:ascii="Times New Roman" w:hAnsi="Times New Roman"/>
        </w:rPr>
        <w:t>market conditions are changing.</w:t>
      </w:r>
    </w:p>
    <w:p w14:paraId="14845B0D" w14:textId="678D7973"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lastRenderedPageBreak/>
        <w:t>Changes arising from a change in a valuation technique or its application should be accounted for as a change in an accounting estimate in accordance with Section 2 Changes in Accounting Policies, Estimates and Errors (IAS 8) of Chapter 1. However, disclosure of a change in accounting estimate is not required for changes arising from a change in a valuation technique or its application.</w:t>
      </w:r>
    </w:p>
    <w:p w14:paraId="34A5B3A0" w14:textId="77777777" w:rsidR="009E2B77" w:rsidRPr="007D770B" w:rsidRDefault="009E2B77" w:rsidP="00F96B17">
      <w:pPr>
        <w:keepNext/>
        <w:autoSpaceDE w:val="0"/>
        <w:autoSpaceDN w:val="0"/>
        <w:adjustRightInd w:val="0"/>
        <w:spacing w:before="240" w:line="240" w:lineRule="auto"/>
        <w:ind w:left="0"/>
        <w:rPr>
          <w:rFonts w:ascii="Times New Roman" w:hAnsi="Times New Roman"/>
          <w:b/>
          <w:bCs/>
          <w:i/>
          <w:lang w:val="en-US"/>
        </w:rPr>
      </w:pPr>
      <w:r w:rsidRPr="007D770B">
        <w:rPr>
          <w:rFonts w:ascii="Times New Roman" w:hAnsi="Times New Roman"/>
          <w:b/>
          <w:bCs/>
          <w:i/>
          <w:lang w:val="en-US"/>
        </w:rPr>
        <w:t>Input data for estimation methods</w:t>
      </w:r>
    </w:p>
    <w:p w14:paraId="53E8D9EA" w14:textId="76989E8A"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bCs/>
          <w:lang w:val="en-US"/>
        </w:rPr>
        <w:t xml:space="preserve">Valuation techniques used to measure fair value should maximize the use of relevant observable inputs and minimize the use of unobservable inputs. </w:t>
      </w:r>
      <w:r w:rsidRPr="007D770B">
        <w:rPr>
          <w:rFonts w:ascii="Times New Roman" w:hAnsi="Times New Roman"/>
          <w:lang w:val="en-US"/>
        </w:rPr>
        <w:t xml:space="preserve">Examples of markets in which inputs may be observable for certain assets and liabilities (e.g., financial instruments) include </w:t>
      </w:r>
      <w:r w:rsidR="00E57EA2" w:rsidRPr="007D770B">
        <w:rPr>
          <w:rFonts w:ascii="Times New Roman" w:hAnsi="Times New Roman"/>
          <w:lang w:val="en-US"/>
        </w:rPr>
        <w:t xml:space="preserve">exchange </w:t>
      </w:r>
      <w:r w:rsidR="00802136" w:rsidRPr="007D770B">
        <w:rPr>
          <w:rFonts w:ascii="Times New Roman" w:hAnsi="Times New Roman"/>
          <w:lang w:val="en-US"/>
        </w:rPr>
        <w:t>(</w:t>
      </w:r>
      <w:r w:rsidR="00E57EA2" w:rsidRPr="007D770B">
        <w:rPr>
          <w:rFonts w:ascii="Times New Roman" w:hAnsi="Times New Roman"/>
          <w:lang w:val="en-US"/>
        </w:rPr>
        <w:t>stock</w:t>
      </w:r>
      <w:r w:rsidR="00802136" w:rsidRPr="007D770B">
        <w:rPr>
          <w:rFonts w:ascii="Times New Roman" w:hAnsi="Times New Roman"/>
          <w:lang w:val="en-US"/>
        </w:rPr>
        <w:t xml:space="preserve">) </w:t>
      </w:r>
      <w:r w:rsidRPr="007D770B">
        <w:rPr>
          <w:rFonts w:ascii="Times New Roman" w:hAnsi="Times New Roman"/>
          <w:lang w:val="en-US"/>
        </w:rPr>
        <w:t>markets, dealer markets, intermediary markets and principal to principal markets.</w:t>
      </w:r>
    </w:p>
    <w:p w14:paraId="26FCC937" w14:textId="77777777" w:rsidR="009E2B77" w:rsidRPr="007D770B" w:rsidRDefault="00F9744B"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 xml:space="preserve">A bank </w:t>
      </w:r>
      <w:r w:rsidR="00572DED" w:rsidRPr="007D770B">
        <w:rPr>
          <w:rFonts w:ascii="Times New Roman" w:hAnsi="Times New Roman"/>
          <w:lang w:val="en-US"/>
        </w:rPr>
        <w:t xml:space="preserve">must </w:t>
      </w:r>
      <w:r w:rsidR="009E2B77" w:rsidRPr="007D770B">
        <w:rPr>
          <w:rFonts w:ascii="Times New Roman" w:hAnsi="Times New Roman"/>
          <w:lang w:val="en-US"/>
        </w:rPr>
        <w:t xml:space="preserve">select inputs that are consistent with the characteristics of the asset or liability that market participants would consider in a transaction involving the asset or liability. In some cases, those characteristics result in the application of an adjustment, such as a premium or discount (for example, a premium for control or a discount to the non-controlling interest). However, a fair value measurement should not include a premium or discount that is inconsistent with a unit of accounting adopted in this section that requires or permits a fair value measurement. Premiums or discounts that reflect size as a characteristic of the </w:t>
      </w:r>
      <w:r w:rsidRPr="007D770B">
        <w:rPr>
          <w:rFonts w:ascii="Times New Roman" w:hAnsi="Times New Roman"/>
          <w:lang w:val="en-US"/>
        </w:rPr>
        <w:t xml:space="preserve">Bank's </w:t>
      </w:r>
      <w:r w:rsidR="00E57EA2" w:rsidRPr="007D770B">
        <w:rPr>
          <w:rFonts w:ascii="Times New Roman" w:hAnsi="Times New Roman"/>
          <w:lang w:val="en-US"/>
        </w:rPr>
        <w:t xml:space="preserve">holding </w:t>
      </w:r>
      <w:r w:rsidR="009E2B77" w:rsidRPr="007D770B">
        <w:rPr>
          <w:rFonts w:ascii="Times New Roman" w:hAnsi="Times New Roman"/>
          <w:lang w:val="en-US"/>
        </w:rPr>
        <w:t xml:space="preserve">package (especially a blocking factor that adjusts the quoted price of an asset or liability because normal daily market trading volume is insufficient to absorb the amount of assets and liabilities the </w:t>
      </w:r>
      <w:r w:rsidRPr="007D770B">
        <w:rPr>
          <w:rFonts w:ascii="Times New Roman" w:hAnsi="Times New Roman"/>
          <w:lang w:val="en-US"/>
        </w:rPr>
        <w:t xml:space="preserve">Bank </w:t>
      </w:r>
      <w:r w:rsidR="009E2B77" w:rsidRPr="007D770B">
        <w:rPr>
          <w:rFonts w:ascii="Times New Roman" w:hAnsi="Times New Roman"/>
          <w:lang w:val="en-US"/>
        </w:rPr>
        <w:t xml:space="preserve">holds) rather than as a characteristic of the asset or liability (for example, a control premium in measuring the fair value of a controlling interest) should not be included in the fair value measurement. Whenever a quoted price (i.e., a </w:t>
      </w:r>
      <w:r w:rsidR="009E2B77" w:rsidRPr="007D770B">
        <w:rPr>
          <w:rFonts w:ascii="Times New Roman" w:hAnsi="Times New Roman"/>
          <w:iCs/>
          <w:lang w:val="en-US"/>
        </w:rPr>
        <w:t>Level 1 input</w:t>
      </w:r>
      <w:r w:rsidR="009E2B77" w:rsidRPr="007D770B">
        <w:rPr>
          <w:rFonts w:ascii="Times New Roman" w:hAnsi="Times New Roman"/>
          <w:lang w:val="en-US"/>
        </w:rPr>
        <w:t xml:space="preserve">) for an asset or liability is available in an active market for that asset or liability, the </w:t>
      </w:r>
      <w:r w:rsidRPr="007D770B">
        <w:rPr>
          <w:rFonts w:ascii="Times New Roman" w:hAnsi="Times New Roman"/>
          <w:lang w:val="en-US"/>
        </w:rPr>
        <w:t xml:space="preserve">Bank is </w:t>
      </w:r>
      <w:r w:rsidR="00572DED" w:rsidRPr="007D770B">
        <w:rPr>
          <w:rFonts w:ascii="Times New Roman" w:hAnsi="Times New Roman"/>
          <w:lang w:val="en-US"/>
        </w:rPr>
        <w:t xml:space="preserve">required to </w:t>
      </w:r>
      <w:r w:rsidR="009E2B77" w:rsidRPr="007D770B">
        <w:rPr>
          <w:rFonts w:ascii="Times New Roman" w:hAnsi="Times New Roman"/>
          <w:lang w:val="en-US"/>
        </w:rPr>
        <w:t>use that price without adjustment when measuring fair value, except as described below.</w:t>
      </w:r>
    </w:p>
    <w:p w14:paraId="4AC00956" w14:textId="77777777" w:rsidR="009E2B77" w:rsidRPr="007D770B" w:rsidRDefault="009E2B77" w:rsidP="00F96B17">
      <w:pPr>
        <w:autoSpaceDE w:val="0"/>
        <w:autoSpaceDN w:val="0"/>
        <w:adjustRightInd w:val="0"/>
        <w:spacing w:before="240" w:line="240" w:lineRule="auto"/>
        <w:ind w:left="0"/>
        <w:rPr>
          <w:rFonts w:ascii="Times New Roman" w:hAnsi="Times New Roman"/>
          <w:b/>
          <w:bCs/>
          <w:i/>
          <w:lang w:val="en-US"/>
        </w:rPr>
      </w:pPr>
      <w:r w:rsidRPr="007D770B">
        <w:rPr>
          <w:rFonts w:ascii="Times New Roman" w:hAnsi="Times New Roman"/>
          <w:b/>
          <w:bCs/>
          <w:i/>
          <w:lang w:val="en-US"/>
        </w:rPr>
        <w:t>Input data based on purchase and sale prices</w:t>
      </w:r>
    </w:p>
    <w:p w14:paraId="44331796"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 xml:space="preserve">If an asset or liability measured at fair value has a bid price and a ask price (e.g., dealer market inputs), the price within the bid-ask spread that most closely represents fair value in the circumstances shall be used to measure fair value, regardless of which category such inputs fall within the fair value hierarchy (i.e., Level 1, Level 2 or Level 3). The use of bid prices for asset positions and ask prices for </w:t>
      </w:r>
      <w:r w:rsidR="00CC7F72" w:rsidRPr="007D770B">
        <w:rPr>
          <w:rFonts w:ascii="Times New Roman" w:hAnsi="Times New Roman"/>
          <w:lang w:val="en-US"/>
        </w:rPr>
        <w:t>liability</w:t>
      </w:r>
      <w:r w:rsidRPr="007D770B">
        <w:rPr>
          <w:rFonts w:ascii="Times New Roman" w:hAnsi="Times New Roman"/>
          <w:lang w:val="en-US"/>
        </w:rPr>
        <w:t xml:space="preserve"> positions </w:t>
      </w:r>
      <w:r w:rsidR="00CC7F72" w:rsidRPr="007D770B">
        <w:rPr>
          <w:rFonts w:ascii="Times New Roman" w:hAnsi="Times New Roman"/>
          <w:lang w:val="en-US"/>
        </w:rPr>
        <w:t xml:space="preserve">is an option but not an </w:t>
      </w:r>
      <w:r w:rsidRPr="007D770B">
        <w:rPr>
          <w:rFonts w:ascii="Times New Roman" w:hAnsi="Times New Roman"/>
          <w:lang w:val="en-US"/>
        </w:rPr>
        <w:t>obligation.</w:t>
      </w:r>
    </w:p>
    <w:p w14:paraId="771CAC2E"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This section does not preclude the use of mid-market pricing or other pricing agreements used by market participants as a practical expedient to estimate fair value within the bid-ask spread.</w:t>
      </w:r>
    </w:p>
    <w:p w14:paraId="220666FC" w14:textId="77777777" w:rsidR="009731D7" w:rsidRPr="007D770B" w:rsidRDefault="009731D7" w:rsidP="00F96B17">
      <w:pPr>
        <w:autoSpaceDE w:val="0"/>
        <w:autoSpaceDN w:val="0"/>
        <w:adjustRightInd w:val="0"/>
        <w:spacing w:before="240" w:line="240" w:lineRule="auto"/>
        <w:ind w:left="0"/>
        <w:rPr>
          <w:rFonts w:ascii="Times New Roman" w:hAnsi="Times New Roman"/>
          <w:b/>
          <w:bCs/>
          <w:i/>
          <w:lang w:val="en-US"/>
        </w:rPr>
      </w:pPr>
    </w:p>
    <w:p w14:paraId="6AA99834" w14:textId="77777777" w:rsidR="009731D7" w:rsidRPr="007D770B" w:rsidRDefault="009731D7" w:rsidP="00F96B17">
      <w:pPr>
        <w:autoSpaceDE w:val="0"/>
        <w:autoSpaceDN w:val="0"/>
        <w:adjustRightInd w:val="0"/>
        <w:spacing w:before="240" w:line="240" w:lineRule="auto"/>
        <w:ind w:left="0"/>
        <w:rPr>
          <w:rFonts w:ascii="Times New Roman" w:hAnsi="Times New Roman"/>
          <w:b/>
          <w:bCs/>
          <w:i/>
          <w:lang w:val="en-US"/>
        </w:rPr>
      </w:pPr>
    </w:p>
    <w:p w14:paraId="0740E7BF" w14:textId="77777777" w:rsidR="009731D7" w:rsidRPr="007D770B" w:rsidRDefault="009731D7" w:rsidP="00F96B17">
      <w:pPr>
        <w:autoSpaceDE w:val="0"/>
        <w:autoSpaceDN w:val="0"/>
        <w:adjustRightInd w:val="0"/>
        <w:spacing w:before="240" w:line="240" w:lineRule="auto"/>
        <w:ind w:left="0"/>
        <w:rPr>
          <w:rFonts w:ascii="Times New Roman" w:hAnsi="Times New Roman"/>
          <w:b/>
          <w:bCs/>
          <w:i/>
          <w:lang w:val="en-US"/>
        </w:rPr>
      </w:pPr>
    </w:p>
    <w:p w14:paraId="60075098" w14:textId="77777777" w:rsidR="002D6DB1" w:rsidRPr="007D770B" w:rsidRDefault="002D6DB1" w:rsidP="00F96B17">
      <w:pPr>
        <w:autoSpaceDE w:val="0"/>
        <w:autoSpaceDN w:val="0"/>
        <w:adjustRightInd w:val="0"/>
        <w:spacing w:before="240" w:line="240" w:lineRule="auto"/>
        <w:ind w:left="0"/>
        <w:rPr>
          <w:rFonts w:ascii="Times New Roman" w:hAnsi="Times New Roman"/>
          <w:b/>
          <w:bCs/>
          <w:i/>
          <w:lang w:val="en-US"/>
        </w:rPr>
      </w:pPr>
    </w:p>
    <w:p w14:paraId="13ABB8A1" w14:textId="77777777" w:rsidR="009731D7" w:rsidRPr="007D770B" w:rsidRDefault="009731D7" w:rsidP="00F96B17">
      <w:pPr>
        <w:autoSpaceDE w:val="0"/>
        <w:autoSpaceDN w:val="0"/>
        <w:adjustRightInd w:val="0"/>
        <w:spacing w:before="240" w:line="240" w:lineRule="auto"/>
        <w:ind w:left="0"/>
        <w:rPr>
          <w:rFonts w:ascii="Times New Roman" w:hAnsi="Times New Roman"/>
          <w:b/>
          <w:bCs/>
          <w:i/>
          <w:lang w:val="en-US"/>
        </w:rPr>
      </w:pPr>
    </w:p>
    <w:p w14:paraId="3DD6B10F" w14:textId="77777777" w:rsidR="00EB24FC" w:rsidRPr="007D770B" w:rsidRDefault="00EB24FC" w:rsidP="00F96B17">
      <w:pPr>
        <w:autoSpaceDE w:val="0"/>
        <w:autoSpaceDN w:val="0"/>
        <w:adjustRightInd w:val="0"/>
        <w:spacing w:before="240" w:line="240" w:lineRule="auto"/>
        <w:ind w:left="0"/>
        <w:rPr>
          <w:rFonts w:ascii="Times New Roman" w:hAnsi="Times New Roman"/>
          <w:b/>
          <w:bCs/>
          <w:i/>
          <w:lang w:val="en-US"/>
        </w:rPr>
      </w:pPr>
    </w:p>
    <w:p w14:paraId="70536B9B" w14:textId="77777777" w:rsidR="009731D7" w:rsidRPr="007D770B" w:rsidRDefault="009731D7" w:rsidP="00F96B17">
      <w:pPr>
        <w:autoSpaceDE w:val="0"/>
        <w:autoSpaceDN w:val="0"/>
        <w:adjustRightInd w:val="0"/>
        <w:spacing w:before="240" w:line="240" w:lineRule="auto"/>
        <w:ind w:left="0"/>
        <w:rPr>
          <w:rFonts w:ascii="Times New Roman" w:hAnsi="Times New Roman"/>
          <w:b/>
          <w:bCs/>
          <w:i/>
          <w:lang w:val="en-US"/>
        </w:rPr>
      </w:pPr>
    </w:p>
    <w:p w14:paraId="4B540D5F" w14:textId="77777777" w:rsidR="00164AE3" w:rsidRPr="007D770B" w:rsidRDefault="00164AE3" w:rsidP="00F96B17">
      <w:pPr>
        <w:autoSpaceDE w:val="0"/>
        <w:autoSpaceDN w:val="0"/>
        <w:adjustRightInd w:val="0"/>
        <w:spacing w:before="240" w:line="240" w:lineRule="auto"/>
        <w:ind w:left="0"/>
        <w:rPr>
          <w:rFonts w:ascii="Times New Roman" w:hAnsi="Times New Roman"/>
          <w:b/>
          <w:bCs/>
          <w:i/>
          <w:lang w:val="en-US"/>
        </w:rPr>
      </w:pPr>
      <w:r w:rsidRPr="007D770B">
        <w:rPr>
          <w:rFonts w:ascii="Times New Roman" w:hAnsi="Times New Roman"/>
          <w:b/>
          <w:bCs/>
          <w:i/>
          <w:lang w:val="en-US"/>
        </w:rPr>
        <w:t>Fair value hierarchy</w:t>
      </w:r>
    </w:p>
    <w:p w14:paraId="7291DD49" w14:textId="77777777" w:rsidR="007F57C5" w:rsidRPr="007D770B" w:rsidRDefault="00032C6A" w:rsidP="00F96B17">
      <w:pPr>
        <w:autoSpaceDE w:val="0"/>
        <w:autoSpaceDN w:val="0"/>
        <w:adjustRightInd w:val="0"/>
        <w:spacing w:before="240" w:line="240" w:lineRule="auto"/>
        <w:ind w:left="0"/>
        <w:rPr>
          <w:rFonts w:ascii="Times New Roman" w:hAnsi="Times New Roman"/>
          <w:bCs/>
          <w:lang w:val="en-US"/>
        </w:rPr>
      </w:pPr>
      <w:r w:rsidRPr="007D770B">
        <w:rPr>
          <w:rFonts w:ascii="Times New Roman" w:hAnsi="Times New Roman"/>
          <w:bCs/>
          <w:lang w:val="en-US"/>
        </w:rPr>
        <w:t xml:space="preserve">The fair value hierarchy reflects the </w:t>
      </w:r>
      <w:r w:rsidR="00CC7F72" w:rsidRPr="007D770B">
        <w:rPr>
          <w:rFonts w:ascii="Times New Roman" w:hAnsi="Times New Roman"/>
          <w:bCs/>
          <w:lang w:val="en-US"/>
        </w:rPr>
        <w:t>significance</w:t>
      </w:r>
      <w:r w:rsidRPr="007D770B">
        <w:rPr>
          <w:rFonts w:ascii="Times New Roman" w:hAnsi="Times New Roman"/>
          <w:bCs/>
          <w:lang w:val="en-US"/>
        </w:rPr>
        <w:t xml:space="preserve"> of the </w:t>
      </w:r>
      <w:r w:rsidR="009C04A2" w:rsidRPr="007D770B">
        <w:rPr>
          <w:rFonts w:ascii="Times New Roman" w:hAnsi="Times New Roman"/>
          <w:bCs/>
          <w:lang w:val="en-US"/>
        </w:rPr>
        <w:t xml:space="preserve">inputs used in </w:t>
      </w:r>
      <w:r w:rsidRPr="007D770B">
        <w:rPr>
          <w:rFonts w:ascii="Times New Roman" w:hAnsi="Times New Roman"/>
          <w:bCs/>
          <w:lang w:val="en-US"/>
        </w:rPr>
        <w:t>determining fair value</w:t>
      </w:r>
    </w:p>
    <w:p w14:paraId="60E32950" w14:textId="77777777" w:rsidR="00032C6A" w:rsidRPr="007D770B" w:rsidRDefault="005F577B" w:rsidP="00F96B17">
      <w:pPr>
        <w:autoSpaceDE w:val="0"/>
        <w:autoSpaceDN w:val="0"/>
        <w:adjustRightInd w:val="0"/>
        <w:spacing w:before="240" w:line="240" w:lineRule="auto"/>
        <w:ind w:left="0"/>
        <w:rPr>
          <w:rFonts w:ascii="Times New Roman" w:hAnsi="Times New Roman"/>
          <w:bCs/>
          <w:lang w:val="en-US"/>
        </w:rPr>
      </w:pPr>
      <w:r w:rsidRPr="007D770B">
        <w:rPr>
          <w:rFonts w:ascii="Times New Roman" w:hAnsi="Times New Roman"/>
          <w:bCs/>
          <w:lang w:val="en-US"/>
        </w:rPr>
        <w:t>The decision tree regarding the application of the hierarchy levels is presented below:</w:t>
      </w:r>
    </w:p>
    <w:p w14:paraId="05B4BC35" w14:textId="77777777" w:rsidR="001D42BD" w:rsidRDefault="00BD6A60" w:rsidP="001D42BD">
      <w:pPr>
        <w:ind w:left="0"/>
      </w:pPr>
      <w:r>
        <w:rPr>
          <w:noProof/>
          <w:lang w:eastAsia="ru-RU"/>
        </w:rPr>
        <w:lastRenderedPageBreak/>
        <mc:AlternateContent>
          <mc:Choice Requires="wpg">
            <w:drawing>
              <wp:inline distT="0" distB="0" distL="0" distR="0" wp14:anchorId="130CC540" wp14:editId="6BF7DF52">
                <wp:extent cx="6423025" cy="4315460"/>
                <wp:effectExtent l="9525" t="9525" r="6350" b="8890"/>
                <wp:docPr id="1"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3025" cy="4315460"/>
                          <a:chOff x="0" y="0"/>
                          <a:chExt cx="6422746" cy="4315485"/>
                        </a:xfrm>
                      </wpg:grpSpPr>
                      <wps:wsp>
                        <wps:cNvPr id="2" name="Text Box 1"/>
                        <wps:cNvSpPr txBox="1">
                          <a:spLocks noChangeArrowheads="1"/>
                        </wps:cNvSpPr>
                        <wps:spPr bwMode="auto">
                          <a:xfrm>
                            <a:off x="1199693" y="14630"/>
                            <a:ext cx="1528445" cy="577850"/>
                          </a:xfrm>
                          <a:prstGeom prst="rect">
                            <a:avLst/>
                          </a:prstGeom>
                          <a:solidFill>
                            <a:srgbClr val="FFFFFF"/>
                          </a:solidFill>
                          <a:ln w="6350">
                            <a:solidFill>
                              <a:srgbClr val="000000"/>
                            </a:solidFill>
                            <a:miter lim="800000"/>
                            <a:headEnd/>
                            <a:tailEnd/>
                          </a:ln>
                        </wps:spPr>
                        <wps:txbx>
                          <w:txbxContent>
                            <w:p w14:paraId="7206AB2E" w14:textId="77777777" w:rsidR="003A587C" w:rsidRPr="007D770B" w:rsidRDefault="003A587C" w:rsidP="001D42BD">
                              <w:pPr>
                                <w:spacing w:after="0" w:line="240" w:lineRule="auto"/>
                                <w:ind w:left="0"/>
                                <w:jc w:val="center"/>
                                <w:rPr>
                                  <w:rFonts w:ascii="Times New Roman" w:hAnsi="Times New Roman"/>
                                  <w:b/>
                                  <w:sz w:val="18"/>
                                  <w:szCs w:val="18"/>
                                  <w:lang w:val="en-US"/>
                                </w:rPr>
                              </w:pPr>
                              <w:r w:rsidRPr="007D770B">
                                <w:rPr>
                                  <w:rFonts w:ascii="Times New Roman" w:hAnsi="Times New Roman"/>
                                  <w:b/>
                                  <w:sz w:val="18"/>
                                  <w:szCs w:val="18"/>
                                  <w:lang w:val="en-US"/>
                                </w:rPr>
                                <w:t>Quotes for identical assets/liabilities?</w:t>
                              </w:r>
                            </w:p>
                          </w:txbxContent>
                        </wps:txbx>
                        <wps:bodyPr rot="0" vert="horz" wrap="square" lIns="91440" tIns="45720" rIns="91440" bIns="45720" anchor="t" anchorCtr="0" upright="1">
                          <a:noAutofit/>
                        </wps:bodyPr>
                      </wps:wsp>
                      <wps:wsp>
                        <wps:cNvPr id="3" name="Text Box 2"/>
                        <wps:cNvSpPr txBox="1">
                          <a:spLocks noChangeArrowheads="1"/>
                        </wps:cNvSpPr>
                        <wps:spPr bwMode="auto">
                          <a:xfrm>
                            <a:off x="3562503" y="0"/>
                            <a:ext cx="1528445" cy="577850"/>
                          </a:xfrm>
                          <a:prstGeom prst="rect">
                            <a:avLst/>
                          </a:prstGeom>
                          <a:solidFill>
                            <a:srgbClr val="FFFFFF"/>
                          </a:solidFill>
                          <a:ln w="6350">
                            <a:solidFill>
                              <a:srgbClr val="000000"/>
                            </a:solidFill>
                            <a:miter lim="800000"/>
                            <a:headEnd/>
                            <a:tailEnd/>
                          </a:ln>
                        </wps:spPr>
                        <wps:txbx>
                          <w:txbxContent>
                            <w:p w14:paraId="6D38BFB3" w14:textId="77777777" w:rsidR="003A587C" w:rsidRPr="007D770B" w:rsidRDefault="003A587C" w:rsidP="001D42BD">
                              <w:pPr>
                                <w:spacing w:after="0" w:line="240" w:lineRule="auto"/>
                                <w:ind w:left="0"/>
                                <w:jc w:val="center"/>
                                <w:rPr>
                                  <w:rFonts w:ascii="Times New Roman" w:hAnsi="Times New Roman"/>
                                  <w:b/>
                                  <w:sz w:val="18"/>
                                  <w:szCs w:val="18"/>
                                  <w:lang w:val="en-US"/>
                                </w:rPr>
                              </w:pPr>
                              <w:r w:rsidRPr="007D770B">
                                <w:rPr>
                                  <w:rFonts w:ascii="Times New Roman" w:hAnsi="Times New Roman"/>
                                  <w:b/>
                                  <w:sz w:val="18"/>
                                  <w:szCs w:val="18"/>
                                  <w:lang w:val="en-US"/>
                                </w:rPr>
                                <w:t>Observable</w:t>
                              </w:r>
                              <w:r w:rsidRPr="007D770B">
                                <w:rPr>
                                  <w:rFonts w:ascii="Times New Roman" w:hAnsi="Times New Roman"/>
                                  <w:b/>
                                  <w:sz w:val="18"/>
                                  <w:szCs w:val="18"/>
                                  <w:lang w:val="en-US"/>
                                </w:rPr>
                                <w:br/>
                                <w:t xml:space="preserve"> data for the asset or liability?</w:t>
                              </w:r>
                            </w:p>
                          </w:txbxContent>
                        </wps:txbx>
                        <wps:bodyPr rot="0" vert="horz" wrap="square" lIns="91440" tIns="45720" rIns="91440" bIns="45720" anchor="t" anchorCtr="0" upright="1">
                          <a:noAutofit/>
                        </wps:bodyPr>
                      </wps:wsp>
                      <wps:wsp>
                        <wps:cNvPr id="5" name="Text Box 3"/>
                        <wps:cNvSpPr txBox="1">
                          <a:spLocks noChangeArrowheads="1"/>
                        </wps:cNvSpPr>
                        <wps:spPr bwMode="auto">
                          <a:xfrm>
                            <a:off x="0" y="929030"/>
                            <a:ext cx="2033626" cy="3108960"/>
                          </a:xfrm>
                          <a:prstGeom prst="rect">
                            <a:avLst/>
                          </a:prstGeom>
                          <a:solidFill>
                            <a:srgbClr val="FFFFFF"/>
                          </a:solidFill>
                          <a:ln w="6350">
                            <a:solidFill>
                              <a:srgbClr val="000000"/>
                            </a:solidFill>
                            <a:miter lim="800000"/>
                            <a:headEnd/>
                            <a:tailEnd/>
                          </a:ln>
                        </wps:spPr>
                        <wps:txbx>
                          <w:txbxContent>
                            <w:p w14:paraId="0A141FBD" w14:textId="77777777" w:rsidR="003A587C" w:rsidRPr="007D770B" w:rsidRDefault="003A587C" w:rsidP="00803164">
                              <w:pPr>
                                <w:spacing w:after="0" w:line="240" w:lineRule="auto"/>
                                <w:rPr>
                                  <w:rFonts w:ascii="Times New Roman" w:hAnsi="Times New Roman"/>
                                  <w:sz w:val="18"/>
                                  <w:szCs w:val="18"/>
                                  <w:lang w:val="en-US"/>
                                </w:rPr>
                              </w:pPr>
                              <w:r w:rsidRPr="007D770B">
                                <w:rPr>
                                  <w:rFonts w:ascii="Times New Roman" w:hAnsi="Times New Roman"/>
                                  <w:b/>
                                  <w:sz w:val="18"/>
                                  <w:szCs w:val="18"/>
                                  <w:lang w:val="en-US"/>
                                </w:rPr>
                                <w:t>LEVEL 1</w:t>
                              </w:r>
                            </w:p>
                            <w:p w14:paraId="411243F7" w14:textId="77777777" w:rsidR="003A587C" w:rsidRPr="007D770B" w:rsidRDefault="003A587C" w:rsidP="00803164">
                              <w:pPr>
                                <w:spacing w:after="0" w:line="240" w:lineRule="auto"/>
                                <w:ind w:left="0"/>
                                <w:rPr>
                                  <w:rFonts w:ascii="Times New Roman" w:hAnsi="Times New Roman"/>
                                  <w:sz w:val="18"/>
                                  <w:szCs w:val="18"/>
                                  <w:lang w:val="en-US"/>
                                </w:rPr>
                              </w:pPr>
                              <w:r w:rsidRPr="007D770B">
                                <w:rPr>
                                  <w:rFonts w:ascii="Times New Roman" w:hAnsi="Times New Roman"/>
                                  <w:sz w:val="18"/>
                                  <w:szCs w:val="18"/>
                                  <w:lang w:val="en-US"/>
                                </w:rPr>
                                <w:t xml:space="preserve"> - quoted price in an active market;</w:t>
                              </w:r>
                            </w:p>
                            <w:p w14:paraId="74C63E4F" w14:textId="77777777" w:rsidR="003A587C" w:rsidRPr="007D770B" w:rsidRDefault="003A587C" w:rsidP="00803164">
                              <w:pPr>
                                <w:spacing w:after="0" w:line="240" w:lineRule="auto"/>
                                <w:ind w:left="0"/>
                                <w:rPr>
                                  <w:rFonts w:ascii="Times New Roman" w:hAnsi="Times New Roman"/>
                                  <w:sz w:val="18"/>
                                  <w:szCs w:val="18"/>
                                  <w:lang w:val="en-US"/>
                                </w:rPr>
                              </w:pPr>
                              <w:r w:rsidRPr="007D770B">
                                <w:rPr>
                                  <w:rFonts w:ascii="Times New Roman" w:hAnsi="Times New Roman"/>
                                  <w:sz w:val="18"/>
                                  <w:szCs w:val="18"/>
                                  <w:lang w:val="en-US"/>
                                </w:rPr>
                                <w:t xml:space="preserve"> - the most reliable evidence;</w:t>
                              </w:r>
                            </w:p>
                            <w:p w14:paraId="745145E5" w14:textId="77777777" w:rsidR="003A587C" w:rsidRPr="007D770B" w:rsidRDefault="003A587C" w:rsidP="00803164">
                              <w:pPr>
                                <w:spacing w:after="0" w:line="240" w:lineRule="auto"/>
                                <w:ind w:left="0"/>
                                <w:rPr>
                                  <w:rFonts w:ascii="Times New Roman" w:hAnsi="Times New Roman"/>
                                  <w:sz w:val="18"/>
                                  <w:szCs w:val="18"/>
                                  <w:lang w:val="en-US"/>
                                </w:rPr>
                              </w:pPr>
                              <w:r w:rsidRPr="007D770B">
                                <w:rPr>
                                  <w:rFonts w:ascii="Times New Roman" w:hAnsi="Times New Roman"/>
                                  <w:sz w:val="18"/>
                                  <w:szCs w:val="18"/>
                                  <w:lang w:val="en-US"/>
                                </w:rPr>
                                <w:t xml:space="preserve"> - price should be used without adjustment whenever it is available;</w:t>
                              </w:r>
                            </w:p>
                            <w:p w14:paraId="6CF3634A" w14:textId="77777777" w:rsidR="003A587C" w:rsidRPr="007D770B" w:rsidRDefault="003A587C" w:rsidP="00803164">
                              <w:pPr>
                                <w:spacing w:after="0" w:line="240" w:lineRule="auto"/>
                                <w:ind w:left="0"/>
                                <w:rPr>
                                  <w:rFonts w:ascii="Times New Roman" w:hAnsi="Times New Roman"/>
                                  <w:sz w:val="18"/>
                                  <w:szCs w:val="18"/>
                                  <w:lang w:val="en-US"/>
                                </w:rPr>
                              </w:pPr>
                              <w:r w:rsidRPr="007D770B">
                                <w:rPr>
                                  <w:rFonts w:ascii="Times New Roman" w:hAnsi="Times New Roman"/>
                                  <w:sz w:val="18"/>
                                  <w:szCs w:val="18"/>
                                  <w:lang w:val="en-US"/>
                                </w:rPr>
                                <w:t xml:space="preserve"> - quotes are available for many financial assets and financial liabilities.</w:t>
                              </w:r>
                            </w:p>
                            <w:p w14:paraId="50350CE3" w14:textId="77777777" w:rsidR="003A587C" w:rsidRPr="007D770B" w:rsidRDefault="003A587C" w:rsidP="001D42BD">
                              <w:pPr>
                                <w:spacing w:after="0" w:line="240" w:lineRule="auto"/>
                                <w:jc w:val="center"/>
                                <w:rPr>
                                  <w:rFonts w:ascii="Times New Roman" w:hAnsi="Times New Roman"/>
                                  <w:sz w:val="18"/>
                                  <w:szCs w:val="18"/>
                                  <w:lang w:val="en-US"/>
                                </w:rPr>
                              </w:pPr>
                            </w:p>
                            <w:p w14:paraId="1E3C35D0" w14:textId="77777777" w:rsidR="003A587C" w:rsidRPr="007D770B" w:rsidRDefault="003A587C" w:rsidP="00803164">
                              <w:pPr>
                                <w:spacing w:after="0" w:line="240" w:lineRule="auto"/>
                                <w:ind w:left="0"/>
                                <w:rPr>
                                  <w:rFonts w:ascii="Times New Roman" w:hAnsi="Times New Roman"/>
                                  <w:sz w:val="18"/>
                                  <w:szCs w:val="18"/>
                                  <w:lang w:val="en-US"/>
                                </w:rPr>
                              </w:pPr>
                              <w:r w:rsidRPr="007D770B">
                                <w:rPr>
                                  <w:rFonts w:ascii="Times New Roman" w:hAnsi="Times New Roman"/>
                                  <w:sz w:val="18"/>
                                  <w:szCs w:val="18"/>
                                  <w:lang w:val="en-US"/>
                                </w:rPr>
                                <w:t>Particular attention is paid to determining the following:</w:t>
                              </w:r>
                            </w:p>
                            <w:p w14:paraId="06E91BC5" w14:textId="5C1701C8" w:rsidR="003A587C" w:rsidRPr="007D770B" w:rsidRDefault="003A587C" w:rsidP="00803164">
                              <w:pPr>
                                <w:spacing w:after="0" w:line="240" w:lineRule="auto"/>
                                <w:ind w:left="0"/>
                                <w:rPr>
                                  <w:rFonts w:ascii="Times New Roman" w:hAnsi="Times New Roman"/>
                                  <w:sz w:val="18"/>
                                  <w:szCs w:val="18"/>
                                  <w:lang w:val="en-US"/>
                                </w:rPr>
                              </w:pPr>
                              <w:r w:rsidRPr="007D770B">
                                <w:rPr>
                                  <w:rFonts w:ascii="Times New Roman" w:hAnsi="Times New Roman"/>
                                  <w:sz w:val="18"/>
                                  <w:szCs w:val="18"/>
                                  <w:lang w:val="en-US"/>
                                </w:rPr>
                                <w:t xml:space="preserve"> - The principal market for the asset or liability or, in the absence of a principal market, the most advantageous market for the asset or liability; and</w:t>
                              </w:r>
                            </w:p>
                            <w:p w14:paraId="37DB18AD" w14:textId="77777777" w:rsidR="003A587C" w:rsidRPr="007D770B" w:rsidRDefault="003A587C" w:rsidP="00803164">
                              <w:pPr>
                                <w:spacing w:after="0" w:line="240" w:lineRule="auto"/>
                                <w:ind w:left="0"/>
                                <w:rPr>
                                  <w:rFonts w:ascii="Times New Roman" w:hAnsi="Times New Roman"/>
                                  <w:sz w:val="18"/>
                                  <w:szCs w:val="18"/>
                                  <w:lang w:val="en-US"/>
                                </w:rPr>
                              </w:pPr>
                              <w:r w:rsidRPr="007D770B">
                                <w:rPr>
                                  <w:rFonts w:ascii="Times New Roman" w:hAnsi="Times New Roman"/>
                                  <w:sz w:val="18"/>
                                  <w:szCs w:val="18"/>
                                  <w:lang w:val="en-US"/>
                                </w:rPr>
                                <w:t xml:space="preserve"> - whether the Bank could engage in a transaction with the asset or liability at that market price at the measurement date.</w:t>
                              </w:r>
                            </w:p>
                          </w:txbxContent>
                        </wps:txbx>
                        <wps:bodyPr rot="0" vert="horz" wrap="square" lIns="91440" tIns="45720" rIns="91440" bIns="45720" anchor="t" anchorCtr="0" upright="1">
                          <a:noAutofit/>
                        </wps:bodyPr>
                      </wps:wsp>
                      <wps:wsp>
                        <wps:cNvPr id="6" name="Text Box 4"/>
                        <wps:cNvSpPr txBox="1">
                          <a:spLocks noChangeArrowheads="1"/>
                        </wps:cNvSpPr>
                        <wps:spPr bwMode="auto">
                          <a:xfrm>
                            <a:off x="2194560" y="929030"/>
                            <a:ext cx="2033270" cy="3386455"/>
                          </a:xfrm>
                          <a:prstGeom prst="rect">
                            <a:avLst/>
                          </a:prstGeom>
                          <a:solidFill>
                            <a:srgbClr val="FFFFFF"/>
                          </a:solidFill>
                          <a:ln w="6350">
                            <a:solidFill>
                              <a:srgbClr val="000000"/>
                            </a:solidFill>
                            <a:miter lim="800000"/>
                            <a:headEnd/>
                            <a:tailEnd/>
                          </a:ln>
                        </wps:spPr>
                        <wps:txbx>
                          <w:txbxContent>
                            <w:p w14:paraId="3E02D03D" w14:textId="77777777" w:rsidR="003A587C" w:rsidRPr="007D770B" w:rsidRDefault="003A587C" w:rsidP="00803164">
                              <w:pPr>
                                <w:spacing w:after="0" w:line="240" w:lineRule="auto"/>
                                <w:rPr>
                                  <w:rFonts w:ascii="Times New Roman" w:hAnsi="Times New Roman"/>
                                  <w:sz w:val="18"/>
                                  <w:szCs w:val="18"/>
                                  <w:lang w:val="en-US"/>
                                </w:rPr>
                              </w:pPr>
                              <w:r w:rsidRPr="007D770B">
                                <w:rPr>
                                  <w:rFonts w:ascii="Times New Roman" w:hAnsi="Times New Roman"/>
                                  <w:b/>
                                  <w:sz w:val="18"/>
                                  <w:szCs w:val="18"/>
                                  <w:lang w:val="en-US"/>
                                </w:rPr>
                                <w:t>LEVEL 2.</w:t>
                              </w:r>
                            </w:p>
                            <w:p w14:paraId="0CFB88E8" w14:textId="77777777" w:rsidR="003A587C" w:rsidRPr="007D770B" w:rsidRDefault="003A587C" w:rsidP="00803164">
                              <w:pPr>
                                <w:spacing w:after="0" w:line="240" w:lineRule="auto"/>
                                <w:ind w:left="0"/>
                                <w:rPr>
                                  <w:rFonts w:ascii="Times New Roman" w:hAnsi="Times New Roman"/>
                                  <w:sz w:val="18"/>
                                  <w:szCs w:val="18"/>
                                  <w:lang w:val="en-US"/>
                                </w:rPr>
                              </w:pPr>
                              <w:r w:rsidRPr="007D770B">
                                <w:rPr>
                                  <w:rFonts w:ascii="Times New Roman" w:hAnsi="Times New Roman"/>
                                  <w:sz w:val="18"/>
                                  <w:szCs w:val="18"/>
                                  <w:lang w:val="en-US"/>
                                </w:rPr>
                                <w:t>If the asset or liability has a specified (contractual) period, the inputs must be observable for substantially the entire period and may include the following</w:t>
                              </w:r>
                            </w:p>
                            <w:p w14:paraId="28BFF078" w14:textId="77777777" w:rsidR="003A587C" w:rsidRPr="007D770B" w:rsidRDefault="003A587C" w:rsidP="00803164">
                              <w:pPr>
                                <w:spacing w:after="0" w:line="240" w:lineRule="auto"/>
                                <w:ind w:left="0"/>
                                <w:rPr>
                                  <w:rFonts w:ascii="Times New Roman" w:hAnsi="Times New Roman"/>
                                  <w:sz w:val="18"/>
                                  <w:szCs w:val="18"/>
                                  <w:lang w:val="en-US"/>
                                </w:rPr>
                              </w:pPr>
                              <w:r w:rsidRPr="007D770B">
                                <w:rPr>
                                  <w:rFonts w:ascii="Times New Roman" w:hAnsi="Times New Roman"/>
                                  <w:sz w:val="18"/>
                                  <w:szCs w:val="18"/>
                                  <w:lang w:val="en-US"/>
                                </w:rPr>
                                <w:t xml:space="preserve"> - quoted prices for similar assets or liabilities in active markets;</w:t>
                              </w:r>
                            </w:p>
                            <w:p w14:paraId="6678EA4F" w14:textId="4CA715AF" w:rsidR="003A587C" w:rsidRPr="007D770B" w:rsidRDefault="003A587C" w:rsidP="00803164">
                              <w:pPr>
                                <w:spacing w:after="0" w:line="240" w:lineRule="auto"/>
                                <w:ind w:left="0"/>
                                <w:rPr>
                                  <w:rFonts w:ascii="Times New Roman" w:hAnsi="Times New Roman"/>
                                  <w:sz w:val="18"/>
                                  <w:szCs w:val="18"/>
                                  <w:lang w:val="en-US"/>
                                </w:rPr>
                              </w:pPr>
                              <w:r w:rsidRPr="007D770B">
                                <w:rPr>
                                  <w:rFonts w:ascii="Times New Roman" w:hAnsi="Times New Roman"/>
                                  <w:sz w:val="18"/>
                                  <w:szCs w:val="18"/>
                                  <w:lang w:val="en-US"/>
                                </w:rPr>
                                <w:t xml:space="preserve"> - quoted prices for identical or similar assets or liabilities in markets that are not active.</w:t>
                              </w:r>
                            </w:p>
                            <w:p w14:paraId="47C1B3D0" w14:textId="77777777" w:rsidR="003A587C" w:rsidRPr="007D770B" w:rsidRDefault="003A587C" w:rsidP="00803164">
                              <w:pPr>
                                <w:spacing w:after="0" w:line="240" w:lineRule="auto"/>
                                <w:ind w:left="0"/>
                                <w:rPr>
                                  <w:rFonts w:ascii="Times New Roman" w:hAnsi="Times New Roman"/>
                                  <w:sz w:val="18"/>
                                  <w:szCs w:val="18"/>
                                  <w:lang w:val="en-US"/>
                                </w:rPr>
                              </w:pPr>
                              <w:r w:rsidRPr="007D770B">
                                <w:rPr>
                                  <w:rFonts w:ascii="Times New Roman" w:hAnsi="Times New Roman"/>
                                  <w:sz w:val="18"/>
                                  <w:szCs w:val="18"/>
                                  <w:lang w:val="en-US"/>
                                </w:rPr>
                                <w:t xml:space="preserve"> - inputs other than quoted prices that are observable for the asset or liability (for example: interest rates and yield curves observed at commonly quoted intervals, implied volatility and credit spreads);</w:t>
                              </w:r>
                            </w:p>
                            <w:p w14:paraId="6D1C079B" w14:textId="77777777" w:rsidR="003A587C" w:rsidRPr="008316BC" w:rsidRDefault="003A587C" w:rsidP="00803164">
                              <w:pPr>
                                <w:spacing w:after="0" w:line="240" w:lineRule="auto"/>
                                <w:ind w:left="0"/>
                                <w:rPr>
                                  <w:rFonts w:ascii="Times New Roman" w:hAnsi="Times New Roman"/>
                                  <w:sz w:val="18"/>
                                  <w:szCs w:val="18"/>
                                </w:rPr>
                              </w:pPr>
                              <w:r w:rsidRPr="007D770B">
                                <w:rPr>
                                  <w:rFonts w:ascii="Times New Roman" w:hAnsi="Times New Roman"/>
                                  <w:sz w:val="18"/>
                                  <w:szCs w:val="18"/>
                                  <w:lang w:val="en-US"/>
                                </w:rPr>
                                <w:t xml:space="preserve"> </w:t>
                              </w:r>
                              <w:r w:rsidRPr="008316BC">
                                <w:rPr>
                                  <w:rFonts w:ascii="Times New Roman" w:hAnsi="Times New Roman"/>
                                  <w:sz w:val="18"/>
                                  <w:szCs w:val="18"/>
                                </w:rPr>
                                <w:t>- market-validated inputs.</w:t>
                              </w:r>
                            </w:p>
                          </w:txbxContent>
                        </wps:txbx>
                        <wps:bodyPr rot="0" vert="horz" wrap="square" lIns="91440" tIns="45720" rIns="91440" bIns="45720" anchor="t" anchorCtr="0" upright="1">
                          <a:noAutofit/>
                        </wps:bodyPr>
                      </wps:wsp>
                      <wps:wsp>
                        <wps:cNvPr id="7" name="Text Box 5"/>
                        <wps:cNvSpPr txBox="1">
                          <a:spLocks noChangeArrowheads="1"/>
                        </wps:cNvSpPr>
                        <wps:spPr bwMode="auto">
                          <a:xfrm>
                            <a:off x="4389120" y="921715"/>
                            <a:ext cx="2033626" cy="2465222"/>
                          </a:xfrm>
                          <a:prstGeom prst="rect">
                            <a:avLst/>
                          </a:prstGeom>
                          <a:solidFill>
                            <a:srgbClr val="FFFFFF"/>
                          </a:solidFill>
                          <a:ln w="6350">
                            <a:solidFill>
                              <a:srgbClr val="000000"/>
                            </a:solidFill>
                            <a:miter lim="800000"/>
                            <a:headEnd/>
                            <a:tailEnd/>
                          </a:ln>
                        </wps:spPr>
                        <wps:txbx>
                          <w:txbxContent>
                            <w:p w14:paraId="6840DBE4" w14:textId="77777777" w:rsidR="003A587C" w:rsidRPr="007D770B" w:rsidRDefault="003A587C" w:rsidP="00803164">
                              <w:pPr>
                                <w:spacing w:after="0" w:line="240" w:lineRule="auto"/>
                                <w:rPr>
                                  <w:rFonts w:ascii="Times New Roman" w:hAnsi="Times New Roman"/>
                                  <w:b/>
                                  <w:sz w:val="18"/>
                                  <w:szCs w:val="18"/>
                                  <w:lang w:val="en-US"/>
                                </w:rPr>
                              </w:pPr>
                              <w:r w:rsidRPr="007D770B">
                                <w:rPr>
                                  <w:rFonts w:ascii="Times New Roman" w:hAnsi="Times New Roman"/>
                                  <w:b/>
                                  <w:sz w:val="18"/>
                                  <w:szCs w:val="18"/>
                                  <w:lang w:val="en-US"/>
                                </w:rPr>
                                <w:t>LEVEL 3.</w:t>
                              </w:r>
                            </w:p>
                            <w:p w14:paraId="1B40A461" w14:textId="77777777" w:rsidR="003A587C" w:rsidRPr="007D770B" w:rsidRDefault="003A587C" w:rsidP="00803164">
                              <w:pPr>
                                <w:spacing w:after="0" w:line="240" w:lineRule="auto"/>
                                <w:ind w:left="0"/>
                                <w:rPr>
                                  <w:rFonts w:ascii="Times New Roman" w:hAnsi="Times New Roman"/>
                                  <w:sz w:val="18"/>
                                  <w:szCs w:val="18"/>
                                  <w:lang w:val="en-US"/>
                                </w:rPr>
                              </w:pPr>
                              <w:r w:rsidRPr="007D770B">
                                <w:rPr>
                                  <w:rFonts w:ascii="Times New Roman" w:hAnsi="Times New Roman"/>
                                  <w:sz w:val="18"/>
                                  <w:szCs w:val="18"/>
                                  <w:lang w:val="en-US"/>
                                </w:rPr>
                                <w:t>Unobservable inputs should be used to measure fair value when relevant observable inputs are not available, thus accounting for situations in which there is little, if any, observable market activity for the asset or liability at the measurement date. Consequently, unobservable inputs must reflect the assumptions that market participants would use when pricing the asset or liability, including assumptions about risk.</w:t>
                              </w:r>
                            </w:p>
                          </w:txbxContent>
                        </wps:txbx>
                        <wps:bodyPr rot="0" vert="horz" wrap="square" lIns="91440" tIns="45720" rIns="91440" bIns="45720" anchor="t" anchorCtr="0" upright="1">
                          <a:noAutofit/>
                        </wps:bodyPr>
                      </wps:wsp>
                      <wps:wsp>
                        <wps:cNvPr id="8" name="Straight Arrow Connector 7"/>
                        <wps:cNvCnPr>
                          <a:cxnSpLocks noChangeShapeType="1"/>
                        </wps:cNvCnPr>
                        <wps:spPr bwMode="auto">
                          <a:xfrm flipH="1">
                            <a:off x="1163117" y="592531"/>
                            <a:ext cx="760781" cy="32923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9" name="Straight Arrow Connector 8"/>
                        <wps:cNvCnPr>
                          <a:cxnSpLocks noChangeShapeType="1"/>
                        </wps:cNvCnPr>
                        <wps:spPr bwMode="auto">
                          <a:xfrm>
                            <a:off x="2728570" y="299923"/>
                            <a:ext cx="834365"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0" name="Straight Arrow Connector 9"/>
                        <wps:cNvCnPr>
                          <a:cxnSpLocks noChangeShapeType="1"/>
                        </wps:cNvCnPr>
                        <wps:spPr bwMode="auto">
                          <a:xfrm flipH="1">
                            <a:off x="3306471" y="592531"/>
                            <a:ext cx="1016813" cy="328981"/>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1" name="Straight Arrow Connector 10"/>
                        <wps:cNvCnPr>
                          <a:cxnSpLocks noChangeShapeType="1"/>
                        </wps:cNvCnPr>
                        <wps:spPr bwMode="auto">
                          <a:xfrm>
                            <a:off x="4323284" y="592531"/>
                            <a:ext cx="1016990" cy="32893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2" name="Text Box 12"/>
                        <wps:cNvSpPr txBox="1">
                          <a:spLocks noChangeArrowheads="1"/>
                        </wps:cNvSpPr>
                        <wps:spPr bwMode="auto">
                          <a:xfrm>
                            <a:off x="2838298" y="21945"/>
                            <a:ext cx="509905" cy="20447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B78FAC0" w14:textId="77777777" w:rsidR="003A587C" w:rsidRPr="00186FA4" w:rsidRDefault="003A587C" w:rsidP="001D42BD">
                              <w:pPr>
                                <w:spacing w:after="0" w:line="240" w:lineRule="auto"/>
                                <w:ind w:left="0"/>
                                <w:jc w:val="center"/>
                                <w:rPr>
                                  <w:rFonts w:ascii="Times New Roman" w:hAnsi="Times New Roman"/>
                                  <w:b/>
                                  <w:sz w:val="18"/>
                                  <w:szCs w:val="18"/>
                                </w:rPr>
                              </w:pPr>
                              <w:r>
                                <w:rPr>
                                  <w:rFonts w:ascii="Times New Roman" w:hAnsi="Times New Roman"/>
                                  <w:b/>
                                  <w:sz w:val="18"/>
                                  <w:szCs w:val="18"/>
                                </w:rPr>
                                <w:t>NO.</w:t>
                              </w:r>
                            </w:p>
                          </w:txbxContent>
                        </wps:txbx>
                        <wps:bodyPr rot="0" vert="horz" wrap="square" lIns="91440" tIns="45720" rIns="91440" bIns="45720" anchor="t" anchorCtr="0" upright="1">
                          <a:noAutofit/>
                        </wps:bodyPr>
                      </wps:wsp>
                      <wps:wsp>
                        <wps:cNvPr id="13" name="Text Box 13"/>
                        <wps:cNvSpPr txBox="1">
                          <a:spLocks noChangeArrowheads="1"/>
                        </wps:cNvSpPr>
                        <wps:spPr bwMode="auto">
                          <a:xfrm>
                            <a:off x="3087015" y="592531"/>
                            <a:ext cx="415468" cy="20482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47245A9" w14:textId="77777777" w:rsidR="003A587C" w:rsidRPr="009F2626" w:rsidRDefault="003A587C" w:rsidP="009F2626">
                              <w:pPr>
                                <w:spacing w:after="0" w:line="240" w:lineRule="auto"/>
                                <w:ind w:left="0"/>
                                <w:jc w:val="center"/>
                                <w:rPr>
                                  <w:rFonts w:ascii="Times New Roman" w:hAnsi="Times New Roman"/>
                                  <w:b/>
                                  <w:sz w:val="18"/>
                                  <w:szCs w:val="18"/>
                                </w:rPr>
                              </w:pPr>
                              <w:r>
                                <w:rPr>
                                  <w:rFonts w:ascii="Times New Roman" w:hAnsi="Times New Roman"/>
                                  <w:b/>
                                  <w:sz w:val="18"/>
                                  <w:szCs w:val="18"/>
                                </w:rPr>
                                <w:t>YEP.</w:t>
                              </w:r>
                            </w:p>
                          </w:txbxContent>
                        </wps:txbx>
                        <wps:bodyPr rot="0" vert="horz" wrap="square" lIns="91440" tIns="45720" rIns="91440" bIns="45720" anchor="t" anchorCtr="0" upright="1">
                          <a:noAutofit/>
                        </wps:bodyPr>
                      </wps:wsp>
                      <wps:wsp>
                        <wps:cNvPr id="14" name="Text Box 14"/>
                        <wps:cNvSpPr txBox="1">
                          <a:spLocks noChangeArrowheads="1"/>
                        </wps:cNvSpPr>
                        <wps:spPr bwMode="auto">
                          <a:xfrm>
                            <a:off x="760781" y="636422"/>
                            <a:ext cx="415290" cy="20447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E501039" w14:textId="77777777" w:rsidR="003A587C" w:rsidRPr="00186FA4" w:rsidRDefault="003A587C" w:rsidP="009F2626">
                              <w:pPr>
                                <w:spacing w:after="0" w:line="240" w:lineRule="auto"/>
                                <w:ind w:left="0"/>
                                <w:rPr>
                                  <w:rFonts w:ascii="Times New Roman" w:hAnsi="Times New Roman"/>
                                  <w:b/>
                                  <w:sz w:val="18"/>
                                  <w:szCs w:val="18"/>
                                </w:rPr>
                              </w:pPr>
                              <w:r>
                                <w:rPr>
                                  <w:rFonts w:ascii="Times New Roman" w:hAnsi="Times New Roman"/>
                                  <w:b/>
                                  <w:sz w:val="18"/>
                                  <w:szCs w:val="18"/>
                                </w:rPr>
                                <w:t>YEP.</w:t>
                              </w:r>
                            </w:p>
                          </w:txbxContent>
                        </wps:txbx>
                        <wps:bodyPr rot="0" vert="horz" wrap="square" lIns="91440" tIns="45720" rIns="91440" bIns="45720" anchor="t" anchorCtr="0" upright="1">
                          <a:noAutofit/>
                        </wps:bodyPr>
                      </wps:wsp>
                      <wps:wsp>
                        <wps:cNvPr id="897" name="Text Box 15"/>
                        <wps:cNvSpPr txBox="1">
                          <a:spLocks noChangeArrowheads="1"/>
                        </wps:cNvSpPr>
                        <wps:spPr bwMode="auto">
                          <a:xfrm>
                            <a:off x="5193792" y="592531"/>
                            <a:ext cx="509905" cy="20447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AD2A97F" w14:textId="77777777" w:rsidR="003A587C" w:rsidRPr="00186FA4" w:rsidRDefault="003A587C" w:rsidP="001D42BD">
                              <w:pPr>
                                <w:spacing w:after="0" w:line="240" w:lineRule="auto"/>
                                <w:ind w:left="0"/>
                                <w:jc w:val="center"/>
                                <w:rPr>
                                  <w:rFonts w:ascii="Times New Roman" w:hAnsi="Times New Roman"/>
                                  <w:b/>
                                  <w:sz w:val="18"/>
                                  <w:szCs w:val="18"/>
                                </w:rPr>
                              </w:pPr>
                              <w:r>
                                <w:rPr>
                                  <w:rFonts w:ascii="Times New Roman" w:hAnsi="Times New Roman"/>
                                  <w:b/>
                                  <w:sz w:val="18"/>
                                  <w:szCs w:val="18"/>
                                </w:rPr>
                                <w:t>NO.</w:t>
                              </w:r>
                            </w:p>
                          </w:txbxContent>
                        </wps:txbx>
                        <wps:bodyPr rot="0" vert="horz" wrap="square" lIns="91440" tIns="45720" rIns="91440" bIns="45720" anchor="t" anchorCtr="0" upright="1">
                          <a:noAutofit/>
                        </wps:bodyPr>
                      </wps:wsp>
                    </wpg:wgp>
                  </a:graphicData>
                </a:graphic>
              </wp:inline>
            </w:drawing>
          </mc:Choice>
          <mc:Fallback>
            <w:pict>
              <v:group w14:anchorId="130CC540" id="Group 17" o:spid="_x0000_s1192" style="width:505.75pt;height:339.8pt;mso-position-horizontal-relative:char;mso-position-vertical-relative:line" coordsize="64227,4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mIpRgUAAIcjAAAOAAAAZHJzL2Uyb0RvYy54bWzsWttu4zYQfS/QfyD03lgkdaMQZ7HNbtIC&#10;23aBpB9A62IJlUSVUmJnv77Di2TFsRM03TgNYj8YkkhRnDOHhzMjnX5Y1xW6zWRXimbu4BPXQVmT&#10;iLRslnPnz+uLnyIHdT1vUl6JJps7d1nnfDj78YfTVRtnRBSiSjOJYJCmi1ft3Cn6vo1nsy4pspp3&#10;J6LNGmjMhax5D6dyOUslX8HodTUjrhvMVkKmrRRJ1nVw9ZNpdM70+HmeJf0fed5lParmDsyt1/9S&#10;/y/U/+zslMdLyduiTOw0+DNmUfOygYeOQ33iPUc3snwwVF0mUnQi708SUc9EnpdJpm0Aa7C7Zc2l&#10;FDettmUZr5btCBNAu4XTs4dNfr/9KlGZgu8c1PAaXKSfinCosFm1yxi6XMr2qv0qjYFw+EUkf3XQ&#10;PNtuV+dL0xktVr+JFMbjN73Q2KxzWashwGq01i64G12QrXuUwMXAI9QlvoMSaPMo9r3AOikpwJMP&#10;7kuKz5s7SegFkzsjX5kw47F5sJ6snZyyDAjXbTDt/humVwVvM+2qTgFmMSUDptfKvp/FGmGDqu6k&#10;IEX9Gi4r9BUynUEWNeK84M0y+yilWBUZT2F2+k6wYbzV2NCpQZ6CGmPGAkYdBKBiL6AW0gF07JPI&#10;8yzofhhGvu4wIsfjVnb9ZSZqpA7mjoR1pSfMb790vQF56KLtEFWZXpRVpU/kcnFeSXTLYQ1e6J/1&#10;SzftVjVoBf6n8OzHh3D1b9cQddmDmFRlPXeisROPFYCfmxSmyeOel5U5BuuqRlO4A9wVuRW2/Xqx&#10;1sshCgZPLUR6BxhLYcQDxA4OCiG/OWgFwjF3ur9vuMwcVP3agJ8Y9jylNPrE80MCJ3Laspi28CaB&#10;oeZO7yBzeN4bdbppZbks4EmGGY34CMsoLzXYaqJmVnb+QOQDMRo4ZFRiZDQZcALaH47R1A+I7xpG&#10;H9msVe5RNls1H3hzZLNe5CB5W2ymr8JmkAhQZkaYuy3NxKU0IHZXo9iNmNkP37c2R4OXjto8iTaA&#10;JVts9gacDqrNBDPPB5o+xmkSQruK8SiNAs+/H6m9y3iDDb46cnrC6fABpzVVJmHwYSJoj0YMq1BO&#10;6zQOsZ4Gj4cQ+p5OEy/wCdGB0bvWaaYjs020eow6TGoxcPqql1wF+UjneehcNA0kVkKiMVoD3T5v&#10;TOKdrBubeI/poU46r+9aSLLvZYfmFoX7/uwQ5VXZ/jKkFzYlxzigGDJ/xXKfEZ/qYTcsDwM3jKBQ&#10;oIWbMEKf0O3OGjhaZpKZPVljI1TKqNM0kwwyHyoBz00GoXZic74d+R/qNWpc5deQxs2dOkshgcug&#10;hqWOTEa7I6A22qyaFbqHS7vYk5QZQ6KXo4zyhCUKCUnkqy0ciEIYAyYozDZEiahHA1tQeKKWcOSI&#10;KnT+qwLe7mITBneY+G+vrowxxsuRZKeuUOoGXgjCsUdXsIuDCEM2b4QlYiAyZg0ONcOhumQLUEfS&#10;fC/SjGXfvaQBXoEvbMT1QrvRRFo8SiiUIx/lCoPIYuSKSZn3B1pHrnwvruwoZ79O9Y9ENCIMXi2p&#10;7Udlm/d3H98Fgtjdh7ieBxvVo2ryMuVsxekxpHmi2sy03h0j5UFm7PsTtSVslTTg0kaNDlhvdqPQ&#10;haRv3w7mqTdVQEi1gQHlIijZ/d8pNy7dY8FhUnDAsPNsU+51ymhDsgWMCii8F9X+2oTYwDioF4+M&#10;ewsiNy7dI+MmjIvYwyKXKS/ZmOtwKudjRkMG2/yeOP0Nbqzj2n0rnNOfKcDXHvqdnv0yRX1OMj3X&#10;9YfN9zNn/wAAAP//AwBQSwMEFAAGAAgAAAAhAA9sOz/dAAAABgEAAA8AAABkcnMvZG93bnJldi54&#10;bWxMj0FLw0AQhe+C/2EZwZvdrNKoMZtSinoqQltBvE2z0yQ0Oxuy2yT992696GXg8R7vfZMvJtuK&#10;gXrfONagZgkI4tKZhisNn7u3uycQPiAbbB2ThjN5WBTXVzlmxo28oWEbKhFL2GeooQ6hy6T0ZU0W&#10;/cx1xNE7uN5iiLKvpOlxjOW2lfdJkkqLDceFGjta1VQetyer4X3EcfmgXof18bA6f+/mH19rRVrf&#10;3kzLFxCBpvAXhgt+RIciMu3diY0XrYb4SPi9Fy9Rag5iryF9fE5BFrn8j1/8AAAA//8DAFBLAQIt&#10;ABQABgAIAAAAIQC2gziS/gAAAOEBAAATAAAAAAAAAAAAAAAAAAAAAABbQ29udGVudF9UeXBlc10u&#10;eG1sUEsBAi0AFAAGAAgAAAAhADj9If/WAAAAlAEAAAsAAAAAAAAAAAAAAAAALwEAAF9yZWxzLy5y&#10;ZWxzUEsBAi0AFAAGAAgAAAAhAMFyYilGBQAAhyMAAA4AAAAAAAAAAAAAAAAALgIAAGRycy9lMm9E&#10;b2MueG1sUEsBAi0AFAAGAAgAAAAhAA9sOz/dAAAABgEAAA8AAAAAAAAAAAAAAAAAoAcAAGRycy9k&#10;b3ducmV2LnhtbFBLBQYAAAAABAAEAPMAAACqCAAAAAA=&#10;">
                <v:shape id="Text Box 1" o:spid="_x0000_s1193" type="#_x0000_t202" style="position:absolute;left:11996;top:146;width:15285;height:5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xMvgAAANoAAAAPAAAAZHJzL2Rvd25yZXYueG1sRI9Bi8Iw&#10;FITvgv8hvAVvNt0KItUou4Ig3tRevD2aZ1tsXkoSbf33RhA8DjPzDbPaDKYVD3K+sazgN0lBEJdW&#10;N1wpKM676QKED8gaW8uk4EkeNuvxaIW5tj0f6XEKlYgQ9jkqqEPocil9WZNBn9iOOHpX6wyGKF0l&#10;tcM+wk0rszSdS4MNx4UaO9rWVN5Od6NgP/8PFyr0Qc+yme0LWbpr65Wa/Ax/SxCBhvANf9p7rSCD&#10;95V4A+T6BQAA//8DAFBLAQItABQABgAIAAAAIQDb4fbL7gAAAIUBAAATAAAAAAAAAAAAAAAAAAAA&#10;AABbQ29udGVudF9UeXBlc10ueG1sUEsBAi0AFAAGAAgAAAAhAFr0LFu/AAAAFQEAAAsAAAAAAAAA&#10;AAAAAAAAHwEAAF9yZWxzLy5yZWxzUEsBAi0AFAAGAAgAAAAhAN/b/Ey+AAAA2gAAAA8AAAAAAAAA&#10;AAAAAAAABwIAAGRycy9kb3ducmV2LnhtbFBLBQYAAAAAAwADALcAAADyAgAAAAA=&#10;" strokeweight=".5pt">
                  <v:textbox>
                    <w:txbxContent>
                      <w:p w14:paraId="7206AB2E" w14:textId="77777777" w:rsidR="003A587C" w:rsidRPr="007D770B" w:rsidRDefault="003A587C" w:rsidP="001D42BD">
                        <w:pPr>
                          <w:spacing w:after="0" w:line="240" w:lineRule="auto"/>
                          <w:ind w:left="0"/>
                          <w:jc w:val="center"/>
                          <w:rPr>
                            <w:rFonts w:ascii="Times New Roman" w:hAnsi="Times New Roman"/>
                            <w:b/>
                            <w:sz w:val="18"/>
                            <w:szCs w:val="18"/>
                            <w:lang w:val="en-US"/>
                          </w:rPr>
                        </w:pPr>
                        <w:r w:rsidRPr="007D770B">
                          <w:rPr>
                            <w:rFonts w:ascii="Times New Roman" w:hAnsi="Times New Roman"/>
                            <w:b/>
                            <w:sz w:val="18"/>
                            <w:szCs w:val="18"/>
                            <w:lang w:val="en-US"/>
                          </w:rPr>
                          <w:t>Quotes for identical assets/liabilities?</w:t>
                        </w:r>
                      </w:p>
                    </w:txbxContent>
                  </v:textbox>
                </v:shape>
                <v:shape id="Text Box 2" o:spid="_x0000_s1194" type="#_x0000_t202" style="position:absolute;left:35625;width:15284;height:5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1nXwAAAANoAAAAPAAAAZHJzL2Rvd25yZXYueG1sRI/NasMw&#10;EITvhb6D2EBvjRwbQnEsm6RQCL019SW3xVr/EGtlJNV23j4qFHocZuYbpqhWM4qZnB8sK9htExDE&#10;jdUDdwrq74/XNxA+IGscLZOCO3moyuenAnNtF/6i+RI6ESHsc1TQhzDlUvqmJ4N+ayfi6LXWGQxR&#10;uk5qh0uEm1GmSbKXBgeOCz1O9N5Tc7v8GAXn/SlcqdafOkszu9Syce3olXrZrMcDiEBr+A//tc9a&#10;QQa/V+INkOUDAAD//wMAUEsBAi0AFAAGAAgAAAAhANvh9svuAAAAhQEAABMAAAAAAAAAAAAAAAAA&#10;AAAAAFtDb250ZW50X1R5cGVzXS54bWxQSwECLQAUAAYACAAAACEAWvQsW78AAAAVAQAACwAAAAAA&#10;AAAAAAAAAAAfAQAAX3JlbHMvLnJlbHNQSwECLQAUAAYACAAAACEAsJdZ18AAAADaAAAADwAAAAAA&#10;AAAAAAAAAAAHAgAAZHJzL2Rvd25yZXYueG1sUEsFBgAAAAADAAMAtwAAAPQCAAAAAA==&#10;" strokeweight=".5pt">
                  <v:textbox>
                    <w:txbxContent>
                      <w:p w14:paraId="6D38BFB3" w14:textId="77777777" w:rsidR="003A587C" w:rsidRPr="007D770B" w:rsidRDefault="003A587C" w:rsidP="001D42BD">
                        <w:pPr>
                          <w:spacing w:after="0" w:line="240" w:lineRule="auto"/>
                          <w:ind w:left="0"/>
                          <w:jc w:val="center"/>
                          <w:rPr>
                            <w:rFonts w:ascii="Times New Roman" w:hAnsi="Times New Roman"/>
                            <w:b/>
                            <w:sz w:val="18"/>
                            <w:szCs w:val="18"/>
                            <w:lang w:val="en-US"/>
                          </w:rPr>
                        </w:pPr>
                        <w:r w:rsidRPr="007D770B">
                          <w:rPr>
                            <w:rFonts w:ascii="Times New Roman" w:hAnsi="Times New Roman"/>
                            <w:b/>
                            <w:sz w:val="18"/>
                            <w:szCs w:val="18"/>
                            <w:lang w:val="en-US"/>
                          </w:rPr>
                          <w:t>Observable</w:t>
                        </w:r>
                        <w:r w:rsidRPr="007D770B">
                          <w:rPr>
                            <w:rFonts w:ascii="Times New Roman" w:hAnsi="Times New Roman"/>
                            <w:b/>
                            <w:sz w:val="18"/>
                            <w:szCs w:val="18"/>
                            <w:lang w:val="en-US"/>
                          </w:rPr>
                          <w:br/>
                          <w:t xml:space="preserve"> data for the asset or liability?</w:t>
                        </w:r>
                      </w:p>
                    </w:txbxContent>
                  </v:textbox>
                </v:shape>
                <v:shape id="Text Box 3" o:spid="_x0000_s1195" type="#_x0000_t202" style="position:absolute;top:9290;width:20336;height:31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mQ4wQAAANoAAAAPAAAAZHJzL2Rvd25yZXYueG1sRI9Ba4NA&#10;FITvgf6H5RV6i2silWCzSlIoSG+1XnJ7uC8qdd/K7ibaf98tFHocZuYb5litZhJ3cn60rGCXpCCI&#10;O6tH7hW0n2/bAwgfkDVOlknBN3moyofNEQttF/6gexN6ESHsC1QwhDAXUvpuIIM+sTNx9K7WGQxR&#10;ul5qh0uEm0nu0zSXBkeOCwPO9DpQ99XcjII6P4cLtfpdZ/vMLq3s3HXySj09rqcXEIHW8B/+a9da&#10;wTP8Xok3QJY/AAAA//8DAFBLAQItABQABgAIAAAAIQDb4fbL7gAAAIUBAAATAAAAAAAAAAAAAAAA&#10;AAAAAABbQ29udGVudF9UeXBlc10ueG1sUEsBAi0AFAAGAAgAAAAhAFr0LFu/AAAAFQEAAAsAAAAA&#10;AAAAAAAAAAAAHwEAAF9yZWxzLy5yZWxzUEsBAi0AFAAGAAgAAAAhAFAyZDjBAAAA2gAAAA8AAAAA&#10;AAAAAAAAAAAABwIAAGRycy9kb3ducmV2LnhtbFBLBQYAAAAAAwADALcAAAD1AgAAAAA=&#10;" strokeweight=".5pt">
                  <v:textbox>
                    <w:txbxContent>
                      <w:p w14:paraId="0A141FBD" w14:textId="77777777" w:rsidR="003A587C" w:rsidRPr="007D770B" w:rsidRDefault="003A587C" w:rsidP="00803164">
                        <w:pPr>
                          <w:spacing w:after="0" w:line="240" w:lineRule="auto"/>
                          <w:rPr>
                            <w:rFonts w:ascii="Times New Roman" w:hAnsi="Times New Roman"/>
                            <w:sz w:val="18"/>
                            <w:szCs w:val="18"/>
                            <w:lang w:val="en-US"/>
                          </w:rPr>
                        </w:pPr>
                        <w:r w:rsidRPr="007D770B">
                          <w:rPr>
                            <w:rFonts w:ascii="Times New Roman" w:hAnsi="Times New Roman"/>
                            <w:b/>
                            <w:sz w:val="18"/>
                            <w:szCs w:val="18"/>
                            <w:lang w:val="en-US"/>
                          </w:rPr>
                          <w:t>LEVEL 1</w:t>
                        </w:r>
                      </w:p>
                      <w:p w14:paraId="411243F7" w14:textId="77777777" w:rsidR="003A587C" w:rsidRPr="007D770B" w:rsidRDefault="003A587C" w:rsidP="00803164">
                        <w:pPr>
                          <w:spacing w:after="0" w:line="240" w:lineRule="auto"/>
                          <w:ind w:left="0"/>
                          <w:rPr>
                            <w:rFonts w:ascii="Times New Roman" w:hAnsi="Times New Roman"/>
                            <w:sz w:val="18"/>
                            <w:szCs w:val="18"/>
                            <w:lang w:val="en-US"/>
                          </w:rPr>
                        </w:pPr>
                        <w:r w:rsidRPr="007D770B">
                          <w:rPr>
                            <w:rFonts w:ascii="Times New Roman" w:hAnsi="Times New Roman"/>
                            <w:sz w:val="18"/>
                            <w:szCs w:val="18"/>
                            <w:lang w:val="en-US"/>
                          </w:rPr>
                          <w:t xml:space="preserve"> - quoted price in an active market;</w:t>
                        </w:r>
                      </w:p>
                      <w:p w14:paraId="74C63E4F" w14:textId="77777777" w:rsidR="003A587C" w:rsidRPr="007D770B" w:rsidRDefault="003A587C" w:rsidP="00803164">
                        <w:pPr>
                          <w:spacing w:after="0" w:line="240" w:lineRule="auto"/>
                          <w:ind w:left="0"/>
                          <w:rPr>
                            <w:rFonts w:ascii="Times New Roman" w:hAnsi="Times New Roman"/>
                            <w:sz w:val="18"/>
                            <w:szCs w:val="18"/>
                            <w:lang w:val="en-US"/>
                          </w:rPr>
                        </w:pPr>
                        <w:r w:rsidRPr="007D770B">
                          <w:rPr>
                            <w:rFonts w:ascii="Times New Roman" w:hAnsi="Times New Roman"/>
                            <w:sz w:val="18"/>
                            <w:szCs w:val="18"/>
                            <w:lang w:val="en-US"/>
                          </w:rPr>
                          <w:t xml:space="preserve"> - the most reliable evidence;</w:t>
                        </w:r>
                      </w:p>
                      <w:p w14:paraId="745145E5" w14:textId="77777777" w:rsidR="003A587C" w:rsidRPr="007D770B" w:rsidRDefault="003A587C" w:rsidP="00803164">
                        <w:pPr>
                          <w:spacing w:after="0" w:line="240" w:lineRule="auto"/>
                          <w:ind w:left="0"/>
                          <w:rPr>
                            <w:rFonts w:ascii="Times New Roman" w:hAnsi="Times New Roman"/>
                            <w:sz w:val="18"/>
                            <w:szCs w:val="18"/>
                            <w:lang w:val="en-US"/>
                          </w:rPr>
                        </w:pPr>
                        <w:r w:rsidRPr="007D770B">
                          <w:rPr>
                            <w:rFonts w:ascii="Times New Roman" w:hAnsi="Times New Roman"/>
                            <w:sz w:val="18"/>
                            <w:szCs w:val="18"/>
                            <w:lang w:val="en-US"/>
                          </w:rPr>
                          <w:t xml:space="preserve"> - price should be used without adjustment whenever it is available;</w:t>
                        </w:r>
                      </w:p>
                      <w:p w14:paraId="6CF3634A" w14:textId="77777777" w:rsidR="003A587C" w:rsidRPr="007D770B" w:rsidRDefault="003A587C" w:rsidP="00803164">
                        <w:pPr>
                          <w:spacing w:after="0" w:line="240" w:lineRule="auto"/>
                          <w:ind w:left="0"/>
                          <w:rPr>
                            <w:rFonts w:ascii="Times New Roman" w:hAnsi="Times New Roman"/>
                            <w:sz w:val="18"/>
                            <w:szCs w:val="18"/>
                            <w:lang w:val="en-US"/>
                          </w:rPr>
                        </w:pPr>
                        <w:r w:rsidRPr="007D770B">
                          <w:rPr>
                            <w:rFonts w:ascii="Times New Roman" w:hAnsi="Times New Roman"/>
                            <w:sz w:val="18"/>
                            <w:szCs w:val="18"/>
                            <w:lang w:val="en-US"/>
                          </w:rPr>
                          <w:t xml:space="preserve"> - quotes are available for many financial assets and financial liabilities.</w:t>
                        </w:r>
                      </w:p>
                      <w:p w14:paraId="50350CE3" w14:textId="77777777" w:rsidR="003A587C" w:rsidRPr="007D770B" w:rsidRDefault="003A587C" w:rsidP="001D42BD">
                        <w:pPr>
                          <w:spacing w:after="0" w:line="240" w:lineRule="auto"/>
                          <w:jc w:val="center"/>
                          <w:rPr>
                            <w:rFonts w:ascii="Times New Roman" w:hAnsi="Times New Roman"/>
                            <w:sz w:val="18"/>
                            <w:szCs w:val="18"/>
                            <w:lang w:val="en-US"/>
                          </w:rPr>
                        </w:pPr>
                      </w:p>
                      <w:p w14:paraId="1E3C35D0" w14:textId="77777777" w:rsidR="003A587C" w:rsidRPr="007D770B" w:rsidRDefault="003A587C" w:rsidP="00803164">
                        <w:pPr>
                          <w:spacing w:after="0" w:line="240" w:lineRule="auto"/>
                          <w:ind w:left="0"/>
                          <w:rPr>
                            <w:rFonts w:ascii="Times New Roman" w:hAnsi="Times New Roman"/>
                            <w:sz w:val="18"/>
                            <w:szCs w:val="18"/>
                            <w:lang w:val="en-US"/>
                          </w:rPr>
                        </w:pPr>
                        <w:r w:rsidRPr="007D770B">
                          <w:rPr>
                            <w:rFonts w:ascii="Times New Roman" w:hAnsi="Times New Roman"/>
                            <w:sz w:val="18"/>
                            <w:szCs w:val="18"/>
                            <w:lang w:val="en-US"/>
                          </w:rPr>
                          <w:t>Particular attention is paid to determining the following:</w:t>
                        </w:r>
                      </w:p>
                      <w:p w14:paraId="06E91BC5" w14:textId="5C1701C8" w:rsidR="003A587C" w:rsidRPr="007D770B" w:rsidRDefault="003A587C" w:rsidP="00803164">
                        <w:pPr>
                          <w:spacing w:after="0" w:line="240" w:lineRule="auto"/>
                          <w:ind w:left="0"/>
                          <w:rPr>
                            <w:rFonts w:ascii="Times New Roman" w:hAnsi="Times New Roman"/>
                            <w:sz w:val="18"/>
                            <w:szCs w:val="18"/>
                            <w:lang w:val="en-US"/>
                          </w:rPr>
                        </w:pPr>
                        <w:r w:rsidRPr="007D770B">
                          <w:rPr>
                            <w:rFonts w:ascii="Times New Roman" w:hAnsi="Times New Roman"/>
                            <w:sz w:val="18"/>
                            <w:szCs w:val="18"/>
                            <w:lang w:val="en-US"/>
                          </w:rPr>
                          <w:t xml:space="preserve"> - The principal market for the asset or liability or, in the absence of a principal market, the most advantageous market for the asset or liability; and</w:t>
                        </w:r>
                      </w:p>
                      <w:p w14:paraId="37DB18AD" w14:textId="77777777" w:rsidR="003A587C" w:rsidRPr="007D770B" w:rsidRDefault="003A587C" w:rsidP="00803164">
                        <w:pPr>
                          <w:spacing w:after="0" w:line="240" w:lineRule="auto"/>
                          <w:ind w:left="0"/>
                          <w:rPr>
                            <w:rFonts w:ascii="Times New Roman" w:hAnsi="Times New Roman"/>
                            <w:sz w:val="18"/>
                            <w:szCs w:val="18"/>
                            <w:lang w:val="en-US"/>
                          </w:rPr>
                        </w:pPr>
                        <w:r w:rsidRPr="007D770B">
                          <w:rPr>
                            <w:rFonts w:ascii="Times New Roman" w:hAnsi="Times New Roman"/>
                            <w:sz w:val="18"/>
                            <w:szCs w:val="18"/>
                            <w:lang w:val="en-US"/>
                          </w:rPr>
                          <w:t xml:space="preserve"> - whether the Bank could engage in a transaction with the asset or liability at that market price at the measurement date.</w:t>
                        </w:r>
                      </w:p>
                    </w:txbxContent>
                  </v:textbox>
                </v:shape>
                <v:shape id="Text Box 4" o:spid="_x0000_s1196" type="#_x0000_t202" style="position:absolute;left:21945;top:9290;width:20333;height:33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PpPvgAAANoAAAAPAAAAZHJzL2Rvd25yZXYueG1sRI9Bi8Iw&#10;FITvgv8hPMGbTVUoUo2yKwjiTe3F26N5tsXmpSTRdv/9RhA8DjPzDbPZDaYVL3K+saxgnqQgiEur&#10;G64UFNfDbAXCB2SNrWVS8EcedtvxaIO5tj2f6XUJlYgQ9jkqqEPocil9WZNBn9iOOHp36wyGKF0l&#10;tcM+wk0rF2maSYMNx4UaO9rXVD4uT6PgmP2GGxX6pJeLpe0LWbp765WaToafNYhAQ/iGP+2jVpDB&#10;+0q8AXL7DwAA//8DAFBLAQItABQABgAIAAAAIQDb4fbL7gAAAIUBAAATAAAAAAAAAAAAAAAAAAAA&#10;AABbQ29udGVudF9UeXBlc10ueG1sUEsBAi0AFAAGAAgAAAAhAFr0LFu/AAAAFQEAAAsAAAAAAAAA&#10;AAAAAAAAHwEAAF9yZWxzLy5yZWxzUEsBAi0AFAAGAAgAAAAhAKDg+k++AAAA2gAAAA8AAAAAAAAA&#10;AAAAAAAABwIAAGRycy9kb3ducmV2LnhtbFBLBQYAAAAAAwADALcAAADyAgAAAAA=&#10;" strokeweight=".5pt">
                  <v:textbox>
                    <w:txbxContent>
                      <w:p w14:paraId="3E02D03D" w14:textId="77777777" w:rsidR="003A587C" w:rsidRPr="007D770B" w:rsidRDefault="003A587C" w:rsidP="00803164">
                        <w:pPr>
                          <w:spacing w:after="0" w:line="240" w:lineRule="auto"/>
                          <w:rPr>
                            <w:rFonts w:ascii="Times New Roman" w:hAnsi="Times New Roman"/>
                            <w:sz w:val="18"/>
                            <w:szCs w:val="18"/>
                            <w:lang w:val="en-US"/>
                          </w:rPr>
                        </w:pPr>
                        <w:r w:rsidRPr="007D770B">
                          <w:rPr>
                            <w:rFonts w:ascii="Times New Roman" w:hAnsi="Times New Roman"/>
                            <w:b/>
                            <w:sz w:val="18"/>
                            <w:szCs w:val="18"/>
                            <w:lang w:val="en-US"/>
                          </w:rPr>
                          <w:t>LEVEL 2.</w:t>
                        </w:r>
                      </w:p>
                      <w:p w14:paraId="0CFB88E8" w14:textId="77777777" w:rsidR="003A587C" w:rsidRPr="007D770B" w:rsidRDefault="003A587C" w:rsidP="00803164">
                        <w:pPr>
                          <w:spacing w:after="0" w:line="240" w:lineRule="auto"/>
                          <w:ind w:left="0"/>
                          <w:rPr>
                            <w:rFonts w:ascii="Times New Roman" w:hAnsi="Times New Roman"/>
                            <w:sz w:val="18"/>
                            <w:szCs w:val="18"/>
                            <w:lang w:val="en-US"/>
                          </w:rPr>
                        </w:pPr>
                        <w:r w:rsidRPr="007D770B">
                          <w:rPr>
                            <w:rFonts w:ascii="Times New Roman" w:hAnsi="Times New Roman"/>
                            <w:sz w:val="18"/>
                            <w:szCs w:val="18"/>
                            <w:lang w:val="en-US"/>
                          </w:rPr>
                          <w:t>If the asset or liability has a specified (contractual) period, the inputs must be observable for substantially the entire period and may include the following</w:t>
                        </w:r>
                      </w:p>
                      <w:p w14:paraId="28BFF078" w14:textId="77777777" w:rsidR="003A587C" w:rsidRPr="007D770B" w:rsidRDefault="003A587C" w:rsidP="00803164">
                        <w:pPr>
                          <w:spacing w:after="0" w:line="240" w:lineRule="auto"/>
                          <w:ind w:left="0"/>
                          <w:rPr>
                            <w:rFonts w:ascii="Times New Roman" w:hAnsi="Times New Roman"/>
                            <w:sz w:val="18"/>
                            <w:szCs w:val="18"/>
                            <w:lang w:val="en-US"/>
                          </w:rPr>
                        </w:pPr>
                        <w:r w:rsidRPr="007D770B">
                          <w:rPr>
                            <w:rFonts w:ascii="Times New Roman" w:hAnsi="Times New Roman"/>
                            <w:sz w:val="18"/>
                            <w:szCs w:val="18"/>
                            <w:lang w:val="en-US"/>
                          </w:rPr>
                          <w:t xml:space="preserve"> - quoted prices for similar assets or liabilities in active markets;</w:t>
                        </w:r>
                      </w:p>
                      <w:p w14:paraId="6678EA4F" w14:textId="4CA715AF" w:rsidR="003A587C" w:rsidRPr="007D770B" w:rsidRDefault="003A587C" w:rsidP="00803164">
                        <w:pPr>
                          <w:spacing w:after="0" w:line="240" w:lineRule="auto"/>
                          <w:ind w:left="0"/>
                          <w:rPr>
                            <w:rFonts w:ascii="Times New Roman" w:hAnsi="Times New Roman"/>
                            <w:sz w:val="18"/>
                            <w:szCs w:val="18"/>
                            <w:lang w:val="en-US"/>
                          </w:rPr>
                        </w:pPr>
                        <w:r w:rsidRPr="007D770B">
                          <w:rPr>
                            <w:rFonts w:ascii="Times New Roman" w:hAnsi="Times New Roman"/>
                            <w:sz w:val="18"/>
                            <w:szCs w:val="18"/>
                            <w:lang w:val="en-US"/>
                          </w:rPr>
                          <w:t xml:space="preserve"> - quoted prices for identical or similar assets or liabilities in markets that are not active.</w:t>
                        </w:r>
                      </w:p>
                      <w:p w14:paraId="47C1B3D0" w14:textId="77777777" w:rsidR="003A587C" w:rsidRPr="007D770B" w:rsidRDefault="003A587C" w:rsidP="00803164">
                        <w:pPr>
                          <w:spacing w:after="0" w:line="240" w:lineRule="auto"/>
                          <w:ind w:left="0"/>
                          <w:rPr>
                            <w:rFonts w:ascii="Times New Roman" w:hAnsi="Times New Roman"/>
                            <w:sz w:val="18"/>
                            <w:szCs w:val="18"/>
                            <w:lang w:val="en-US"/>
                          </w:rPr>
                        </w:pPr>
                        <w:r w:rsidRPr="007D770B">
                          <w:rPr>
                            <w:rFonts w:ascii="Times New Roman" w:hAnsi="Times New Roman"/>
                            <w:sz w:val="18"/>
                            <w:szCs w:val="18"/>
                            <w:lang w:val="en-US"/>
                          </w:rPr>
                          <w:t xml:space="preserve"> - inputs other than quoted prices that are observable for the asset or liability (for example: interest rates and yield curves observed at commonly quoted intervals, implied volatility and credit spreads);</w:t>
                        </w:r>
                      </w:p>
                      <w:p w14:paraId="6D1C079B" w14:textId="77777777" w:rsidR="003A587C" w:rsidRPr="008316BC" w:rsidRDefault="003A587C" w:rsidP="00803164">
                        <w:pPr>
                          <w:spacing w:after="0" w:line="240" w:lineRule="auto"/>
                          <w:ind w:left="0"/>
                          <w:rPr>
                            <w:rFonts w:ascii="Times New Roman" w:hAnsi="Times New Roman"/>
                            <w:sz w:val="18"/>
                            <w:szCs w:val="18"/>
                          </w:rPr>
                        </w:pPr>
                        <w:r w:rsidRPr="007D770B">
                          <w:rPr>
                            <w:rFonts w:ascii="Times New Roman" w:hAnsi="Times New Roman"/>
                            <w:sz w:val="18"/>
                            <w:szCs w:val="18"/>
                            <w:lang w:val="en-US"/>
                          </w:rPr>
                          <w:t xml:space="preserve"> </w:t>
                        </w:r>
                        <w:r w:rsidRPr="008316BC">
                          <w:rPr>
                            <w:rFonts w:ascii="Times New Roman" w:hAnsi="Times New Roman"/>
                            <w:sz w:val="18"/>
                            <w:szCs w:val="18"/>
                          </w:rPr>
                          <w:t>- market-validated inputs.</w:t>
                        </w:r>
                      </w:p>
                    </w:txbxContent>
                  </v:textbox>
                </v:shape>
                <v:shape id="Text Box 5" o:spid="_x0000_s1197" type="#_x0000_t202" style="position:absolute;left:43891;top:9217;width:20336;height:24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F/UwQAAANoAAAAPAAAAZHJzL2Rvd25yZXYueG1sRI9Ba4NA&#10;FITvhf6H5RV6q2simGCzSlIoSG81XnJ7uC8qdd/K7ibaf98tFHocZuYb5lCtZhJ3cn60rGCTpCCI&#10;O6tH7hW05/eXPQgfkDVOlknBN3moyseHAxbaLvxJ9yb0IkLYF6hgCGEupPTdQAZ9Ymfi6F2tMxii&#10;dL3UDpcIN5PcpmkuDY4cFwac6W2g7qu5GQV1fgoXavWHzraZXVrZuevklXp+Wo+vIAKt4T/81661&#10;gh38Xok3QJY/AAAA//8DAFBLAQItABQABgAIAAAAIQDb4fbL7gAAAIUBAAATAAAAAAAAAAAAAAAA&#10;AAAAAABbQ29udGVudF9UeXBlc10ueG1sUEsBAi0AFAAGAAgAAAAhAFr0LFu/AAAAFQEAAAsAAAAA&#10;AAAAAAAAAAAAHwEAAF9yZWxzLy5yZWxzUEsBAi0AFAAGAAgAAAAhAM+sX9TBAAAA2gAAAA8AAAAA&#10;AAAAAAAAAAAABwIAAGRycy9kb3ducmV2LnhtbFBLBQYAAAAAAwADALcAAAD1AgAAAAA=&#10;" strokeweight=".5pt">
                  <v:textbox>
                    <w:txbxContent>
                      <w:p w14:paraId="6840DBE4" w14:textId="77777777" w:rsidR="003A587C" w:rsidRPr="007D770B" w:rsidRDefault="003A587C" w:rsidP="00803164">
                        <w:pPr>
                          <w:spacing w:after="0" w:line="240" w:lineRule="auto"/>
                          <w:rPr>
                            <w:rFonts w:ascii="Times New Roman" w:hAnsi="Times New Roman"/>
                            <w:b/>
                            <w:sz w:val="18"/>
                            <w:szCs w:val="18"/>
                            <w:lang w:val="en-US"/>
                          </w:rPr>
                        </w:pPr>
                        <w:r w:rsidRPr="007D770B">
                          <w:rPr>
                            <w:rFonts w:ascii="Times New Roman" w:hAnsi="Times New Roman"/>
                            <w:b/>
                            <w:sz w:val="18"/>
                            <w:szCs w:val="18"/>
                            <w:lang w:val="en-US"/>
                          </w:rPr>
                          <w:t>LEVEL 3.</w:t>
                        </w:r>
                      </w:p>
                      <w:p w14:paraId="1B40A461" w14:textId="77777777" w:rsidR="003A587C" w:rsidRPr="007D770B" w:rsidRDefault="003A587C" w:rsidP="00803164">
                        <w:pPr>
                          <w:spacing w:after="0" w:line="240" w:lineRule="auto"/>
                          <w:ind w:left="0"/>
                          <w:rPr>
                            <w:rFonts w:ascii="Times New Roman" w:hAnsi="Times New Roman"/>
                            <w:sz w:val="18"/>
                            <w:szCs w:val="18"/>
                            <w:lang w:val="en-US"/>
                          </w:rPr>
                        </w:pPr>
                        <w:r w:rsidRPr="007D770B">
                          <w:rPr>
                            <w:rFonts w:ascii="Times New Roman" w:hAnsi="Times New Roman"/>
                            <w:sz w:val="18"/>
                            <w:szCs w:val="18"/>
                            <w:lang w:val="en-US"/>
                          </w:rPr>
                          <w:t>Unobservable inputs should be used to measure fair value when relevant observable inputs are not available, thus accounting for situations in which there is little, if any, observable market activity for the asset or liability at the measurement date. Consequently, unobservable inputs must reflect the assumptions that market participants would use when pricing the asset or liability, including assumptions about risk.</w:t>
                        </w:r>
                      </w:p>
                    </w:txbxContent>
                  </v:textbox>
                </v:shape>
                <v:shape id="Straight Arrow Connector 7" o:spid="_x0000_s1198" type="#_x0000_t32" style="position:absolute;left:11631;top:5925;width:7607;height:329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wVzwAAAANoAAAAPAAAAZHJzL2Rvd25yZXYueG1sRE/LisIw&#10;FN0P+A/hCm4GTVUYpBpFBgZEBPGxcXdpbptic1ObWKtfbxbCLA/nvVh1thItNb50rGA8SkAQZ06X&#10;XCg4n/6GMxA+IGusHJOCJ3lYLXtfC0y1e/CB2mMoRAxhn6ICE0KdSukzQxb9yNXEkctdYzFE2BRS&#10;N/iI4baSkyT5kRZLjg0Ga/o1lF2Pd6vg+3Apizy/755++trPku3+ZrJWqUG/W89BBOrCv/jj3mgF&#10;cWu8Em+AXL4BAAD//wMAUEsBAi0AFAAGAAgAAAAhANvh9svuAAAAhQEAABMAAAAAAAAAAAAAAAAA&#10;AAAAAFtDb250ZW50X1R5cGVzXS54bWxQSwECLQAUAAYACAAAACEAWvQsW78AAAAVAQAACwAAAAAA&#10;AAAAAAAAAAAfAQAAX3JlbHMvLnJlbHNQSwECLQAUAAYACAAAACEAUIcFc8AAAADaAAAADwAAAAAA&#10;AAAAAAAAAAAHAgAAZHJzL2Rvd25yZXYueG1sUEsFBgAAAAADAAMAtwAAAPQCAAAAAA==&#10;">
                  <v:stroke endarrow="open"/>
                </v:shape>
                <v:shape id="Straight Arrow Connector 8" o:spid="_x0000_s1199" type="#_x0000_t32" style="position:absolute;left:27285;top:2999;width:834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UNuwwAAANoAAAAPAAAAZHJzL2Rvd25yZXYueG1sRI9Ba8JA&#10;FITvBf/D8gQvpW6MtNboJohgW/BULfT6yL5kg9m3IbvG9N+7hUKPw8x8w2yL0bZioN43jhUs5gkI&#10;4tLphmsFX+fD0ysIH5A1to5JwQ95KPLJwxYz7W78ScMp1CJC2GeowITQZVL60pBFP3cdcfQq11sM&#10;Ufa11D3eIty2Mk2SF2mx4bhgsKO9ofJyuloFVapp8Xj5Nu+rZ6z2x2U6DO2bUrPpuNuACDSG//Bf&#10;+0MrWMPvlXgDZH4HAAD//wMAUEsBAi0AFAAGAAgAAAAhANvh9svuAAAAhQEAABMAAAAAAAAAAAAA&#10;AAAAAAAAAFtDb250ZW50X1R5cGVzXS54bWxQSwECLQAUAAYACAAAACEAWvQsW78AAAAVAQAACwAA&#10;AAAAAAAAAAAAAAAfAQAAX3JlbHMvLnJlbHNQSwECLQAUAAYACAAAACEApBFDbsMAAADaAAAADwAA&#10;AAAAAAAAAAAAAAAHAgAAZHJzL2Rvd25yZXYueG1sUEsFBgAAAAADAAMAtwAAAPcCAAAAAA==&#10;">
                  <v:stroke endarrow="open"/>
                </v:shape>
                <v:shape id="Straight Arrow Connector 9" o:spid="_x0000_s1200" type="#_x0000_t32" style="position:absolute;left:33064;top:5925;width:10168;height:32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rZuxgAAANsAAAAPAAAAZHJzL2Rvd25yZXYueG1sRI9Pa8JA&#10;EMXvBb/DMoVeim5UKJK6SikURArin4u3ITvJhmZnY3aNsZ++cxB6m+G9ee83y/XgG9VTF+vABqaT&#10;DBRxEWzNlYHT8Wu8ABUTssUmMBm4U4T1avS0xNyGG++pP6RKSQjHHA24lNpc61g48hgnoSUWrQyd&#10;xyRrV2nb4U3CfaNnWfamPdYsDQ5b+nRU/Byu3sDr/lxXZXn9vsf5726RbXcXV/TGvDwPH++gEg3p&#10;3/y43ljBF3r5RQbQqz8AAAD//wMAUEsBAi0AFAAGAAgAAAAhANvh9svuAAAAhQEAABMAAAAAAAAA&#10;AAAAAAAAAAAAAFtDb250ZW50X1R5cGVzXS54bWxQSwECLQAUAAYACAAAACEAWvQsW78AAAAVAQAA&#10;CwAAAAAAAAAAAAAAAAAfAQAAX3JlbHMvLnJlbHNQSwECLQAUAAYACAAAACEAKMa2bsYAAADbAAAA&#10;DwAAAAAAAAAAAAAAAAAHAgAAZHJzL2Rvd25yZXYueG1sUEsFBgAAAAADAAMAtwAAAPoCAAAAAA==&#10;">
                  <v:stroke endarrow="open"/>
                </v:shape>
                <v:shape id="Straight Arrow Connector 10" o:spid="_x0000_s1201" type="#_x0000_t32" style="position:absolute;left:43232;top:5925;width:10170;height:32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0iSwQAAANsAAAAPAAAAZHJzL2Rvd25yZXYueG1sRE9Na8JA&#10;EL0X/A/LFLyUuklEW1JXEaEqeNIWeh2yk2wwOxuy2xj/vSsI3ubxPmexGmwjeup87VhBOklAEBdO&#10;11wp+P35fv8E4QOyxsYxKbiSh9Vy9LLAXLsLH6k/hUrEEPY5KjAhtLmUvjBk0U9cSxy50nUWQ4Rd&#10;JXWHlxhuG5klyVxarDk2GGxpY6g4n/6tgjLTlL6d/8zuY4bl5jDN+r7ZKjV+HdZfIAIN4Sl+uPc6&#10;zk/h/ks8QC5vAAAA//8DAFBLAQItABQABgAIAAAAIQDb4fbL7gAAAIUBAAATAAAAAAAAAAAAAAAA&#10;AAAAAABbQ29udGVudF9UeXBlc10ueG1sUEsBAi0AFAAGAAgAAAAhAFr0LFu/AAAAFQEAAAsAAAAA&#10;AAAAAAAAAAAAHwEAAF9yZWxzLy5yZWxzUEsBAi0AFAAGAAgAAAAhAFEjSJLBAAAA2wAAAA8AAAAA&#10;AAAAAAAAAAAABwIAAGRycy9kb3ducmV2LnhtbFBLBQYAAAAAAwADALcAAAD1AgAAAAA=&#10;">
                  <v:stroke endarrow="open"/>
                </v:shape>
                <v:shape id="Text Box 12" o:spid="_x0000_s1202" type="#_x0000_t202" style="position:absolute;left:28382;top:219;width:5100;height:2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cJVvQAAANsAAAAPAAAAZHJzL2Rvd25yZXYueG1sRE/LqsIw&#10;EN0L/kMYwZ2milykGkUE4a4u+Op6aMam2ExKErX69UYQ7m4O5znLdWcbcScfascKJuMMBHHpdM2V&#10;gtNxN5qDCBFZY+OYFDwpwHrV7y0x1+7Be7ofYiVSCIccFZgY21zKUBqyGMauJU7cxXmLMUFfSe3x&#10;kcJtI6dZ9iMt1pwaDLa0NVReDzeroKjsqzhPWm+0bWb893oeT65WajjoNgsQkbr4L/66f3WaP4XP&#10;L+kAuXoDAAD//wMAUEsBAi0AFAAGAAgAAAAhANvh9svuAAAAhQEAABMAAAAAAAAAAAAAAAAAAAAA&#10;AFtDb250ZW50X1R5cGVzXS54bWxQSwECLQAUAAYACAAAACEAWvQsW78AAAAVAQAACwAAAAAAAAAA&#10;AAAAAAAfAQAAX3JlbHMvLnJlbHNQSwECLQAUAAYACAAAACEA+x3CVb0AAADbAAAADwAAAAAAAAAA&#10;AAAAAAAHAgAAZHJzL2Rvd25yZXYueG1sUEsFBgAAAAADAAMAtwAAAPECAAAAAA==&#10;" stroked="f" strokeweight=".5pt">
                  <v:textbox>
                    <w:txbxContent>
                      <w:p w14:paraId="7B78FAC0" w14:textId="77777777" w:rsidR="003A587C" w:rsidRPr="00186FA4" w:rsidRDefault="003A587C" w:rsidP="001D42BD">
                        <w:pPr>
                          <w:spacing w:after="0" w:line="240" w:lineRule="auto"/>
                          <w:ind w:left="0"/>
                          <w:jc w:val="center"/>
                          <w:rPr>
                            <w:rFonts w:ascii="Times New Roman" w:hAnsi="Times New Roman"/>
                            <w:b/>
                            <w:sz w:val="18"/>
                            <w:szCs w:val="18"/>
                          </w:rPr>
                        </w:pPr>
                        <w:r>
                          <w:rPr>
                            <w:rFonts w:ascii="Times New Roman" w:hAnsi="Times New Roman"/>
                            <w:b/>
                            <w:sz w:val="18"/>
                            <w:szCs w:val="18"/>
                          </w:rPr>
                          <w:t>NO.</w:t>
                        </w:r>
                      </w:p>
                    </w:txbxContent>
                  </v:textbox>
                </v:shape>
                <v:shape id="Text Box 13" o:spid="_x0000_s1203" type="#_x0000_t202" style="position:absolute;left:30870;top:5925;width:4154;height:2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WfOwAAAANsAAAAPAAAAZHJzL2Rvd25yZXYueG1sRE/JasMw&#10;EL0X8g9iCr3VspMSihvFlEAhp0Cz+DxYU8vUGhlJTWx/fVUo5DaPt86mGm0vruRD51hBkeUgiBun&#10;O24VnE8fz68gQkTW2DsmBRMFqLaLhw2W2t34k67H2IoUwqFEBSbGoZQyNIYshswNxIn7ct5iTNC3&#10;Unu8pXDby2Wer6XFjlODwYF2hprv449VULd2ri/F4I22/Qsf5ul0dp1ST4/j+xuISGO8i//de53m&#10;r+Dvl3SA3P4CAAD//wMAUEsBAi0AFAAGAAgAAAAhANvh9svuAAAAhQEAABMAAAAAAAAAAAAAAAAA&#10;AAAAAFtDb250ZW50X1R5cGVzXS54bWxQSwECLQAUAAYACAAAACEAWvQsW78AAAAVAQAACwAAAAAA&#10;AAAAAAAAAAAfAQAAX3JlbHMvLnJlbHNQSwECLQAUAAYACAAAACEAlFFnzsAAAADbAAAADwAAAAAA&#10;AAAAAAAAAAAHAgAAZHJzL2Rvd25yZXYueG1sUEsFBgAAAAADAAMAtwAAAPQCAAAAAA==&#10;" stroked="f" strokeweight=".5pt">
                  <v:textbox>
                    <w:txbxContent>
                      <w:p w14:paraId="747245A9" w14:textId="77777777" w:rsidR="003A587C" w:rsidRPr="009F2626" w:rsidRDefault="003A587C" w:rsidP="009F2626">
                        <w:pPr>
                          <w:spacing w:after="0" w:line="240" w:lineRule="auto"/>
                          <w:ind w:left="0"/>
                          <w:jc w:val="center"/>
                          <w:rPr>
                            <w:rFonts w:ascii="Times New Roman" w:hAnsi="Times New Roman"/>
                            <w:b/>
                            <w:sz w:val="18"/>
                            <w:szCs w:val="18"/>
                          </w:rPr>
                        </w:pPr>
                        <w:r>
                          <w:rPr>
                            <w:rFonts w:ascii="Times New Roman" w:hAnsi="Times New Roman"/>
                            <w:b/>
                            <w:sz w:val="18"/>
                            <w:szCs w:val="18"/>
                          </w:rPr>
                          <w:t>YEP.</w:t>
                        </w:r>
                      </w:p>
                    </w:txbxContent>
                  </v:textbox>
                </v:shape>
                <v:shape id="Text Box 14" o:spid="_x0000_s1204" type="#_x0000_t202" style="position:absolute;left:7607;top:6364;width:4153;height: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P+6vQAAANsAAAAPAAAAZHJzL2Rvd25yZXYueG1sRE/LqsIw&#10;EN0L/kMYwZ2mXuQi1SgiCHcl+Op6aMam2ExKErX69UYQ7m4O5zmLVWcbcScfascKJuMMBHHpdM2V&#10;gtNxO5qBCBFZY+OYFDwpwGrZ7y0w1+7Be7ofYiVSCIccFZgY21zKUBqyGMauJU7cxXmLMUFfSe3x&#10;kcJtI3+y7FdarDk1GGxpY6i8Hm5WQVHZV3GetN5o20x593oeT65Wajjo1nMQkbr4L/66/3SaP4XP&#10;L+kAuXwDAAD//wMAUEsBAi0AFAAGAAgAAAAhANvh9svuAAAAhQEAABMAAAAAAAAAAAAAAAAAAAAA&#10;AFtDb250ZW50X1R5cGVzXS54bWxQSwECLQAUAAYACAAAACEAWvQsW78AAAAVAQAACwAAAAAAAAAA&#10;AAAAAAAfAQAAX3JlbHMvLnJlbHNQSwECLQAUAAYACAAAACEAG7j/ur0AAADbAAAADwAAAAAAAAAA&#10;AAAAAAAHAgAAZHJzL2Rvd25yZXYueG1sUEsFBgAAAAADAAMAtwAAAPECAAAAAA==&#10;" stroked="f" strokeweight=".5pt">
                  <v:textbox>
                    <w:txbxContent>
                      <w:p w14:paraId="6E501039" w14:textId="77777777" w:rsidR="003A587C" w:rsidRPr="00186FA4" w:rsidRDefault="003A587C" w:rsidP="009F2626">
                        <w:pPr>
                          <w:spacing w:after="0" w:line="240" w:lineRule="auto"/>
                          <w:ind w:left="0"/>
                          <w:rPr>
                            <w:rFonts w:ascii="Times New Roman" w:hAnsi="Times New Roman"/>
                            <w:b/>
                            <w:sz w:val="18"/>
                            <w:szCs w:val="18"/>
                          </w:rPr>
                        </w:pPr>
                        <w:r>
                          <w:rPr>
                            <w:rFonts w:ascii="Times New Roman" w:hAnsi="Times New Roman"/>
                            <w:b/>
                            <w:sz w:val="18"/>
                            <w:szCs w:val="18"/>
                          </w:rPr>
                          <w:t>YEP.</w:t>
                        </w:r>
                      </w:p>
                    </w:txbxContent>
                  </v:textbox>
                </v:shape>
                <v:shape id="Text Box 15" o:spid="_x0000_s1205" type="#_x0000_t202" style="position:absolute;left:51937;top:5925;width:5099;height:2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AaVxAAAANwAAAAPAAAAZHJzL2Rvd25yZXYueG1sRI/BasMw&#10;EETvgf6D2EJuiewQWteNEkqh0FOgiePzYm0tU2tlJMVx8vVRodDjMDNvmM1usr0YyYfOsYJ8mYEg&#10;bpzuuFVQHT8WBYgQkTX2jknBlQLstg+zDZbaXfiLxkNsRYJwKFGBiXEopQyNIYth6Qbi5H07bzEm&#10;6VupPV4S3PZylWVP0mLHacHgQO+Gmp/D2SqoW3urT/ngjbb9mve367FynVLzx+ntFUSkKf6H/9qf&#10;WkHx8gy/Z9IRkNs7AAAA//8DAFBLAQItABQABgAIAAAAIQDb4fbL7gAAAIUBAAATAAAAAAAAAAAA&#10;AAAAAAAAAABbQ29udGVudF9UeXBlc10ueG1sUEsBAi0AFAAGAAgAAAAhAFr0LFu/AAAAFQEAAAsA&#10;AAAAAAAAAAAAAAAAHwEAAF9yZWxzLy5yZWxzUEsBAi0AFAAGAAgAAAAhAFbYBpXEAAAA3AAAAA8A&#10;AAAAAAAAAAAAAAAABwIAAGRycy9kb3ducmV2LnhtbFBLBQYAAAAAAwADALcAAAD4AgAAAAA=&#10;" stroked="f" strokeweight=".5pt">
                  <v:textbox>
                    <w:txbxContent>
                      <w:p w14:paraId="4AD2A97F" w14:textId="77777777" w:rsidR="003A587C" w:rsidRPr="00186FA4" w:rsidRDefault="003A587C" w:rsidP="001D42BD">
                        <w:pPr>
                          <w:spacing w:after="0" w:line="240" w:lineRule="auto"/>
                          <w:ind w:left="0"/>
                          <w:jc w:val="center"/>
                          <w:rPr>
                            <w:rFonts w:ascii="Times New Roman" w:hAnsi="Times New Roman"/>
                            <w:b/>
                            <w:sz w:val="18"/>
                            <w:szCs w:val="18"/>
                          </w:rPr>
                        </w:pPr>
                        <w:r>
                          <w:rPr>
                            <w:rFonts w:ascii="Times New Roman" w:hAnsi="Times New Roman"/>
                            <w:b/>
                            <w:sz w:val="18"/>
                            <w:szCs w:val="18"/>
                          </w:rPr>
                          <w:t>NO.</w:t>
                        </w:r>
                      </w:p>
                    </w:txbxContent>
                  </v:textbox>
                </v:shape>
                <w10:anchorlock/>
              </v:group>
            </w:pict>
          </mc:Fallback>
        </mc:AlternateContent>
      </w:r>
    </w:p>
    <w:p w14:paraId="01A4DE14" w14:textId="77777777" w:rsidR="00EB24FC" w:rsidRDefault="00EB24FC" w:rsidP="00EF16E6">
      <w:pPr>
        <w:autoSpaceDE w:val="0"/>
        <w:autoSpaceDN w:val="0"/>
        <w:adjustRightInd w:val="0"/>
        <w:spacing w:before="240" w:line="240" w:lineRule="auto"/>
        <w:ind w:left="0"/>
        <w:rPr>
          <w:rFonts w:ascii="Times New Roman" w:hAnsi="Times New Roman"/>
        </w:rPr>
      </w:pPr>
    </w:p>
    <w:p w14:paraId="2CE847CF" w14:textId="77777777" w:rsidR="00EB24FC" w:rsidRDefault="00EB24FC" w:rsidP="00EF16E6">
      <w:pPr>
        <w:autoSpaceDE w:val="0"/>
        <w:autoSpaceDN w:val="0"/>
        <w:adjustRightInd w:val="0"/>
        <w:spacing w:before="240" w:line="240" w:lineRule="auto"/>
        <w:ind w:left="0"/>
        <w:rPr>
          <w:rFonts w:ascii="Times New Roman" w:hAnsi="Times New Roman"/>
        </w:rPr>
      </w:pPr>
    </w:p>
    <w:p w14:paraId="66179FEC" w14:textId="77777777" w:rsidR="00EB24FC" w:rsidRDefault="00EB24FC" w:rsidP="00EF16E6">
      <w:pPr>
        <w:autoSpaceDE w:val="0"/>
        <w:autoSpaceDN w:val="0"/>
        <w:adjustRightInd w:val="0"/>
        <w:spacing w:before="240" w:line="240" w:lineRule="auto"/>
        <w:ind w:left="0"/>
        <w:rPr>
          <w:rFonts w:ascii="Times New Roman" w:hAnsi="Times New Roman"/>
        </w:rPr>
      </w:pPr>
    </w:p>
    <w:p w14:paraId="335F1044" w14:textId="5D50B0B0" w:rsidR="00EF16E6" w:rsidRPr="007D770B" w:rsidRDefault="00EF16E6" w:rsidP="00EF16E6">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 xml:space="preserve">Risk assumptions include the risk inherent in the particular valuation technique used to measure fair value (such as a pricing model) and the risk inherent in the inputs to the valuation technique. A valuation that does not include a risk-adjustment would not represent a fair value measurement if market participants would include such an adjustment when pricing the asset or liability. For example, it may be necessary to include a risk adjustment if there is significant measurement uncertainty (e.g., if there has been a significant decline in the volume or level of activity relative to normal market activity for the asset or liability, or similar assets </w:t>
      </w:r>
      <w:r w:rsidR="007F57C5" w:rsidRPr="007D770B">
        <w:rPr>
          <w:rFonts w:ascii="Times New Roman" w:hAnsi="Times New Roman"/>
          <w:lang w:val="en-US"/>
        </w:rPr>
        <w:t xml:space="preserve">or liabilities, and the </w:t>
      </w:r>
      <w:r w:rsidR="00F9744B" w:rsidRPr="007D770B">
        <w:rPr>
          <w:rFonts w:ascii="Times New Roman" w:hAnsi="Times New Roman"/>
          <w:lang w:val="en-US"/>
        </w:rPr>
        <w:t xml:space="preserve">Bank </w:t>
      </w:r>
      <w:r w:rsidR="007F57C5" w:rsidRPr="007D770B">
        <w:rPr>
          <w:rFonts w:ascii="Times New Roman" w:hAnsi="Times New Roman"/>
          <w:lang w:val="en-US"/>
        </w:rPr>
        <w:t xml:space="preserve">has determined </w:t>
      </w:r>
      <w:r w:rsidRPr="007D770B">
        <w:rPr>
          <w:rFonts w:ascii="Times New Roman" w:hAnsi="Times New Roman"/>
          <w:lang w:val="en-US"/>
        </w:rPr>
        <w:t xml:space="preserve">that the transaction price or quoted price does not </w:t>
      </w:r>
      <w:r w:rsidR="00F34077" w:rsidRPr="007D770B">
        <w:rPr>
          <w:rFonts w:ascii="Times New Roman" w:hAnsi="Times New Roman"/>
          <w:lang w:val="en-US"/>
        </w:rPr>
        <w:t xml:space="preserve">represent </w:t>
      </w:r>
      <w:r w:rsidRPr="007D770B">
        <w:rPr>
          <w:rFonts w:ascii="Times New Roman" w:hAnsi="Times New Roman"/>
          <w:lang w:val="en-US"/>
        </w:rPr>
        <w:t>fair value).</w:t>
      </w:r>
    </w:p>
    <w:p w14:paraId="60FFD5AC" w14:textId="77777777" w:rsidR="009E2B77" w:rsidRPr="007D770B" w:rsidRDefault="00567E20" w:rsidP="00F96B17">
      <w:pPr>
        <w:autoSpaceDE w:val="0"/>
        <w:autoSpaceDN w:val="0"/>
        <w:adjustRightInd w:val="0"/>
        <w:spacing w:before="240" w:line="240" w:lineRule="auto"/>
        <w:ind w:left="0"/>
        <w:rPr>
          <w:rFonts w:ascii="Times New Roman" w:hAnsi="Times New Roman"/>
          <w:b/>
          <w:bCs/>
          <w:i/>
          <w:lang w:val="en-US"/>
        </w:rPr>
      </w:pPr>
      <w:r w:rsidRPr="007D770B">
        <w:rPr>
          <w:rFonts w:ascii="Times New Roman" w:hAnsi="Times New Roman"/>
          <w:b/>
          <w:bCs/>
          <w:i/>
          <w:lang w:val="en-US"/>
        </w:rPr>
        <w:t xml:space="preserve">Adjustments </w:t>
      </w:r>
      <w:r w:rsidR="00110943" w:rsidRPr="007D770B">
        <w:rPr>
          <w:rFonts w:ascii="Times New Roman" w:hAnsi="Times New Roman"/>
          <w:b/>
          <w:bCs/>
          <w:i/>
          <w:lang w:val="en-US"/>
        </w:rPr>
        <w:t>to the original data</w:t>
      </w:r>
    </w:p>
    <w:p w14:paraId="51B50093" w14:textId="77777777" w:rsidR="009E2B77" w:rsidRPr="007D770B" w:rsidRDefault="00567E20"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b/>
          <w:bCs/>
          <w:lang w:val="en-US"/>
        </w:rPr>
        <w:t xml:space="preserve">Level 1 source data. </w:t>
      </w:r>
      <w:r w:rsidR="00572DED" w:rsidRPr="007D770B">
        <w:rPr>
          <w:rFonts w:ascii="Times New Roman" w:hAnsi="Times New Roman"/>
          <w:lang w:val="en-US"/>
        </w:rPr>
        <w:t xml:space="preserve">The </w:t>
      </w:r>
      <w:r w:rsidR="00F9744B" w:rsidRPr="007D770B">
        <w:rPr>
          <w:rFonts w:ascii="Times New Roman" w:hAnsi="Times New Roman"/>
          <w:lang w:val="en-US"/>
        </w:rPr>
        <w:t xml:space="preserve">Bank </w:t>
      </w:r>
      <w:r w:rsidR="00572DED" w:rsidRPr="007D770B">
        <w:rPr>
          <w:rFonts w:ascii="Times New Roman" w:hAnsi="Times New Roman"/>
          <w:lang w:val="en-US"/>
        </w:rPr>
        <w:t xml:space="preserve">should </w:t>
      </w:r>
      <w:r w:rsidR="009E2B77" w:rsidRPr="007D770B">
        <w:rPr>
          <w:rFonts w:ascii="Times New Roman" w:hAnsi="Times New Roman"/>
          <w:lang w:val="en-US"/>
        </w:rPr>
        <w:t>adjust Level 1 inputs only in the following cases:</w:t>
      </w:r>
    </w:p>
    <w:p w14:paraId="27E3E01F" w14:textId="77777777" w:rsidR="00A85CE2" w:rsidRPr="007D770B" w:rsidRDefault="009E2B77" w:rsidP="00AE698A">
      <w:pPr>
        <w:pStyle w:val="aa"/>
        <w:numPr>
          <w:ilvl w:val="0"/>
          <w:numId w:val="246"/>
        </w:numPr>
        <w:tabs>
          <w:tab w:val="clear" w:pos="360"/>
          <w:tab w:val="num" w:pos="720"/>
        </w:tabs>
        <w:autoSpaceDE w:val="0"/>
        <w:autoSpaceDN w:val="0"/>
        <w:adjustRightInd w:val="0"/>
        <w:spacing w:before="240" w:line="240" w:lineRule="auto"/>
        <w:contextualSpacing w:val="0"/>
        <w:rPr>
          <w:rFonts w:ascii="Times New Roman" w:hAnsi="Times New Roman"/>
          <w:lang w:val="en-US"/>
        </w:rPr>
      </w:pPr>
      <w:r w:rsidRPr="007D770B">
        <w:rPr>
          <w:rFonts w:ascii="Times New Roman" w:hAnsi="Times New Roman"/>
          <w:lang w:val="en-US"/>
        </w:rPr>
        <w:t xml:space="preserve">where the </w:t>
      </w:r>
      <w:r w:rsidR="00F9744B" w:rsidRPr="007D770B">
        <w:rPr>
          <w:rFonts w:ascii="Times New Roman" w:hAnsi="Times New Roman"/>
          <w:lang w:val="en-US"/>
        </w:rPr>
        <w:t xml:space="preserve">Bank </w:t>
      </w:r>
      <w:r w:rsidRPr="007D770B">
        <w:rPr>
          <w:rFonts w:ascii="Times New Roman" w:hAnsi="Times New Roman"/>
          <w:lang w:val="en-US"/>
        </w:rPr>
        <w:t xml:space="preserve">holds a large number of similar (but dissimilar) assets or liabilities (e.g. debt securities) that are measured at fair value and a quoted price in an active market exists for each of those assets or liabilities but is not </w:t>
      </w:r>
      <w:r w:rsidR="00A85CE2" w:rsidRPr="007D770B">
        <w:rPr>
          <w:rFonts w:ascii="Times New Roman" w:hAnsi="Times New Roman"/>
          <w:lang w:val="en-US"/>
        </w:rPr>
        <w:t>readily</w:t>
      </w:r>
      <w:r w:rsidRPr="007D770B">
        <w:rPr>
          <w:rFonts w:ascii="Times New Roman" w:hAnsi="Times New Roman"/>
          <w:lang w:val="en-US"/>
        </w:rPr>
        <w:t xml:space="preserve"> available at any time</w:t>
      </w:r>
    </w:p>
    <w:p w14:paraId="6C19BB22" w14:textId="1EA786D4" w:rsidR="009E2B77" w:rsidRPr="007D770B" w:rsidRDefault="009E2B77" w:rsidP="00AE698A">
      <w:pPr>
        <w:pStyle w:val="aa"/>
        <w:numPr>
          <w:ilvl w:val="0"/>
          <w:numId w:val="246"/>
        </w:numPr>
        <w:tabs>
          <w:tab w:val="clear" w:pos="360"/>
          <w:tab w:val="num" w:pos="720"/>
        </w:tabs>
        <w:autoSpaceDE w:val="0"/>
        <w:autoSpaceDN w:val="0"/>
        <w:adjustRightInd w:val="0"/>
        <w:spacing w:before="240" w:line="240" w:lineRule="auto"/>
        <w:contextualSpacing w:val="0"/>
        <w:rPr>
          <w:rFonts w:ascii="Times New Roman" w:hAnsi="Times New Roman"/>
          <w:lang w:val="en-US"/>
        </w:rPr>
      </w:pPr>
      <w:r w:rsidRPr="007D770B">
        <w:rPr>
          <w:rFonts w:ascii="Times New Roman" w:hAnsi="Times New Roman"/>
          <w:lang w:val="en-US"/>
        </w:rPr>
        <w:t xml:space="preserve">when the quoted price in an active market does not represent fair value at the measurement date. This may be the case when, for example, significant events (such as </w:t>
      </w:r>
      <w:r w:rsidR="00802136" w:rsidRPr="007D770B">
        <w:rPr>
          <w:rFonts w:ascii="Times New Roman" w:hAnsi="Times New Roman"/>
          <w:lang w:val="en-US"/>
        </w:rPr>
        <w:t xml:space="preserve">principal-to-principal </w:t>
      </w:r>
      <w:r w:rsidRPr="007D770B">
        <w:rPr>
          <w:rFonts w:ascii="Times New Roman" w:hAnsi="Times New Roman"/>
          <w:lang w:val="en-US"/>
        </w:rPr>
        <w:t xml:space="preserve">market transactions, trading in an intermediary market, or announcements) occur after market close but before the measurement date. </w:t>
      </w:r>
      <w:r w:rsidR="00572DED" w:rsidRPr="007D770B">
        <w:rPr>
          <w:rFonts w:ascii="Times New Roman" w:hAnsi="Times New Roman"/>
          <w:lang w:val="en-US"/>
        </w:rPr>
        <w:t xml:space="preserve">The </w:t>
      </w:r>
      <w:r w:rsidR="00F9744B" w:rsidRPr="007D770B">
        <w:rPr>
          <w:rFonts w:ascii="Times New Roman" w:hAnsi="Times New Roman"/>
          <w:lang w:val="en-US"/>
        </w:rPr>
        <w:t xml:space="preserve">Bank </w:t>
      </w:r>
      <w:r w:rsidR="00572DED" w:rsidRPr="007D770B">
        <w:rPr>
          <w:rFonts w:ascii="Times New Roman" w:hAnsi="Times New Roman"/>
          <w:lang w:val="en-US"/>
        </w:rPr>
        <w:t xml:space="preserve">should </w:t>
      </w:r>
      <w:r w:rsidRPr="007D770B">
        <w:rPr>
          <w:rFonts w:ascii="Times New Roman" w:hAnsi="Times New Roman"/>
          <w:lang w:val="en-US"/>
        </w:rPr>
        <w:t>establish and consistently apply a policy to identify such events that could affect fair value measurements. However, if a quoted price is adjusted to reflect new information, the adjustment results in a fair value measurement that is categorized as a lower level in the fair value hierarchy.</w:t>
      </w:r>
    </w:p>
    <w:p w14:paraId="322CF832" w14:textId="77777777" w:rsidR="009E2B77" w:rsidRPr="007D770B" w:rsidRDefault="009E2B77" w:rsidP="00AE698A">
      <w:pPr>
        <w:pStyle w:val="aa"/>
        <w:numPr>
          <w:ilvl w:val="0"/>
          <w:numId w:val="246"/>
        </w:numPr>
        <w:tabs>
          <w:tab w:val="clear" w:pos="360"/>
          <w:tab w:val="num" w:pos="720"/>
        </w:tabs>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 xml:space="preserve">when the fair value of a liability or the </w:t>
      </w:r>
      <w:r w:rsidR="00F9744B" w:rsidRPr="007D770B">
        <w:rPr>
          <w:rFonts w:ascii="Times New Roman" w:hAnsi="Times New Roman"/>
          <w:lang w:val="en-US"/>
        </w:rPr>
        <w:t xml:space="preserve">Bank's </w:t>
      </w:r>
      <w:r w:rsidRPr="007D770B">
        <w:rPr>
          <w:rFonts w:ascii="Times New Roman" w:hAnsi="Times New Roman"/>
          <w:lang w:val="en-US"/>
        </w:rPr>
        <w:t xml:space="preserve">own equity instrument is measured using a quoted price for an identical item that is traded as an asset in an active market, and that price must be adjusted for factors specific to the item or asset. If no adjustment to the quoted price of the asset is required, the result would be a fair value measurement categorized as Level </w:t>
      </w:r>
      <w:r w:rsidRPr="007D770B">
        <w:rPr>
          <w:rFonts w:ascii="Times New Roman" w:hAnsi="Times New Roman"/>
          <w:lang w:val="en-US"/>
        </w:rPr>
        <w:lastRenderedPageBreak/>
        <w:t>1 in the fair value hierarchy. However, any adjustment to the quoted price of the asset would result in a fair value measurement categorized as Level 1 in the fair value hierarchy.</w:t>
      </w:r>
    </w:p>
    <w:p w14:paraId="023A5EEC"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 xml:space="preserve">If the </w:t>
      </w:r>
      <w:r w:rsidR="00F9744B" w:rsidRPr="007D770B">
        <w:rPr>
          <w:rFonts w:ascii="Times New Roman" w:hAnsi="Times New Roman"/>
          <w:lang w:val="en-US"/>
        </w:rPr>
        <w:t xml:space="preserve">Bank </w:t>
      </w:r>
      <w:r w:rsidRPr="007D770B">
        <w:rPr>
          <w:rFonts w:ascii="Times New Roman" w:hAnsi="Times New Roman"/>
          <w:lang w:val="en-US"/>
        </w:rPr>
        <w:t xml:space="preserve">holds a position in a single asset or liability (including a position consisting of a large number of identical assets or liabilities, such as a bundle of financial instruments) and the asset or liability is sold in an active market, the fair value of that asset or liability shall be measured within Level 1 at the amount obtained by multiplying the quoted price for the single asset or liability by the number held by the </w:t>
      </w:r>
      <w:r w:rsidR="00F9744B" w:rsidRPr="007D770B">
        <w:rPr>
          <w:rFonts w:ascii="Times New Roman" w:hAnsi="Times New Roman"/>
          <w:lang w:val="en-US"/>
        </w:rPr>
        <w:t>Bank</w:t>
      </w:r>
      <w:r w:rsidRPr="007D770B">
        <w:rPr>
          <w:rFonts w:ascii="Times New Roman" w:hAnsi="Times New Roman"/>
          <w:lang w:val="en-US"/>
        </w:rPr>
        <w:t xml:space="preserve">. This is the case even if the normal daily trading volume of the market is not sufficient to absorb the quantity of assets and liabilities held by the </w:t>
      </w:r>
      <w:r w:rsidR="00F9744B" w:rsidRPr="007D770B">
        <w:rPr>
          <w:rFonts w:ascii="Times New Roman" w:hAnsi="Times New Roman"/>
          <w:lang w:val="en-US"/>
        </w:rPr>
        <w:t xml:space="preserve">Bank </w:t>
      </w:r>
      <w:r w:rsidRPr="007D770B">
        <w:rPr>
          <w:rFonts w:ascii="Times New Roman" w:hAnsi="Times New Roman"/>
          <w:lang w:val="en-US"/>
        </w:rPr>
        <w:t>and placing orders to sell positions in an individual transaction could affect the quoted price.</w:t>
      </w:r>
    </w:p>
    <w:p w14:paraId="14584586" w14:textId="77777777" w:rsidR="009E2B77" w:rsidRPr="002D4EA3" w:rsidRDefault="00567E20" w:rsidP="00F96B17">
      <w:pPr>
        <w:autoSpaceDE w:val="0"/>
        <w:autoSpaceDN w:val="0"/>
        <w:adjustRightInd w:val="0"/>
        <w:spacing w:before="240" w:line="240" w:lineRule="auto"/>
        <w:ind w:left="0"/>
        <w:rPr>
          <w:rFonts w:ascii="Times New Roman" w:hAnsi="Times New Roman"/>
        </w:rPr>
      </w:pPr>
      <w:r w:rsidRPr="007D770B">
        <w:rPr>
          <w:rFonts w:ascii="Times New Roman" w:hAnsi="Times New Roman"/>
          <w:b/>
          <w:bCs/>
          <w:lang w:val="en-US"/>
        </w:rPr>
        <w:t xml:space="preserve">Level 2 inputs. </w:t>
      </w:r>
      <w:r w:rsidR="009E2B77" w:rsidRPr="007D770B">
        <w:rPr>
          <w:rFonts w:ascii="Times New Roman" w:hAnsi="Times New Roman"/>
          <w:lang w:val="en-US"/>
        </w:rPr>
        <w:t xml:space="preserve">Level 2 input adjustments vary depending on factors specific to the asset or liability. </w:t>
      </w:r>
      <w:r w:rsidR="009E2B77" w:rsidRPr="002D4EA3">
        <w:rPr>
          <w:rFonts w:ascii="Times New Roman" w:hAnsi="Times New Roman"/>
        </w:rPr>
        <w:t>Such factors include the following:</w:t>
      </w:r>
    </w:p>
    <w:p w14:paraId="196FEB98" w14:textId="77777777" w:rsidR="009E2B77" w:rsidRPr="007D770B" w:rsidRDefault="009E2B77" w:rsidP="00AE698A">
      <w:pPr>
        <w:pStyle w:val="aa"/>
        <w:numPr>
          <w:ilvl w:val="0"/>
          <w:numId w:val="137"/>
        </w:numPr>
        <w:autoSpaceDE w:val="0"/>
        <w:autoSpaceDN w:val="0"/>
        <w:adjustRightInd w:val="0"/>
        <w:spacing w:before="240" w:line="240" w:lineRule="auto"/>
        <w:contextualSpacing w:val="0"/>
        <w:rPr>
          <w:rFonts w:ascii="Times New Roman" w:hAnsi="Times New Roman"/>
          <w:lang w:val="en-US"/>
        </w:rPr>
      </w:pPr>
      <w:r w:rsidRPr="007D770B">
        <w:rPr>
          <w:rFonts w:ascii="Times New Roman" w:hAnsi="Times New Roman"/>
          <w:lang w:val="en-US"/>
        </w:rPr>
        <w:t>the condition or location of the asset;</w:t>
      </w:r>
    </w:p>
    <w:p w14:paraId="75ADDC64" w14:textId="4E42994C" w:rsidR="009E2B77" w:rsidRPr="007D770B" w:rsidRDefault="009E2B77" w:rsidP="00AE698A">
      <w:pPr>
        <w:pStyle w:val="aa"/>
        <w:numPr>
          <w:ilvl w:val="0"/>
          <w:numId w:val="137"/>
        </w:numPr>
        <w:autoSpaceDE w:val="0"/>
        <w:autoSpaceDN w:val="0"/>
        <w:adjustRightInd w:val="0"/>
        <w:spacing w:before="240" w:line="240" w:lineRule="auto"/>
        <w:contextualSpacing w:val="0"/>
        <w:rPr>
          <w:rFonts w:ascii="Times New Roman" w:hAnsi="Times New Roman"/>
          <w:lang w:val="en-US"/>
        </w:rPr>
      </w:pPr>
      <w:r w:rsidRPr="007D770B">
        <w:rPr>
          <w:rFonts w:ascii="Times New Roman" w:hAnsi="Times New Roman"/>
          <w:lang w:val="en-US"/>
        </w:rPr>
        <w:t xml:space="preserve">the extent to which the inputs relate to units that are comparable to the asset or liability (including those factors described in </w:t>
      </w:r>
      <w:r w:rsidR="00802136" w:rsidRPr="007D770B">
        <w:rPr>
          <w:rFonts w:ascii="Times New Roman" w:hAnsi="Times New Roman"/>
          <w:lang w:val="en-US"/>
        </w:rPr>
        <w:t>'</w:t>
      </w:r>
      <w:r w:rsidR="00CC7F72" w:rsidRPr="007D770B">
        <w:rPr>
          <w:rFonts w:ascii="Times New Roman" w:hAnsi="Times New Roman"/>
          <w:lang w:val="en-US"/>
        </w:rPr>
        <w:t>Liabilities and equity instruments held by other parties as assets</w:t>
      </w:r>
      <w:r w:rsidR="00802136" w:rsidRPr="007D770B">
        <w:rPr>
          <w:rFonts w:ascii="Times New Roman" w:hAnsi="Times New Roman"/>
          <w:lang w:val="en-US"/>
        </w:rPr>
        <w:t>'</w:t>
      </w:r>
      <w:r w:rsidRPr="007D770B">
        <w:rPr>
          <w:rFonts w:ascii="Times New Roman" w:hAnsi="Times New Roman"/>
          <w:lang w:val="en-US"/>
        </w:rPr>
        <w:t>); and</w:t>
      </w:r>
    </w:p>
    <w:p w14:paraId="29ECCEAF" w14:textId="77777777" w:rsidR="009E2B77" w:rsidRPr="007D770B" w:rsidRDefault="009E2B77" w:rsidP="00AE698A">
      <w:pPr>
        <w:pStyle w:val="aa"/>
        <w:numPr>
          <w:ilvl w:val="0"/>
          <w:numId w:val="137"/>
        </w:numPr>
        <w:autoSpaceDE w:val="0"/>
        <w:autoSpaceDN w:val="0"/>
        <w:adjustRightInd w:val="0"/>
        <w:spacing w:before="240" w:line="240" w:lineRule="auto"/>
        <w:contextualSpacing w:val="0"/>
        <w:rPr>
          <w:rFonts w:ascii="Times New Roman" w:hAnsi="Times New Roman"/>
          <w:lang w:val="en-US"/>
        </w:rPr>
      </w:pPr>
      <w:r w:rsidRPr="007D770B">
        <w:rPr>
          <w:rFonts w:ascii="Times New Roman" w:hAnsi="Times New Roman"/>
          <w:lang w:val="en-US"/>
        </w:rPr>
        <w:t>the volume or level of activity in the markets in which these inputs are observed.</w:t>
      </w:r>
    </w:p>
    <w:p w14:paraId="7CC1C7D8"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An adjustment to Level 2 inputs that are significant to the valuation as a whole could result in a fair value measurement that is categorized as Level 3 in the fair value hierarchy if significant unobservable inputs are used for the adjustment.</w:t>
      </w:r>
    </w:p>
    <w:p w14:paraId="311C931E" w14:textId="0D89F177" w:rsidR="009E2B77" w:rsidRPr="007D770B" w:rsidRDefault="00956CDB"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b/>
          <w:bCs/>
          <w:lang w:val="en-US"/>
        </w:rPr>
        <w:t>Level 3 inputs</w:t>
      </w:r>
      <w:r w:rsidRPr="007D770B">
        <w:rPr>
          <w:rFonts w:ascii="Times New Roman" w:hAnsi="Times New Roman"/>
          <w:b/>
          <w:bCs/>
          <w:i/>
          <w:lang w:val="en-US"/>
        </w:rPr>
        <w:t xml:space="preserve">. </w:t>
      </w:r>
      <w:r w:rsidR="00F9744B" w:rsidRPr="007D770B">
        <w:rPr>
          <w:rFonts w:ascii="Times New Roman" w:hAnsi="Times New Roman"/>
          <w:lang w:val="en-US"/>
        </w:rPr>
        <w:t xml:space="preserve">A Bank </w:t>
      </w:r>
      <w:r w:rsidR="00572DED" w:rsidRPr="007D770B">
        <w:rPr>
          <w:rFonts w:ascii="Times New Roman" w:hAnsi="Times New Roman"/>
          <w:lang w:val="en-US"/>
        </w:rPr>
        <w:t xml:space="preserve">should </w:t>
      </w:r>
      <w:r w:rsidR="009E2B77" w:rsidRPr="007D770B">
        <w:rPr>
          <w:rFonts w:ascii="Times New Roman" w:hAnsi="Times New Roman"/>
          <w:lang w:val="en-US"/>
        </w:rPr>
        <w:t xml:space="preserve">develop unobservable inputs using all information available in the circumstances, which may include the </w:t>
      </w:r>
      <w:r w:rsidR="00F9744B" w:rsidRPr="007D770B">
        <w:rPr>
          <w:rFonts w:ascii="Times New Roman" w:hAnsi="Times New Roman"/>
          <w:lang w:val="en-US"/>
        </w:rPr>
        <w:t xml:space="preserve">Bank's </w:t>
      </w:r>
      <w:r w:rsidR="009E2B77" w:rsidRPr="007D770B">
        <w:rPr>
          <w:rFonts w:ascii="Times New Roman" w:hAnsi="Times New Roman"/>
          <w:lang w:val="en-US"/>
        </w:rPr>
        <w:t xml:space="preserve">own data. In developing unobservable inputs, the </w:t>
      </w:r>
      <w:r w:rsidR="00F9744B" w:rsidRPr="007D770B">
        <w:rPr>
          <w:rFonts w:ascii="Times New Roman" w:hAnsi="Times New Roman"/>
          <w:lang w:val="en-US"/>
        </w:rPr>
        <w:t xml:space="preserve">Bank </w:t>
      </w:r>
      <w:r w:rsidR="009E2B77" w:rsidRPr="007D770B">
        <w:rPr>
          <w:rFonts w:ascii="Times New Roman" w:hAnsi="Times New Roman"/>
          <w:lang w:val="en-US"/>
        </w:rPr>
        <w:t xml:space="preserve">may rely on its own data, but the </w:t>
      </w:r>
      <w:r w:rsidR="00F9744B" w:rsidRPr="007D770B">
        <w:rPr>
          <w:rFonts w:ascii="Times New Roman" w:hAnsi="Times New Roman"/>
          <w:lang w:val="en-US"/>
        </w:rPr>
        <w:t xml:space="preserve">Bank </w:t>
      </w:r>
      <w:r w:rsidR="00572DED" w:rsidRPr="007D770B">
        <w:rPr>
          <w:rFonts w:ascii="Times New Roman" w:hAnsi="Times New Roman"/>
          <w:lang w:val="en-US"/>
        </w:rPr>
        <w:t xml:space="preserve">should </w:t>
      </w:r>
      <w:r w:rsidR="009E2B77" w:rsidRPr="007D770B">
        <w:rPr>
          <w:rFonts w:ascii="Times New Roman" w:hAnsi="Times New Roman"/>
          <w:lang w:val="en-US"/>
        </w:rPr>
        <w:t xml:space="preserve">adjust those inputs if reasonably available information indicates that other market participants would use different inputs </w:t>
      </w:r>
      <w:r w:rsidR="00F34077" w:rsidRPr="007D770B">
        <w:rPr>
          <w:rFonts w:ascii="Times New Roman" w:hAnsi="Times New Roman"/>
          <w:lang w:val="en-US"/>
        </w:rPr>
        <w:t xml:space="preserve">or, </w:t>
      </w:r>
      <w:r w:rsidR="009E2B77" w:rsidRPr="007D770B">
        <w:rPr>
          <w:rFonts w:ascii="Times New Roman" w:hAnsi="Times New Roman"/>
          <w:lang w:val="en-US"/>
        </w:rPr>
        <w:t xml:space="preserve">there is some </w:t>
      </w:r>
      <w:r w:rsidR="00F9744B" w:rsidRPr="007D770B">
        <w:rPr>
          <w:rFonts w:ascii="Times New Roman" w:hAnsi="Times New Roman"/>
          <w:lang w:val="en-US"/>
        </w:rPr>
        <w:t>Bank-specific</w:t>
      </w:r>
      <w:r w:rsidR="009E2B77" w:rsidRPr="007D770B">
        <w:rPr>
          <w:rFonts w:ascii="Times New Roman" w:hAnsi="Times New Roman"/>
          <w:lang w:val="en-US"/>
        </w:rPr>
        <w:t xml:space="preserve"> information that is not available to other market participants (e.g., </w:t>
      </w:r>
      <w:r w:rsidR="00F9744B" w:rsidRPr="007D770B">
        <w:rPr>
          <w:rFonts w:ascii="Times New Roman" w:hAnsi="Times New Roman"/>
          <w:lang w:val="en-US"/>
        </w:rPr>
        <w:t>Bank-specific</w:t>
      </w:r>
      <w:r w:rsidR="009E2B77" w:rsidRPr="007D770B">
        <w:rPr>
          <w:rFonts w:ascii="Times New Roman" w:hAnsi="Times New Roman"/>
          <w:lang w:val="en-US"/>
        </w:rPr>
        <w:t xml:space="preserve"> synergies). </w:t>
      </w:r>
      <w:r w:rsidR="00901981" w:rsidRPr="007D770B">
        <w:rPr>
          <w:rFonts w:ascii="Times New Roman" w:hAnsi="Times New Roman"/>
          <w:lang w:val="en-US"/>
        </w:rPr>
        <w:t xml:space="preserve">The </w:t>
      </w:r>
      <w:r w:rsidR="00F9744B" w:rsidRPr="007D770B">
        <w:rPr>
          <w:rFonts w:ascii="Times New Roman" w:hAnsi="Times New Roman"/>
          <w:lang w:val="en-US"/>
        </w:rPr>
        <w:t xml:space="preserve">Bank </w:t>
      </w:r>
      <w:r w:rsidR="009E2B77" w:rsidRPr="007D770B">
        <w:rPr>
          <w:rFonts w:ascii="Times New Roman" w:hAnsi="Times New Roman"/>
          <w:lang w:val="en-US"/>
        </w:rPr>
        <w:t xml:space="preserve">need not make excessive efforts to obtain information about market participants' assumptions. However, the </w:t>
      </w:r>
      <w:r w:rsidR="00F9744B" w:rsidRPr="007D770B">
        <w:rPr>
          <w:rFonts w:ascii="Times New Roman" w:hAnsi="Times New Roman"/>
          <w:lang w:val="en-US"/>
        </w:rPr>
        <w:t xml:space="preserve">Bank </w:t>
      </w:r>
      <w:r w:rsidR="00572DED" w:rsidRPr="007D770B">
        <w:rPr>
          <w:rFonts w:ascii="Times New Roman" w:hAnsi="Times New Roman"/>
          <w:lang w:val="en-US"/>
        </w:rPr>
        <w:t xml:space="preserve">should </w:t>
      </w:r>
      <w:r w:rsidR="009E2B77" w:rsidRPr="007D770B">
        <w:rPr>
          <w:rFonts w:ascii="Times New Roman" w:hAnsi="Times New Roman"/>
          <w:lang w:val="en-US"/>
        </w:rPr>
        <w:t>consider all information about market participants' assumptions that is reasonably available. Unobservable inputs developed in accordance with the above procedure are considered to be market participant assumptions and meet the objective of fair value measurement.</w:t>
      </w:r>
    </w:p>
    <w:p w14:paraId="3044C43C" w14:textId="7BDAE9F0" w:rsidR="009E2B77" w:rsidRPr="007D770B" w:rsidRDefault="00CD25B1" w:rsidP="00E61D21">
      <w:pPr>
        <w:pStyle w:val="3"/>
        <w:rPr>
          <w:lang w:val="en-US"/>
        </w:rPr>
      </w:pPr>
      <w:bookmarkStart w:id="436" w:name="_Toc378283549"/>
      <w:bookmarkStart w:id="437" w:name="_Toc168502139"/>
      <w:r w:rsidRPr="007D770B">
        <w:rPr>
          <w:lang w:val="en-US"/>
        </w:rPr>
        <w:t>5</w:t>
      </w:r>
      <w:r w:rsidR="009E2B77" w:rsidRPr="007D770B">
        <w:rPr>
          <w:lang w:val="en-US"/>
        </w:rPr>
        <w:t>.</w:t>
      </w:r>
      <w:r w:rsidR="006106B9" w:rsidRPr="007D770B">
        <w:rPr>
          <w:lang w:val="en-US"/>
        </w:rPr>
        <w:t xml:space="preserve">9 </w:t>
      </w:r>
      <w:r w:rsidR="009E2B77" w:rsidRPr="007D770B">
        <w:rPr>
          <w:lang w:val="en-US"/>
        </w:rPr>
        <w:t>Disclosure of information</w:t>
      </w:r>
      <w:bookmarkEnd w:id="436"/>
      <w:bookmarkEnd w:id="437"/>
    </w:p>
    <w:p w14:paraId="5928FF92" w14:textId="77777777" w:rsidR="009E2B77" w:rsidRPr="007D770B" w:rsidRDefault="00572DED" w:rsidP="00F96B17">
      <w:pPr>
        <w:autoSpaceDE w:val="0"/>
        <w:autoSpaceDN w:val="0"/>
        <w:adjustRightInd w:val="0"/>
        <w:spacing w:before="240" w:line="240" w:lineRule="auto"/>
        <w:ind w:left="0"/>
        <w:rPr>
          <w:rFonts w:ascii="Times New Roman" w:hAnsi="Times New Roman"/>
          <w:bCs/>
          <w:lang w:val="en-US"/>
        </w:rPr>
      </w:pPr>
      <w:r w:rsidRPr="007D770B">
        <w:rPr>
          <w:rFonts w:ascii="Times New Roman" w:hAnsi="Times New Roman"/>
          <w:bCs/>
          <w:lang w:val="en-US"/>
        </w:rPr>
        <w:t xml:space="preserve">The </w:t>
      </w:r>
      <w:r w:rsidR="00F9744B" w:rsidRPr="007D770B">
        <w:rPr>
          <w:rFonts w:ascii="Times New Roman" w:hAnsi="Times New Roman"/>
          <w:bCs/>
          <w:lang w:val="en-US"/>
        </w:rPr>
        <w:t xml:space="preserve">Bank </w:t>
      </w:r>
      <w:r w:rsidRPr="007D770B">
        <w:rPr>
          <w:rFonts w:ascii="Times New Roman" w:hAnsi="Times New Roman"/>
          <w:bCs/>
          <w:lang w:val="en-US"/>
        </w:rPr>
        <w:t xml:space="preserve">shall </w:t>
      </w:r>
      <w:r w:rsidR="009E2B77" w:rsidRPr="007D770B">
        <w:rPr>
          <w:rFonts w:ascii="Times New Roman" w:hAnsi="Times New Roman"/>
          <w:bCs/>
          <w:lang w:val="en-US"/>
        </w:rPr>
        <w:t>disclose information that helps users of financial statements to evaluate the following:</w:t>
      </w:r>
    </w:p>
    <w:p w14:paraId="14E172B6" w14:textId="77777777" w:rsidR="009E2B77" w:rsidRPr="007D770B" w:rsidRDefault="009E2B77" w:rsidP="00AE698A">
      <w:pPr>
        <w:pStyle w:val="aa"/>
        <w:numPr>
          <w:ilvl w:val="0"/>
          <w:numId w:val="138"/>
        </w:numPr>
        <w:autoSpaceDE w:val="0"/>
        <w:autoSpaceDN w:val="0"/>
        <w:adjustRightInd w:val="0"/>
        <w:spacing w:before="240" w:line="240" w:lineRule="auto"/>
        <w:contextualSpacing w:val="0"/>
        <w:rPr>
          <w:rFonts w:ascii="Times New Roman" w:hAnsi="Times New Roman"/>
          <w:bCs/>
          <w:lang w:val="en-US"/>
        </w:rPr>
      </w:pPr>
      <w:r w:rsidRPr="007D770B">
        <w:rPr>
          <w:rFonts w:ascii="Times New Roman" w:hAnsi="Times New Roman"/>
          <w:bCs/>
          <w:lang w:val="en-US"/>
        </w:rPr>
        <w:t>for assets and liabilities carried at fair value in the statement of financial position after initial recognition on a recurring or non-recurring basis, the valuation techniques and inputs used to arrive at those valuations.</w:t>
      </w:r>
    </w:p>
    <w:p w14:paraId="27FA6E76" w14:textId="77777777" w:rsidR="009E2B77" w:rsidRPr="007D770B" w:rsidRDefault="009E2B77" w:rsidP="00AE698A">
      <w:pPr>
        <w:pStyle w:val="aa"/>
        <w:numPr>
          <w:ilvl w:val="0"/>
          <w:numId w:val="138"/>
        </w:numPr>
        <w:autoSpaceDE w:val="0"/>
        <w:autoSpaceDN w:val="0"/>
        <w:adjustRightInd w:val="0"/>
        <w:spacing w:before="240" w:line="240" w:lineRule="auto"/>
        <w:rPr>
          <w:rFonts w:ascii="Times New Roman" w:hAnsi="Times New Roman"/>
          <w:bCs/>
          <w:lang w:val="en-US"/>
        </w:rPr>
      </w:pPr>
      <w:r w:rsidRPr="007D770B">
        <w:rPr>
          <w:rFonts w:ascii="Times New Roman" w:hAnsi="Times New Roman"/>
          <w:bCs/>
          <w:lang w:val="en-US"/>
        </w:rPr>
        <w:t>for recurring fair value measurements using significant unobservable inputs (Level 3), the effect of the measurements on profit or loss or other comprehensive income for the period.</w:t>
      </w:r>
    </w:p>
    <w:p w14:paraId="4D6C5D23"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 xml:space="preserve">In order to meet the objectives set out above, the </w:t>
      </w:r>
      <w:r w:rsidR="00F9744B" w:rsidRPr="007D770B">
        <w:rPr>
          <w:rFonts w:ascii="Times New Roman" w:hAnsi="Times New Roman"/>
          <w:lang w:val="en-US"/>
        </w:rPr>
        <w:t xml:space="preserve">Bank </w:t>
      </w:r>
      <w:r w:rsidR="00572DED" w:rsidRPr="007D770B">
        <w:rPr>
          <w:rFonts w:ascii="Times New Roman" w:hAnsi="Times New Roman"/>
          <w:lang w:val="en-US"/>
        </w:rPr>
        <w:t xml:space="preserve">should </w:t>
      </w:r>
      <w:r w:rsidRPr="007D770B">
        <w:rPr>
          <w:rFonts w:ascii="Times New Roman" w:hAnsi="Times New Roman"/>
          <w:lang w:val="en-US"/>
        </w:rPr>
        <w:t>consider all of the following issues:</w:t>
      </w:r>
    </w:p>
    <w:p w14:paraId="513DF15D" w14:textId="77777777" w:rsidR="008F5733" w:rsidRPr="007D770B" w:rsidRDefault="009E2B77" w:rsidP="00AE698A">
      <w:pPr>
        <w:pStyle w:val="aa"/>
        <w:numPr>
          <w:ilvl w:val="0"/>
          <w:numId w:val="247"/>
        </w:numPr>
        <w:autoSpaceDE w:val="0"/>
        <w:autoSpaceDN w:val="0"/>
        <w:adjustRightInd w:val="0"/>
        <w:spacing w:before="240" w:line="240" w:lineRule="auto"/>
        <w:contextualSpacing w:val="0"/>
        <w:rPr>
          <w:rFonts w:ascii="Times New Roman" w:hAnsi="Times New Roman"/>
          <w:lang w:val="en-US"/>
        </w:rPr>
      </w:pPr>
      <w:r w:rsidRPr="007D770B">
        <w:rPr>
          <w:rFonts w:ascii="Times New Roman" w:hAnsi="Times New Roman"/>
          <w:lang w:val="en-US"/>
        </w:rPr>
        <w:t>the level of detail required to meet the disclosure requirements;</w:t>
      </w:r>
    </w:p>
    <w:p w14:paraId="50615AF8" w14:textId="77777777" w:rsidR="008F5733" w:rsidRPr="007D770B" w:rsidRDefault="009E2B77" w:rsidP="00AE698A">
      <w:pPr>
        <w:pStyle w:val="aa"/>
        <w:numPr>
          <w:ilvl w:val="0"/>
          <w:numId w:val="247"/>
        </w:numPr>
        <w:autoSpaceDE w:val="0"/>
        <w:autoSpaceDN w:val="0"/>
        <w:adjustRightInd w:val="0"/>
        <w:spacing w:before="240" w:line="240" w:lineRule="auto"/>
        <w:contextualSpacing w:val="0"/>
        <w:rPr>
          <w:rFonts w:ascii="Times New Roman" w:hAnsi="Times New Roman"/>
          <w:lang w:val="en-US"/>
        </w:rPr>
      </w:pPr>
      <w:r w:rsidRPr="007D770B">
        <w:rPr>
          <w:rFonts w:ascii="Times New Roman" w:hAnsi="Times New Roman"/>
          <w:lang w:val="en-US"/>
        </w:rPr>
        <w:t>how much importance should be given to each of the various requirements;</w:t>
      </w:r>
    </w:p>
    <w:p w14:paraId="41EBC24C" w14:textId="77777777" w:rsidR="008F5733" w:rsidRPr="007D770B" w:rsidRDefault="009E2B77" w:rsidP="00AE698A">
      <w:pPr>
        <w:pStyle w:val="aa"/>
        <w:numPr>
          <w:ilvl w:val="0"/>
          <w:numId w:val="247"/>
        </w:numPr>
        <w:autoSpaceDE w:val="0"/>
        <w:autoSpaceDN w:val="0"/>
        <w:adjustRightInd w:val="0"/>
        <w:spacing w:before="240" w:line="240" w:lineRule="auto"/>
        <w:contextualSpacing w:val="0"/>
        <w:rPr>
          <w:rFonts w:ascii="Times New Roman" w:hAnsi="Times New Roman"/>
          <w:lang w:val="en-US"/>
        </w:rPr>
      </w:pPr>
      <w:r w:rsidRPr="007D770B">
        <w:rPr>
          <w:rFonts w:ascii="Times New Roman" w:hAnsi="Times New Roman"/>
          <w:lang w:val="en-US"/>
        </w:rPr>
        <w:t>the required level of aggregation or granularity of information; and</w:t>
      </w:r>
    </w:p>
    <w:p w14:paraId="0C89AE29" w14:textId="77777777" w:rsidR="009E2B77" w:rsidRPr="007D770B" w:rsidRDefault="009E2B77" w:rsidP="00AE698A">
      <w:pPr>
        <w:pStyle w:val="aa"/>
        <w:numPr>
          <w:ilvl w:val="0"/>
          <w:numId w:val="247"/>
        </w:numPr>
        <w:autoSpaceDE w:val="0"/>
        <w:autoSpaceDN w:val="0"/>
        <w:adjustRightInd w:val="0"/>
        <w:spacing w:before="240" w:line="240" w:lineRule="auto"/>
        <w:contextualSpacing w:val="0"/>
        <w:rPr>
          <w:rFonts w:ascii="Times New Roman" w:hAnsi="Times New Roman"/>
          <w:lang w:val="en-US"/>
        </w:rPr>
      </w:pPr>
      <w:r w:rsidRPr="007D770B">
        <w:rPr>
          <w:rFonts w:ascii="Times New Roman" w:hAnsi="Times New Roman"/>
          <w:lang w:val="en-US"/>
        </w:rPr>
        <w:t>Whether users of financial statements need additional information to evaluate the quantitative information disclosed.</w:t>
      </w:r>
    </w:p>
    <w:p w14:paraId="18EB187D"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 xml:space="preserve">If the information disclosed in accordance with this and other sections of the </w:t>
      </w:r>
      <w:r w:rsidR="00F9744B" w:rsidRPr="007D770B">
        <w:rPr>
          <w:rFonts w:ascii="Times New Roman" w:hAnsi="Times New Roman"/>
          <w:lang w:val="en-US"/>
        </w:rPr>
        <w:t xml:space="preserve">Bank's </w:t>
      </w:r>
      <w:r w:rsidRPr="007D770B">
        <w:rPr>
          <w:rFonts w:ascii="Times New Roman" w:hAnsi="Times New Roman"/>
          <w:lang w:val="en-US"/>
        </w:rPr>
        <w:t xml:space="preserve">accounting policies is insufficient to meet the objectives set out above, the </w:t>
      </w:r>
      <w:r w:rsidR="00F9744B" w:rsidRPr="007D770B">
        <w:rPr>
          <w:rFonts w:ascii="Times New Roman" w:hAnsi="Times New Roman"/>
          <w:lang w:val="en-US"/>
        </w:rPr>
        <w:t xml:space="preserve">Bank </w:t>
      </w:r>
      <w:r w:rsidR="00572DED" w:rsidRPr="007D770B">
        <w:rPr>
          <w:rFonts w:ascii="Times New Roman" w:hAnsi="Times New Roman"/>
          <w:lang w:val="en-US"/>
        </w:rPr>
        <w:t xml:space="preserve">shall </w:t>
      </w:r>
      <w:r w:rsidRPr="007D770B">
        <w:rPr>
          <w:rFonts w:ascii="Times New Roman" w:hAnsi="Times New Roman"/>
          <w:lang w:val="en-US"/>
        </w:rPr>
        <w:t>disclose additional information necessary to meet those objectives.</w:t>
      </w:r>
    </w:p>
    <w:p w14:paraId="0E1732BA" w14:textId="77777777" w:rsidR="009E2B77" w:rsidRPr="007D770B" w:rsidRDefault="00572DED"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 xml:space="preserve">The </w:t>
      </w:r>
      <w:r w:rsidR="00F9744B" w:rsidRPr="007D770B">
        <w:rPr>
          <w:rFonts w:ascii="Times New Roman" w:hAnsi="Times New Roman"/>
          <w:lang w:val="en-US"/>
        </w:rPr>
        <w:t xml:space="preserve">Bank </w:t>
      </w:r>
      <w:r w:rsidRPr="007D770B">
        <w:rPr>
          <w:rFonts w:ascii="Times New Roman" w:hAnsi="Times New Roman"/>
          <w:lang w:val="en-US"/>
        </w:rPr>
        <w:t xml:space="preserve">is required to </w:t>
      </w:r>
      <w:r w:rsidR="009E2B77" w:rsidRPr="007D770B">
        <w:rPr>
          <w:rFonts w:ascii="Times New Roman" w:hAnsi="Times New Roman"/>
          <w:lang w:val="en-US"/>
        </w:rPr>
        <w:t xml:space="preserve">disclose at least the following information for each class of assets and liabilities measured at fair value in the </w:t>
      </w:r>
      <w:r w:rsidR="001D798B" w:rsidRPr="007D770B">
        <w:rPr>
          <w:rFonts w:ascii="Times New Roman" w:hAnsi="Times New Roman"/>
          <w:lang w:val="en-US"/>
        </w:rPr>
        <w:t xml:space="preserve">statement of financial position </w:t>
      </w:r>
      <w:r w:rsidR="009E2B77" w:rsidRPr="007D770B">
        <w:rPr>
          <w:rFonts w:ascii="Times New Roman" w:hAnsi="Times New Roman"/>
          <w:lang w:val="en-US"/>
        </w:rPr>
        <w:t>after initial recognition:</w:t>
      </w:r>
    </w:p>
    <w:p w14:paraId="2B01CFB4" w14:textId="77777777" w:rsidR="008F5733" w:rsidRPr="007D770B" w:rsidRDefault="009E2B77" w:rsidP="00AE698A">
      <w:pPr>
        <w:pStyle w:val="aa"/>
        <w:numPr>
          <w:ilvl w:val="0"/>
          <w:numId w:val="248"/>
        </w:numPr>
        <w:autoSpaceDE w:val="0"/>
        <w:autoSpaceDN w:val="0"/>
        <w:adjustRightInd w:val="0"/>
        <w:spacing w:before="240" w:line="240" w:lineRule="auto"/>
        <w:contextualSpacing w:val="0"/>
        <w:rPr>
          <w:rFonts w:ascii="Times New Roman" w:hAnsi="Times New Roman"/>
          <w:lang w:val="en-US"/>
        </w:rPr>
      </w:pPr>
      <w:r w:rsidRPr="007D770B">
        <w:rPr>
          <w:rFonts w:ascii="Times New Roman" w:hAnsi="Times New Roman"/>
          <w:lang w:val="en-US"/>
        </w:rPr>
        <w:t xml:space="preserve">for recurring and non-recurring fair value measurements, fair value measurements at the end of the reporting period and, for non-recurring fair value measurements, the reasons for making those measurements. Recurring fair value measurements of assets or liabilities are those required or permitted by other accounting policies in the balance sheet at the end of each reporting period. Recurring fair value measurements of assets or liabilities are those that are required </w:t>
      </w:r>
      <w:r w:rsidRPr="007D770B">
        <w:rPr>
          <w:rFonts w:ascii="Times New Roman" w:hAnsi="Times New Roman"/>
          <w:lang w:val="en-US"/>
        </w:rPr>
        <w:lastRenderedPageBreak/>
        <w:t xml:space="preserve">or permitted by other accounting policies in the balance sheet under certain circumstances (for example, when the </w:t>
      </w:r>
      <w:r w:rsidR="00F9744B" w:rsidRPr="007D770B">
        <w:rPr>
          <w:rFonts w:ascii="Times New Roman" w:hAnsi="Times New Roman"/>
          <w:lang w:val="en-US"/>
        </w:rPr>
        <w:t xml:space="preserve">Bank </w:t>
      </w:r>
      <w:r w:rsidRPr="007D770B">
        <w:rPr>
          <w:rFonts w:ascii="Times New Roman" w:hAnsi="Times New Roman"/>
          <w:lang w:val="en-US"/>
        </w:rPr>
        <w:t>measures an asset held for sale at fair value less costs to sell because the asset's fair value less costs to sell is lower than its carrying amount).</w:t>
      </w:r>
    </w:p>
    <w:p w14:paraId="7F8A06D3" w14:textId="77777777" w:rsidR="008F5733" w:rsidRPr="007D770B" w:rsidRDefault="009E2B77" w:rsidP="00AE698A">
      <w:pPr>
        <w:pStyle w:val="aa"/>
        <w:numPr>
          <w:ilvl w:val="0"/>
          <w:numId w:val="248"/>
        </w:numPr>
        <w:autoSpaceDE w:val="0"/>
        <w:autoSpaceDN w:val="0"/>
        <w:adjustRightInd w:val="0"/>
        <w:spacing w:before="240" w:line="240" w:lineRule="auto"/>
        <w:contextualSpacing w:val="0"/>
        <w:rPr>
          <w:rFonts w:ascii="Times New Roman" w:hAnsi="Times New Roman"/>
          <w:lang w:val="en-US"/>
        </w:rPr>
      </w:pPr>
      <w:r w:rsidRPr="007D770B">
        <w:rPr>
          <w:rFonts w:ascii="Times New Roman" w:hAnsi="Times New Roman"/>
          <w:lang w:val="en-US"/>
        </w:rPr>
        <w:t>For recurring and non-recurring fair value measurements, the level within the fair value hierarchy to which those fair value measurements are categorized as a whole (Level 1, 2 or 3).</w:t>
      </w:r>
    </w:p>
    <w:p w14:paraId="6D34D612" w14:textId="45570AAB" w:rsidR="008F5733" w:rsidRPr="007D770B" w:rsidRDefault="009E2B77" w:rsidP="00AE698A">
      <w:pPr>
        <w:pStyle w:val="aa"/>
        <w:numPr>
          <w:ilvl w:val="0"/>
          <w:numId w:val="248"/>
        </w:numPr>
        <w:autoSpaceDE w:val="0"/>
        <w:autoSpaceDN w:val="0"/>
        <w:adjustRightInd w:val="0"/>
        <w:spacing w:before="240" w:line="240" w:lineRule="auto"/>
        <w:contextualSpacing w:val="0"/>
        <w:rPr>
          <w:rFonts w:ascii="Times New Roman" w:hAnsi="Times New Roman"/>
          <w:lang w:val="en-US"/>
        </w:rPr>
      </w:pPr>
      <w:r w:rsidRPr="007D770B">
        <w:rPr>
          <w:rFonts w:ascii="Times New Roman" w:hAnsi="Times New Roman"/>
          <w:lang w:val="en-US"/>
        </w:rPr>
        <w:t xml:space="preserve">for assets and liabilities held at the end of the reporting period that are measured at fair value on a recurring basis, the amounts of any transfers between Level 1 and Level 2 in the fair value hierarchy, the reasons for such transfers and the </w:t>
      </w:r>
      <w:r w:rsidR="00F9744B" w:rsidRPr="007D770B">
        <w:rPr>
          <w:rFonts w:ascii="Times New Roman" w:hAnsi="Times New Roman"/>
          <w:lang w:val="en-US"/>
        </w:rPr>
        <w:t xml:space="preserve">Bank's </w:t>
      </w:r>
      <w:r w:rsidRPr="007D770B">
        <w:rPr>
          <w:rFonts w:ascii="Times New Roman" w:hAnsi="Times New Roman"/>
          <w:lang w:val="en-US"/>
        </w:rPr>
        <w:t xml:space="preserve">policy for determining when transfers from level to level are considered to have occurred. Transfers into each level </w:t>
      </w:r>
      <w:r w:rsidR="00F34077" w:rsidRPr="007D770B">
        <w:rPr>
          <w:rFonts w:ascii="Times New Roman" w:hAnsi="Times New Roman"/>
          <w:lang w:val="en-US"/>
        </w:rPr>
        <w:t xml:space="preserve">should be disclosed </w:t>
      </w:r>
      <w:r w:rsidRPr="007D770B">
        <w:rPr>
          <w:rFonts w:ascii="Times New Roman" w:hAnsi="Times New Roman"/>
          <w:lang w:val="en-US"/>
        </w:rPr>
        <w:t>and discussed separately from transfers out of each level.</w:t>
      </w:r>
    </w:p>
    <w:p w14:paraId="1F054F7A" w14:textId="77777777" w:rsidR="008F5733" w:rsidRPr="007D770B" w:rsidRDefault="009E2B77" w:rsidP="00AE698A">
      <w:pPr>
        <w:pStyle w:val="aa"/>
        <w:numPr>
          <w:ilvl w:val="0"/>
          <w:numId w:val="248"/>
        </w:numPr>
        <w:autoSpaceDE w:val="0"/>
        <w:autoSpaceDN w:val="0"/>
        <w:adjustRightInd w:val="0"/>
        <w:spacing w:before="240" w:line="240" w:lineRule="auto"/>
        <w:contextualSpacing w:val="0"/>
        <w:rPr>
          <w:rFonts w:ascii="Times New Roman" w:hAnsi="Times New Roman"/>
          <w:lang w:val="en-US"/>
        </w:rPr>
      </w:pPr>
      <w:r w:rsidRPr="007D770B">
        <w:rPr>
          <w:rFonts w:ascii="Times New Roman" w:hAnsi="Times New Roman"/>
          <w:lang w:val="en-US"/>
        </w:rPr>
        <w:t xml:space="preserve">For recurring and non-recurring fair value measurements categorized within Level 2 and Level 3 of the fair value hierarchy, a description of the valuation technique or techniques and the inputs used in the fair value measurement. If there is any change in the valuation technique (e.g., changing from market approach to income approach or using an additional valuation technique), the </w:t>
      </w:r>
      <w:r w:rsidR="00F9744B" w:rsidRPr="007D770B">
        <w:rPr>
          <w:rFonts w:ascii="Times New Roman" w:hAnsi="Times New Roman"/>
          <w:lang w:val="en-US"/>
        </w:rPr>
        <w:t xml:space="preserve">Bank </w:t>
      </w:r>
      <w:r w:rsidR="00572DED" w:rsidRPr="007D770B">
        <w:rPr>
          <w:rFonts w:ascii="Times New Roman" w:hAnsi="Times New Roman"/>
          <w:lang w:val="en-US"/>
        </w:rPr>
        <w:t xml:space="preserve">must </w:t>
      </w:r>
      <w:r w:rsidRPr="007D770B">
        <w:rPr>
          <w:rFonts w:ascii="Times New Roman" w:hAnsi="Times New Roman"/>
          <w:lang w:val="en-US"/>
        </w:rPr>
        <w:t xml:space="preserve">disclose the change and the reason(s) for the change. For fair value measurements categorized as Level 3 in the fair value hierarchy, the </w:t>
      </w:r>
      <w:r w:rsidR="00F9744B" w:rsidRPr="007D770B">
        <w:rPr>
          <w:rFonts w:ascii="Times New Roman" w:hAnsi="Times New Roman"/>
          <w:lang w:val="en-US"/>
        </w:rPr>
        <w:t xml:space="preserve">Bank </w:t>
      </w:r>
      <w:r w:rsidR="00572DED" w:rsidRPr="007D770B">
        <w:rPr>
          <w:rFonts w:ascii="Times New Roman" w:hAnsi="Times New Roman"/>
          <w:lang w:val="en-US"/>
        </w:rPr>
        <w:t xml:space="preserve">is required to </w:t>
      </w:r>
      <w:r w:rsidRPr="007D770B">
        <w:rPr>
          <w:rFonts w:ascii="Times New Roman" w:hAnsi="Times New Roman"/>
          <w:lang w:val="en-US"/>
        </w:rPr>
        <w:t xml:space="preserve">provide quantitative disclosures about the significant unobservable inputs used in the fair value measurement. A </w:t>
      </w:r>
      <w:r w:rsidR="00F9744B" w:rsidRPr="007D770B">
        <w:rPr>
          <w:rFonts w:ascii="Times New Roman" w:hAnsi="Times New Roman"/>
          <w:lang w:val="en-US"/>
        </w:rPr>
        <w:t xml:space="preserve">Bank </w:t>
      </w:r>
      <w:r w:rsidRPr="007D770B">
        <w:rPr>
          <w:rFonts w:ascii="Times New Roman" w:hAnsi="Times New Roman"/>
          <w:lang w:val="en-US"/>
        </w:rPr>
        <w:t xml:space="preserve">is not required to develop quantitative disclosures to meet this disclosure requirement if quantitative unobservable inputs are not developed by the </w:t>
      </w:r>
      <w:r w:rsidR="00F9744B" w:rsidRPr="007D770B">
        <w:rPr>
          <w:rFonts w:ascii="Times New Roman" w:hAnsi="Times New Roman"/>
          <w:lang w:val="en-US"/>
        </w:rPr>
        <w:t xml:space="preserve">Bank </w:t>
      </w:r>
      <w:r w:rsidRPr="007D770B">
        <w:rPr>
          <w:rFonts w:ascii="Times New Roman" w:hAnsi="Times New Roman"/>
          <w:lang w:val="en-US"/>
        </w:rPr>
        <w:t xml:space="preserve">when measuring fair value (e.g., when the </w:t>
      </w:r>
      <w:r w:rsidR="00F9744B" w:rsidRPr="007D770B">
        <w:rPr>
          <w:rFonts w:ascii="Times New Roman" w:hAnsi="Times New Roman"/>
          <w:lang w:val="en-US"/>
        </w:rPr>
        <w:t xml:space="preserve">Bank </w:t>
      </w:r>
      <w:r w:rsidRPr="007D770B">
        <w:rPr>
          <w:rFonts w:ascii="Times New Roman" w:hAnsi="Times New Roman"/>
          <w:lang w:val="en-US"/>
        </w:rPr>
        <w:t xml:space="preserve">uses prices from prior transactions or third-party pricing information without adjusting it). However, by making such disclosures, the </w:t>
      </w:r>
      <w:r w:rsidR="00F9744B" w:rsidRPr="007D770B">
        <w:rPr>
          <w:rFonts w:ascii="Times New Roman" w:hAnsi="Times New Roman"/>
          <w:lang w:val="en-US"/>
        </w:rPr>
        <w:t xml:space="preserve">Bank </w:t>
      </w:r>
      <w:r w:rsidRPr="007D770B">
        <w:rPr>
          <w:rFonts w:ascii="Times New Roman" w:hAnsi="Times New Roman"/>
          <w:lang w:val="en-US"/>
        </w:rPr>
        <w:t xml:space="preserve">cannot ignore quantitative unobservable inputs that are significant to the fair value measurement and reasonably available to the </w:t>
      </w:r>
      <w:r w:rsidR="00F9744B" w:rsidRPr="007D770B">
        <w:rPr>
          <w:rFonts w:ascii="Times New Roman" w:hAnsi="Times New Roman"/>
          <w:lang w:val="en-US"/>
        </w:rPr>
        <w:t>Bank</w:t>
      </w:r>
      <w:r w:rsidRPr="007D770B">
        <w:rPr>
          <w:rFonts w:ascii="Times New Roman" w:hAnsi="Times New Roman"/>
          <w:lang w:val="en-US"/>
        </w:rPr>
        <w:t>.</w:t>
      </w:r>
    </w:p>
    <w:p w14:paraId="29C6B431" w14:textId="77777777" w:rsidR="009E2B77" w:rsidRPr="007D770B" w:rsidRDefault="009E2B77" w:rsidP="00AE698A">
      <w:pPr>
        <w:pStyle w:val="aa"/>
        <w:numPr>
          <w:ilvl w:val="0"/>
          <w:numId w:val="248"/>
        </w:numPr>
        <w:autoSpaceDE w:val="0"/>
        <w:autoSpaceDN w:val="0"/>
        <w:adjustRightInd w:val="0"/>
        <w:spacing w:before="240" w:line="240" w:lineRule="auto"/>
        <w:contextualSpacing w:val="0"/>
        <w:rPr>
          <w:rFonts w:ascii="Times New Roman" w:hAnsi="Times New Roman"/>
          <w:lang w:val="en-US"/>
        </w:rPr>
      </w:pPr>
      <w:r w:rsidRPr="007D770B">
        <w:rPr>
          <w:rFonts w:ascii="Times New Roman" w:hAnsi="Times New Roman"/>
          <w:lang w:val="en-US"/>
        </w:rPr>
        <w:t>for recurring fair value measurements categorized within Level 3 of the fair value hierarchy, a reconciliation of the opening and closing balances, with separate disclosure of changes during the period that relate to the following:</w:t>
      </w:r>
    </w:p>
    <w:p w14:paraId="46FB9078" w14:textId="77777777" w:rsidR="008F5733" w:rsidRPr="007D770B" w:rsidRDefault="009E2B77" w:rsidP="00AE698A">
      <w:pPr>
        <w:pStyle w:val="aa"/>
        <w:numPr>
          <w:ilvl w:val="0"/>
          <w:numId w:val="249"/>
        </w:numPr>
        <w:autoSpaceDE w:val="0"/>
        <w:autoSpaceDN w:val="0"/>
        <w:adjustRightInd w:val="0"/>
        <w:spacing w:before="240" w:line="240" w:lineRule="auto"/>
        <w:contextualSpacing w:val="0"/>
        <w:rPr>
          <w:rFonts w:ascii="Times New Roman" w:hAnsi="Times New Roman"/>
          <w:lang w:val="en-US"/>
        </w:rPr>
      </w:pPr>
      <w:r w:rsidRPr="007D770B">
        <w:rPr>
          <w:rFonts w:ascii="Times New Roman" w:hAnsi="Times New Roman"/>
          <w:lang w:val="en-US"/>
        </w:rPr>
        <w:t>the total gains or losses recognized in profit or loss for the period and the line item or line items in profit or loss in which those gains or losses are recognized.</w:t>
      </w:r>
    </w:p>
    <w:p w14:paraId="3BE22F2D" w14:textId="77777777" w:rsidR="008F5733" w:rsidRPr="007D770B" w:rsidRDefault="009E2B77" w:rsidP="00AE698A">
      <w:pPr>
        <w:pStyle w:val="aa"/>
        <w:numPr>
          <w:ilvl w:val="0"/>
          <w:numId w:val="249"/>
        </w:numPr>
        <w:autoSpaceDE w:val="0"/>
        <w:autoSpaceDN w:val="0"/>
        <w:adjustRightInd w:val="0"/>
        <w:spacing w:before="240" w:line="240" w:lineRule="auto"/>
        <w:contextualSpacing w:val="0"/>
        <w:rPr>
          <w:rFonts w:ascii="Times New Roman" w:hAnsi="Times New Roman"/>
          <w:lang w:val="en-US"/>
        </w:rPr>
      </w:pPr>
      <w:r w:rsidRPr="007D770B">
        <w:rPr>
          <w:rFonts w:ascii="Times New Roman" w:hAnsi="Times New Roman"/>
          <w:lang w:val="en-US"/>
        </w:rPr>
        <w:t>the total gains or losses for the period recognized in other comprehensive income and the line item or line items in other comprehensive income in which those gains or losses are recognized.</w:t>
      </w:r>
    </w:p>
    <w:p w14:paraId="6F38942E" w14:textId="77777777" w:rsidR="008F5733" w:rsidRPr="007D770B" w:rsidRDefault="009E2B77" w:rsidP="00AE698A">
      <w:pPr>
        <w:pStyle w:val="aa"/>
        <w:numPr>
          <w:ilvl w:val="0"/>
          <w:numId w:val="249"/>
        </w:numPr>
        <w:autoSpaceDE w:val="0"/>
        <w:autoSpaceDN w:val="0"/>
        <w:adjustRightInd w:val="0"/>
        <w:spacing w:before="240" w:line="240" w:lineRule="auto"/>
        <w:contextualSpacing w:val="0"/>
        <w:rPr>
          <w:rFonts w:ascii="Times New Roman" w:hAnsi="Times New Roman"/>
          <w:lang w:val="en-US"/>
        </w:rPr>
      </w:pPr>
      <w:r w:rsidRPr="007D770B">
        <w:rPr>
          <w:rFonts w:ascii="Times New Roman" w:hAnsi="Times New Roman"/>
          <w:lang w:val="en-US"/>
        </w:rPr>
        <w:t>purchases, sales, issuance and settlements (each of these types of changes is disclosed separately).</w:t>
      </w:r>
    </w:p>
    <w:p w14:paraId="6899A9CF" w14:textId="77777777" w:rsidR="009E2B77" w:rsidRPr="007D770B" w:rsidRDefault="009E2B77" w:rsidP="00AE698A">
      <w:pPr>
        <w:pStyle w:val="aa"/>
        <w:numPr>
          <w:ilvl w:val="0"/>
          <w:numId w:val="249"/>
        </w:numPr>
        <w:autoSpaceDE w:val="0"/>
        <w:autoSpaceDN w:val="0"/>
        <w:adjustRightInd w:val="0"/>
        <w:spacing w:before="240" w:line="240" w:lineRule="auto"/>
        <w:contextualSpacing w:val="0"/>
        <w:rPr>
          <w:rFonts w:ascii="Times New Roman" w:hAnsi="Times New Roman"/>
          <w:lang w:val="en-US"/>
        </w:rPr>
      </w:pPr>
      <w:r w:rsidRPr="007D770B">
        <w:rPr>
          <w:rFonts w:ascii="Times New Roman" w:hAnsi="Times New Roman"/>
          <w:lang w:val="en-US"/>
        </w:rPr>
        <w:t xml:space="preserve">the amounts of any transfers into and out of Level 3 within the fair value hierarchy, the reasons for such transfers and the </w:t>
      </w:r>
      <w:r w:rsidR="00F9744B" w:rsidRPr="007D770B">
        <w:rPr>
          <w:rFonts w:ascii="Times New Roman" w:hAnsi="Times New Roman"/>
          <w:lang w:val="en-US"/>
        </w:rPr>
        <w:t xml:space="preserve">Bank's </w:t>
      </w:r>
      <w:r w:rsidRPr="007D770B">
        <w:rPr>
          <w:rFonts w:ascii="Times New Roman" w:hAnsi="Times New Roman"/>
          <w:lang w:val="en-US"/>
        </w:rPr>
        <w:t>policy determining when transfers from level to level are considered to have occurred. Transfers into Level 3 should be disclosed and discussed separately from transfers out of Level 3.</w:t>
      </w:r>
    </w:p>
    <w:p w14:paraId="6A146933" w14:textId="77777777" w:rsidR="008F5733" w:rsidRPr="007D770B" w:rsidRDefault="009E2B77" w:rsidP="00AE698A">
      <w:pPr>
        <w:pStyle w:val="aa"/>
        <w:numPr>
          <w:ilvl w:val="0"/>
          <w:numId w:val="248"/>
        </w:numPr>
        <w:autoSpaceDE w:val="0"/>
        <w:autoSpaceDN w:val="0"/>
        <w:adjustRightInd w:val="0"/>
        <w:spacing w:before="240" w:line="240" w:lineRule="auto"/>
        <w:contextualSpacing w:val="0"/>
        <w:rPr>
          <w:rFonts w:ascii="Times New Roman" w:hAnsi="Times New Roman"/>
          <w:lang w:val="en-US"/>
        </w:rPr>
      </w:pPr>
      <w:r w:rsidRPr="007D770B">
        <w:rPr>
          <w:rFonts w:ascii="Times New Roman" w:hAnsi="Times New Roman"/>
          <w:lang w:val="en-US"/>
        </w:rPr>
        <w:t>For recurring fair value measurements categorized within Level 3 of the fair value hierarchy, the sum of the total gains or losses for the period described in (e)(i) included in profit or loss and attributable to the change in unrealized gains or losses on those assets and liabilities held at the end of the reporting period and the line item or line items in profit or loss in which the unrealized gains or losses are recognized.</w:t>
      </w:r>
    </w:p>
    <w:p w14:paraId="2C14C529" w14:textId="5539EA29" w:rsidR="009E2B77" w:rsidRPr="007D770B" w:rsidRDefault="009E2B77" w:rsidP="00AE698A">
      <w:pPr>
        <w:pStyle w:val="aa"/>
        <w:numPr>
          <w:ilvl w:val="0"/>
          <w:numId w:val="248"/>
        </w:numPr>
        <w:autoSpaceDE w:val="0"/>
        <w:autoSpaceDN w:val="0"/>
        <w:adjustRightInd w:val="0"/>
        <w:spacing w:before="240" w:line="240" w:lineRule="auto"/>
        <w:contextualSpacing w:val="0"/>
        <w:rPr>
          <w:rFonts w:ascii="Times New Roman" w:hAnsi="Times New Roman"/>
          <w:lang w:val="en-US"/>
        </w:rPr>
      </w:pPr>
      <w:r w:rsidRPr="007D770B">
        <w:rPr>
          <w:rFonts w:ascii="Times New Roman" w:hAnsi="Times New Roman"/>
          <w:lang w:val="en-US"/>
        </w:rPr>
        <w:t xml:space="preserve">for recurring and non-recurring fair value measurements categorized within Level 3 of the fair value hierarchy, a description of the valuation processes used by the </w:t>
      </w:r>
      <w:r w:rsidR="00F9744B" w:rsidRPr="007D770B">
        <w:rPr>
          <w:rFonts w:ascii="Times New Roman" w:hAnsi="Times New Roman"/>
          <w:lang w:val="en-US"/>
        </w:rPr>
        <w:t xml:space="preserve">Bank </w:t>
      </w:r>
      <w:r w:rsidRPr="007D770B">
        <w:rPr>
          <w:rFonts w:ascii="Times New Roman" w:hAnsi="Times New Roman"/>
          <w:lang w:val="en-US"/>
        </w:rPr>
        <w:t xml:space="preserve">(including, for example, how the </w:t>
      </w:r>
      <w:r w:rsidR="00F9744B" w:rsidRPr="007D770B">
        <w:rPr>
          <w:rFonts w:ascii="Times New Roman" w:hAnsi="Times New Roman"/>
          <w:lang w:val="en-US"/>
        </w:rPr>
        <w:t xml:space="preserve">Bank </w:t>
      </w:r>
      <w:r w:rsidRPr="007D770B">
        <w:rPr>
          <w:rFonts w:ascii="Times New Roman" w:hAnsi="Times New Roman"/>
          <w:lang w:val="en-US"/>
        </w:rPr>
        <w:t xml:space="preserve">makes decisions about valuation policies and procedures and analyzes changes in </w:t>
      </w:r>
      <w:r w:rsidR="00F34077" w:rsidRPr="007D770B">
        <w:rPr>
          <w:rFonts w:ascii="Times New Roman" w:hAnsi="Times New Roman"/>
          <w:lang w:val="en-US"/>
        </w:rPr>
        <w:t xml:space="preserve">fair </w:t>
      </w:r>
      <w:r w:rsidRPr="007D770B">
        <w:rPr>
          <w:rFonts w:ascii="Times New Roman" w:hAnsi="Times New Roman"/>
          <w:lang w:val="en-US"/>
        </w:rPr>
        <w:t>value measurements from period to period).</w:t>
      </w:r>
    </w:p>
    <w:p w14:paraId="33DC847F" w14:textId="77777777" w:rsidR="009E2B77" w:rsidRPr="007D770B" w:rsidRDefault="009E2B77" w:rsidP="00AE698A">
      <w:pPr>
        <w:pStyle w:val="aa"/>
        <w:numPr>
          <w:ilvl w:val="0"/>
          <w:numId w:val="248"/>
        </w:numPr>
        <w:autoSpaceDE w:val="0"/>
        <w:autoSpaceDN w:val="0"/>
        <w:adjustRightInd w:val="0"/>
        <w:spacing w:before="240" w:line="240" w:lineRule="auto"/>
        <w:contextualSpacing w:val="0"/>
        <w:rPr>
          <w:rFonts w:ascii="Times New Roman" w:hAnsi="Times New Roman"/>
          <w:lang w:val="en-US"/>
        </w:rPr>
      </w:pPr>
      <w:r w:rsidRPr="007D770B">
        <w:rPr>
          <w:rFonts w:ascii="Times New Roman" w:hAnsi="Times New Roman"/>
          <w:lang w:val="en-US"/>
        </w:rPr>
        <w:t>for recurring fair value measurements categorized within Level 3 of the fair value hierarchy:</w:t>
      </w:r>
    </w:p>
    <w:p w14:paraId="2DD3C45E" w14:textId="77777777" w:rsidR="009E2B77" w:rsidRPr="007D770B" w:rsidRDefault="009E2B77" w:rsidP="00AE698A">
      <w:pPr>
        <w:pStyle w:val="aa"/>
        <w:numPr>
          <w:ilvl w:val="2"/>
          <w:numId w:val="22"/>
        </w:numPr>
        <w:tabs>
          <w:tab w:val="num" w:pos="1080"/>
        </w:tabs>
        <w:autoSpaceDE w:val="0"/>
        <w:autoSpaceDN w:val="0"/>
        <w:adjustRightInd w:val="0"/>
        <w:spacing w:before="240" w:line="240" w:lineRule="auto"/>
        <w:ind w:left="1080"/>
        <w:contextualSpacing w:val="0"/>
        <w:rPr>
          <w:rFonts w:ascii="Times New Roman" w:hAnsi="Times New Roman"/>
          <w:lang w:val="en-US"/>
        </w:rPr>
      </w:pPr>
      <w:r w:rsidRPr="007D770B">
        <w:rPr>
          <w:rFonts w:ascii="Times New Roman" w:hAnsi="Times New Roman"/>
          <w:lang w:val="en-US"/>
        </w:rPr>
        <w:t xml:space="preserve">for all such measurements, a detailed description of the sensitivity of the fair value measurements to changes in unobservable inputs if changing such inputs by a different amount would result in a significantly higher or lower fair value measurement. If there are relationships between such inputs and other unobservable inputs used in fair value measurements, the </w:t>
      </w:r>
      <w:r w:rsidR="00F9744B" w:rsidRPr="007D770B">
        <w:rPr>
          <w:rFonts w:ascii="Times New Roman" w:hAnsi="Times New Roman"/>
          <w:lang w:val="en-US"/>
        </w:rPr>
        <w:t xml:space="preserve">Bank </w:t>
      </w:r>
      <w:r w:rsidR="00572DED" w:rsidRPr="007D770B">
        <w:rPr>
          <w:rFonts w:ascii="Times New Roman" w:hAnsi="Times New Roman"/>
          <w:lang w:val="en-US"/>
        </w:rPr>
        <w:t xml:space="preserve">must </w:t>
      </w:r>
      <w:r w:rsidRPr="007D770B">
        <w:rPr>
          <w:rFonts w:ascii="Times New Roman" w:hAnsi="Times New Roman"/>
          <w:lang w:val="en-US"/>
        </w:rPr>
        <w:t xml:space="preserve">also provide a description of those relationships and how they might amplify or mitigate the effect of changes in the unobservable inputs on the fair value measurements. In order to meet this disclosure requirement, a detailed description of the sensitivity to changes in unobservable inputs must include, at a minimum, the unobservable inputs disclosed in </w:t>
      </w:r>
      <w:r w:rsidR="00D32B50" w:rsidRPr="007D770B">
        <w:rPr>
          <w:rFonts w:ascii="Times New Roman" w:hAnsi="Times New Roman"/>
          <w:lang w:val="en-US"/>
        </w:rPr>
        <w:t>(</w:t>
      </w:r>
      <w:r w:rsidRPr="007D770B">
        <w:rPr>
          <w:rFonts w:ascii="Times New Roman" w:hAnsi="Times New Roman"/>
          <w:lang w:val="en-US"/>
        </w:rPr>
        <w:t>d).</w:t>
      </w:r>
    </w:p>
    <w:p w14:paraId="302127E3" w14:textId="77777777" w:rsidR="009E2B77" w:rsidRPr="007D770B" w:rsidRDefault="009E2B77" w:rsidP="00AE698A">
      <w:pPr>
        <w:pStyle w:val="aa"/>
        <w:numPr>
          <w:ilvl w:val="2"/>
          <w:numId w:val="22"/>
        </w:numPr>
        <w:autoSpaceDE w:val="0"/>
        <w:autoSpaceDN w:val="0"/>
        <w:adjustRightInd w:val="0"/>
        <w:spacing w:before="240" w:line="240" w:lineRule="auto"/>
        <w:ind w:left="1080"/>
        <w:contextualSpacing w:val="0"/>
        <w:rPr>
          <w:rFonts w:ascii="Times New Roman" w:hAnsi="Times New Roman"/>
          <w:lang w:val="en-US"/>
        </w:rPr>
      </w:pPr>
      <w:r w:rsidRPr="007D770B">
        <w:rPr>
          <w:rFonts w:ascii="Times New Roman" w:hAnsi="Times New Roman"/>
          <w:lang w:val="en-US"/>
        </w:rPr>
        <w:t xml:space="preserve">For financial assets and financial liabilities, if changing one or more unobservable inputs to reflect reasonably possible alternative assumptions would change the fair value significantly, the </w:t>
      </w:r>
      <w:r w:rsidR="00F9744B" w:rsidRPr="007D770B">
        <w:rPr>
          <w:rFonts w:ascii="Times New Roman" w:hAnsi="Times New Roman"/>
          <w:lang w:val="en-US"/>
        </w:rPr>
        <w:t xml:space="preserve">Bank is </w:t>
      </w:r>
      <w:r w:rsidR="00572DED" w:rsidRPr="007D770B">
        <w:rPr>
          <w:rFonts w:ascii="Times New Roman" w:hAnsi="Times New Roman"/>
          <w:lang w:val="en-US"/>
        </w:rPr>
        <w:t xml:space="preserve">required to </w:t>
      </w:r>
      <w:r w:rsidRPr="007D770B">
        <w:rPr>
          <w:rFonts w:ascii="Times New Roman" w:hAnsi="Times New Roman"/>
          <w:lang w:val="en-US"/>
        </w:rPr>
        <w:t xml:space="preserve">disclose that fact and the effect of those changes. </w:t>
      </w:r>
      <w:r w:rsidR="00572DED" w:rsidRPr="007D770B">
        <w:rPr>
          <w:rFonts w:ascii="Times New Roman" w:hAnsi="Times New Roman"/>
          <w:lang w:val="en-US"/>
        </w:rPr>
        <w:t xml:space="preserve">The </w:t>
      </w:r>
      <w:r w:rsidR="00F9744B" w:rsidRPr="007D770B">
        <w:rPr>
          <w:rFonts w:ascii="Times New Roman" w:hAnsi="Times New Roman"/>
          <w:lang w:val="en-US"/>
        </w:rPr>
        <w:t xml:space="preserve">Bank </w:t>
      </w:r>
      <w:r w:rsidR="00572DED" w:rsidRPr="007D770B">
        <w:rPr>
          <w:rFonts w:ascii="Times New Roman" w:hAnsi="Times New Roman"/>
          <w:lang w:val="en-US"/>
        </w:rPr>
        <w:t xml:space="preserve">shall </w:t>
      </w:r>
      <w:r w:rsidRPr="007D770B">
        <w:rPr>
          <w:rFonts w:ascii="Times New Roman" w:hAnsi="Times New Roman"/>
          <w:lang w:val="en-US"/>
        </w:rPr>
        <w:t xml:space="preserve">disclose how the effect of a change to reflect a reasonably possible alternative assumption was calculated. For this purpose, a judgment should be made as to whether the </w:t>
      </w:r>
      <w:r w:rsidRPr="007D770B">
        <w:rPr>
          <w:rFonts w:ascii="Times New Roman" w:hAnsi="Times New Roman"/>
          <w:lang w:val="en-US"/>
        </w:rPr>
        <w:lastRenderedPageBreak/>
        <w:t>effect is significant to profit or loss and total assets or total liabilities or, if changes in fair value are recognized in other comprehensive income, total equity.</w:t>
      </w:r>
    </w:p>
    <w:p w14:paraId="0303EBDC" w14:textId="77777777" w:rsidR="009E2B77" w:rsidRPr="007D770B" w:rsidRDefault="009E2B77" w:rsidP="00AE698A">
      <w:pPr>
        <w:pStyle w:val="aa"/>
        <w:numPr>
          <w:ilvl w:val="0"/>
          <w:numId w:val="248"/>
        </w:numPr>
        <w:autoSpaceDE w:val="0"/>
        <w:autoSpaceDN w:val="0"/>
        <w:adjustRightInd w:val="0"/>
        <w:spacing w:before="240" w:line="240" w:lineRule="auto"/>
        <w:contextualSpacing w:val="0"/>
        <w:rPr>
          <w:rFonts w:ascii="Times New Roman" w:hAnsi="Times New Roman"/>
          <w:lang w:val="en-US"/>
        </w:rPr>
      </w:pPr>
      <w:r w:rsidRPr="007D770B">
        <w:rPr>
          <w:rFonts w:ascii="Times New Roman" w:hAnsi="Times New Roman"/>
          <w:lang w:val="en-US"/>
        </w:rPr>
        <w:t xml:space="preserve">for recurring and non-recurring fair value measurements, if the current use of a non-financial asset differs from its best and most efficient use, the </w:t>
      </w:r>
      <w:r w:rsidR="00F9744B" w:rsidRPr="007D770B">
        <w:rPr>
          <w:rFonts w:ascii="Times New Roman" w:hAnsi="Times New Roman"/>
          <w:lang w:val="en-US"/>
        </w:rPr>
        <w:t xml:space="preserve">Bank </w:t>
      </w:r>
      <w:r w:rsidR="00572DED" w:rsidRPr="007D770B">
        <w:rPr>
          <w:rFonts w:ascii="Times New Roman" w:hAnsi="Times New Roman"/>
          <w:lang w:val="en-US"/>
        </w:rPr>
        <w:t xml:space="preserve">shall </w:t>
      </w:r>
      <w:r w:rsidRPr="007D770B">
        <w:rPr>
          <w:rFonts w:ascii="Times New Roman" w:hAnsi="Times New Roman"/>
          <w:lang w:val="en-US"/>
        </w:rPr>
        <w:t>disclose that fact and why the non-financial asset is not being used in its best and most efficient manner.</w:t>
      </w:r>
    </w:p>
    <w:p w14:paraId="487C19D5" w14:textId="77777777" w:rsidR="009E2B77" w:rsidRPr="007D770B" w:rsidRDefault="00572DED"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 xml:space="preserve">The </w:t>
      </w:r>
      <w:r w:rsidR="00F9744B" w:rsidRPr="007D770B">
        <w:rPr>
          <w:rFonts w:ascii="Times New Roman" w:hAnsi="Times New Roman"/>
          <w:lang w:val="en-US"/>
        </w:rPr>
        <w:t xml:space="preserve">Bank </w:t>
      </w:r>
      <w:r w:rsidRPr="007D770B">
        <w:rPr>
          <w:rFonts w:ascii="Times New Roman" w:hAnsi="Times New Roman"/>
          <w:lang w:val="en-US"/>
        </w:rPr>
        <w:t xml:space="preserve">shall </w:t>
      </w:r>
      <w:r w:rsidR="009E2B77" w:rsidRPr="007D770B">
        <w:rPr>
          <w:rFonts w:ascii="Times New Roman" w:hAnsi="Times New Roman"/>
          <w:lang w:val="en-US"/>
        </w:rPr>
        <w:t>make appropriate classification of assets and liabilities on the basis of the following:</w:t>
      </w:r>
    </w:p>
    <w:p w14:paraId="5BF7E216" w14:textId="77777777" w:rsidR="009E2B77" w:rsidRPr="007D770B" w:rsidRDefault="009E2B77" w:rsidP="00AE698A">
      <w:pPr>
        <w:pStyle w:val="aa"/>
        <w:numPr>
          <w:ilvl w:val="0"/>
          <w:numId w:val="139"/>
        </w:numPr>
        <w:autoSpaceDE w:val="0"/>
        <w:autoSpaceDN w:val="0"/>
        <w:adjustRightInd w:val="0"/>
        <w:spacing w:before="240" w:line="240" w:lineRule="auto"/>
        <w:contextualSpacing w:val="0"/>
        <w:rPr>
          <w:rFonts w:ascii="Times New Roman" w:hAnsi="Times New Roman"/>
          <w:lang w:val="en-US"/>
        </w:rPr>
      </w:pPr>
      <w:r w:rsidRPr="007D770B">
        <w:rPr>
          <w:rFonts w:ascii="Times New Roman" w:hAnsi="Times New Roman"/>
          <w:lang w:val="en-US"/>
        </w:rPr>
        <w:t>the nature, characteristics and risks of the asset or liability; and</w:t>
      </w:r>
    </w:p>
    <w:p w14:paraId="4FA95170" w14:textId="77777777" w:rsidR="009E2B77" w:rsidRPr="007D770B" w:rsidRDefault="009E2B77" w:rsidP="00AE698A">
      <w:pPr>
        <w:pStyle w:val="aa"/>
        <w:numPr>
          <w:ilvl w:val="0"/>
          <w:numId w:val="139"/>
        </w:numPr>
        <w:autoSpaceDE w:val="0"/>
        <w:autoSpaceDN w:val="0"/>
        <w:adjustRightInd w:val="0"/>
        <w:spacing w:before="240" w:line="240" w:lineRule="auto"/>
        <w:contextualSpacing w:val="0"/>
        <w:rPr>
          <w:rFonts w:ascii="Times New Roman" w:hAnsi="Times New Roman"/>
          <w:lang w:val="en-US"/>
        </w:rPr>
      </w:pPr>
      <w:r w:rsidRPr="007D770B">
        <w:rPr>
          <w:rFonts w:ascii="Times New Roman" w:hAnsi="Times New Roman"/>
          <w:lang w:val="en-US"/>
        </w:rPr>
        <w:t>the level in the fair value hierarchy to which the fair value measurement is categorized.</w:t>
      </w:r>
    </w:p>
    <w:p w14:paraId="2DA621A9"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 xml:space="preserve">A greater number of classes may be required for fair value measurements categorized within Level 3 of the fair value hierarchy because these measurements have a greater degree of uncertainty and subjectivity. The appropriate classification of assets and liabilities for which disclosure of fair value measurements is required requires judgment. The class of assets and liabilities will often require a more detailed breakdown than line items presented in the balance sheet. However, the </w:t>
      </w:r>
      <w:r w:rsidR="00F9744B" w:rsidRPr="007D770B">
        <w:rPr>
          <w:rFonts w:ascii="Times New Roman" w:hAnsi="Times New Roman"/>
          <w:lang w:val="en-US"/>
        </w:rPr>
        <w:t xml:space="preserve">Bank </w:t>
      </w:r>
      <w:r w:rsidR="00572DED" w:rsidRPr="007D770B">
        <w:rPr>
          <w:rFonts w:ascii="Times New Roman" w:hAnsi="Times New Roman"/>
          <w:lang w:val="en-US"/>
        </w:rPr>
        <w:t xml:space="preserve">should </w:t>
      </w:r>
      <w:r w:rsidRPr="007D770B">
        <w:rPr>
          <w:rFonts w:ascii="Times New Roman" w:hAnsi="Times New Roman"/>
          <w:lang w:val="en-US"/>
        </w:rPr>
        <w:t xml:space="preserve">provide disclosures that are sufficient to reconcile to the line items presented in the balance sheet. If another accounting policy specifies a class of asset or liability, the </w:t>
      </w:r>
      <w:r w:rsidR="00F9744B" w:rsidRPr="007D770B">
        <w:rPr>
          <w:rFonts w:ascii="Times New Roman" w:hAnsi="Times New Roman"/>
          <w:lang w:val="en-US"/>
        </w:rPr>
        <w:t xml:space="preserve">Bank </w:t>
      </w:r>
      <w:r w:rsidRPr="007D770B">
        <w:rPr>
          <w:rFonts w:ascii="Times New Roman" w:hAnsi="Times New Roman"/>
          <w:lang w:val="en-US"/>
        </w:rPr>
        <w:t>may use that class in making the disclosures required by this section if that class meets the requirements of that paragraph.</w:t>
      </w:r>
    </w:p>
    <w:p w14:paraId="5966206B" w14:textId="77777777" w:rsidR="009E2B77" w:rsidRPr="007D770B" w:rsidRDefault="00F9744B"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 xml:space="preserve">A bank </w:t>
      </w:r>
      <w:r w:rsidR="00572DED" w:rsidRPr="007D770B">
        <w:rPr>
          <w:rFonts w:ascii="Times New Roman" w:hAnsi="Times New Roman"/>
          <w:lang w:val="en-US"/>
        </w:rPr>
        <w:t xml:space="preserve">shall </w:t>
      </w:r>
      <w:r w:rsidR="009E2B77" w:rsidRPr="007D770B">
        <w:rPr>
          <w:rFonts w:ascii="Times New Roman" w:hAnsi="Times New Roman"/>
          <w:lang w:val="en-US"/>
        </w:rPr>
        <w:t>disclose and consistently follow its policy for determining when transfers from level to level within the fair value hierarchy are considered to have occurred in accordance with (c) and (e)(iv) above. The policy on the timing of recognition of transfers should be the same for transfers into and out of levels. Examples of policy provisions for determining the timing of transfers include the following:</w:t>
      </w:r>
    </w:p>
    <w:p w14:paraId="3DF68269" w14:textId="77777777" w:rsidR="009E2B77" w:rsidRPr="007D770B" w:rsidRDefault="009E2B77" w:rsidP="00AE698A">
      <w:pPr>
        <w:pStyle w:val="aa"/>
        <w:numPr>
          <w:ilvl w:val="0"/>
          <w:numId w:val="140"/>
        </w:numPr>
        <w:autoSpaceDE w:val="0"/>
        <w:autoSpaceDN w:val="0"/>
        <w:adjustRightInd w:val="0"/>
        <w:spacing w:before="240" w:line="240" w:lineRule="auto"/>
        <w:contextualSpacing w:val="0"/>
        <w:rPr>
          <w:rFonts w:ascii="Times New Roman" w:hAnsi="Times New Roman"/>
          <w:lang w:val="en-US"/>
        </w:rPr>
      </w:pPr>
      <w:r w:rsidRPr="007D770B">
        <w:rPr>
          <w:rFonts w:ascii="Times New Roman" w:hAnsi="Times New Roman"/>
          <w:lang w:val="en-US"/>
        </w:rPr>
        <w:t>the date of the event or change in circumstances that caused the transfer.</w:t>
      </w:r>
    </w:p>
    <w:p w14:paraId="34F5D24F" w14:textId="77777777" w:rsidR="009E2B77" w:rsidRPr="007D770B" w:rsidRDefault="009E2B77" w:rsidP="00AE698A">
      <w:pPr>
        <w:pStyle w:val="aa"/>
        <w:numPr>
          <w:ilvl w:val="0"/>
          <w:numId w:val="140"/>
        </w:numPr>
        <w:autoSpaceDE w:val="0"/>
        <w:autoSpaceDN w:val="0"/>
        <w:adjustRightInd w:val="0"/>
        <w:spacing w:before="240" w:line="240" w:lineRule="auto"/>
        <w:contextualSpacing w:val="0"/>
        <w:rPr>
          <w:rFonts w:ascii="Times New Roman" w:hAnsi="Times New Roman"/>
          <w:lang w:val="en-US"/>
        </w:rPr>
      </w:pPr>
      <w:r w:rsidRPr="007D770B">
        <w:rPr>
          <w:rFonts w:ascii="Times New Roman" w:hAnsi="Times New Roman"/>
          <w:lang w:val="en-US"/>
        </w:rPr>
        <w:t>the beginning of the reporting period.</w:t>
      </w:r>
    </w:p>
    <w:p w14:paraId="5591E435" w14:textId="77777777" w:rsidR="009E2B77" w:rsidRPr="007D770B" w:rsidRDefault="009E2B77" w:rsidP="00AE698A">
      <w:pPr>
        <w:pStyle w:val="aa"/>
        <w:numPr>
          <w:ilvl w:val="0"/>
          <w:numId w:val="140"/>
        </w:numPr>
        <w:autoSpaceDE w:val="0"/>
        <w:autoSpaceDN w:val="0"/>
        <w:adjustRightInd w:val="0"/>
        <w:spacing w:before="240" w:line="240" w:lineRule="auto"/>
        <w:contextualSpacing w:val="0"/>
        <w:rPr>
          <w:rFonts w:ascii="Times New Roman" w:hAnsi="Times New Roman"/>
          <w:lang w:val="en-US"/>
        </w:rPr>
      </w:pPr>
      <w:r w:rsidRPr="007D770B">
        <w:rPr>
          <w:rFonts w:ascii="Times New Roman" w:hAnsi="Times New Roman"/>
          <w:lang w:val="en-US"/>
        </w:rPr>
        <w:t>end of the reporting period.</w:t>
      </w:r>
    </w:p>
    <w:p w14:paraId="58ECB858"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 xml:space="preserve">If the </w:t>
      </w:r>
      <w:r w:rsidR="00F9744B" w:rsidRPr="007D770B">
        <w:rPr>
          <w:rFonts w:ascii="Times New Roman" w:hAnsi="Times New Roman"/>
          <w:lang w:val="en-US"/>
        </w:rPr>
        <w:t xml:space="preserve">Bank </w:t>
      </w:r>
      <w:r w:rsidRPr="007D770B">
        <w:rPr>
          <w:rFonts w:ascii="Times New Roman" w:hAnsi="Times New Roman"/>
          <w:lang w:val="en-US"/>
        </w:rPr>
        <w:t xml:space="preserve">decides as a matter of accounting policy to utilize the exception provided for in </w:t>
      </w:r>
      <w:r w:rsidR="00062E6B" w:rsidRPr="007D770B">
        <w:rPr>
          <w:rFonts w:ascii="Times New Roman" w:hAnsi="Times New Roman"/>
          <w:lang w:val="en-US"/>
        </w:rPr>
        <w:t xml:space="preserve">paragraph 6.6 </w:t>
      </w:r>
      <w:r w:rsidRPr="007D770B">
        <w:rPr>
          <w:rFonts w:ascii="Times New Roman" w:hAnsi="Times New Roman"/>
          <w:lang w:val="en-US"/>
        </w:rPr>
        <w:t xml:space="preserve">above, the </w:t>
      </w:r>
      <w:r w:rsidR="00F9744B" w:rsidRPr="007D770B">
        <w:rPr>
          <w:rFonts w:ascii="Times New Roman" w:hAnsi="Times New Roman"/>
          <w:lang w:val="en-US"/>
        </w:rPr>
        <w:t xml:space="preserve">Bank </w:t>
      </w:r>
      <w:r w:rsidR="00572DED" w:rsidRPr="007D770B">
        <w:rPr>
          <w:rFonts w:ascii="Times New Roman" w:hAnsi="Times New Roman"/>
          <w:lang w:val="en-US"/>
        </w:rPr>
        <w:t xml:space="preserve">shall </w:t>
      </w:r>
      <w:r w:rsidRPr="007D770B">
        <w:rPr>
          <w:rFonts w:ascii="Times New Roman" w:hAnsi="Times New Roman"/>
          <w:lang w:val="en-US"/>
        </w:rPr>
        <w:t>disclose that fact.</w:t>
      </w:r>
    </w:p>
    <w:p w14:paraId="0C68E1D0"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 xml:space="preserve">For each class of assets and liabilities not carried at fair value in the balance sheet but for which fair value is disclosed, the </w:t>
      </w:r>
      <w:r w:rsidR="00F9744B" w:rsidRPr="007D770B">
        <w:rPr>
          <w:rFonts w:ascii="Times New Roman" w:hAnsi="Times New Roman"/>
          <w:lang w:val="en-US"/>
        </w:rPr>
        <w:t xml:space="preserve">Bank is </w:t>
      </w:r>
      <w:r w:rsidR="00572DED" w:rsidRPr="007D770B">
        <w:rPr>
          <w:rFonts w:ascii="Times New Roman" w:hAnsi="Times New Roman"/>
          <w:lang w:val="en-US"/>
        </w:rPr>
        <w:t xml:space="preserve">required to </w:t>
      </w:r>
      <w:r w:rsidRPr="007D770B">
        <w:rPr>
          <w:rFonts w:ascii="Times New Roman" w:hAnsi="Times New Roman"/>
          <w:lang w:val="en-US"/>
        </w:rPr>
        <w:t xml:space="preserve">disclose the information required by (b), (d) and (h). However, the </w:t>
      </w:r>
      <w:r w:rsidR="00F9744B" w:rsidRPr="007D770B">
        <w:rPr>
          <w:rFonts w:ascii="Times New Roman" w:hAnsi="Times New Roman"/>
          <w:lang w:val="en-US"/>
        </w:rPr>
        <w:t xml:space="preserve">Bank </w:t>
      </w:r>
      <w:r w:rsidR="00767742" w:rsidRPr="007D770B">
        <w:rPr>
          <w:rFonts w:ascii="Times New Roman" w:hAnsi="Times New Roman"/>
          <w:lang w:val="en-US"/>
        </w:rPr>
        <w:t xml:space="preserve">is not required to </w:t>
      </w:r>
      <w:r w:rsidRPr="007D770B">
        <w:rPr>
          <w:rFonts w:ascii="Times New Roman" w:hAnsi="Times New Roman"/>
          <w:lang w:val="en-US"/>
        </w:rPr>
        <w:t xml:space="preserve">disclose quantitative information about significant unobservable inputs used in fair value measurements that are categorized within Level 3 of the fair value hierarchy as required by (d) above. For such assets and liabilities, the </w:t>
      </w:r>
      <w:r w:rsidR="00F9744B" w:rsidRPr="007D770B">
        <w:rPr>
          <w:rFonts w:ascii="Times New Roman" w:hAnsi="Times New Roman"/>
          <w:lang w:val="en-US"/>
        </w:rPr>
        <w:t xml:space="preserve">Bank </w:t>
      </w:r>
      <w:r w:rsidRPr="007D770B">
        <w:rPr>
          <w:rFonts w:ascii="Times New Roman" w:hAnsi="Times New Roman"/>
          <w:lang w:val="en-US"/>
        </w:rPr>
        <w:t>does not need to disclose the other information required by this section.</w:t>
      </w:r>
    </w:p>
    <w:p w14:paraId="2EAB93DF" w14:textId="77777777" w:rsidR="009E2B77" w:rsidRPr="007D770B" w:rsidRDefault="009E2B77" w:rsidP="00F96B1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For a liability measured at fair value that is issued with an inseparable third-party credit support requirement, the issuer shall disclose the existence of that credit support requirement and whether it is reflected in the fair value measurement of that liability.</w:t>
      </w:r>
    </w:p>
    <w:p w14:paraId="0754AB68" w14:textId="77777777" w:rsidR="009E2B77" w:rsidRPr="007D770B" w:rsidRDefault="00F9744B" w:rsidP="004F05C7">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 xml:space="preserve">A bank </w:t>
      </w:r>
      <w:r w:rsidR="00572DED" w:rsidRPr="007D770B">
        <w:rPr>
          <w:rFonts w:ascii="Times New Roman" w:hAnsi="Times New Roman"/>
          <w:lang w:val="en-US"/>
        </w:rPr>
        <w:t xml:space="preserve">shall </w:t>
      </w:r>
      <w:r w:rsidR="009E2B77" w:rsidRPr="007D770B">
        <w:rPr>
          <w:rFonts w:ascii="Times New Roman" w:hAnsi="Times New Roman"/>
          <w:lang w:val="en-US"/>
        </w:rPr>
        <w:t>disclose the quantitative information required by this section in tabular format, unless another format is more appropriate.</w:t>
      </w:r>
    </w:p>
    <w:p w14:paraId="56405CA4" w14:textId="77777777" w:rsidR="00C505FF" w:rsidRPr="007D770B" w:rsidRDefault="00C505FF" w:rsidP="004F05C7">
      <w:pPr>
        <w:autoSpaceDE w:val="0"/>
        <w:autoSpaceDN w:val="0"/>
        <w:adjustRightInd w:val="0"/>
        <w:spacing w:before="240" w:line="240" w:lineRule="auto"/>
        <w:ind w:left="0"/>
        <w:rPr>
          <w:rFonts w:ascii="Times New Roman" w:hAnsi="Times New Roman"/>
          <w:lang w:val="en-US"/>
        </w:rPr>
      </w:pPr>
    </w:p>
    <w:p w14:paraId="7E2EF1B1" w14:textId="77777777" w:rsidR="00C505FF" w:rsidRPr="007D770B" w:rsidRDefault="00C505FF" w:rsidP="004F05C7">
      <w:pPr>
        <w:autoSpaceDE w:val="0"/>
        <w:autoSpaceDN w:val="0"/>
        <w:adjustRightInd w:val="0"/>
        <w:spacing w:before="240" w:line="240" w:lineRule="auto"/>
        <w:ind w:left="0"/>
        <w:rPr>
          <w:rFonts w:ascii="Times New Roman" w:hAnsi="Times New Roman"/>
          <w:lang w:val="en-US"/>
        </w:rPr>
        <w:sectPr w:rsidR="00C505FF" w:rsidRPr="007D770B" w:rsidSect="000610F9">
          <w:headerReference w:type="even" r:id="rId92"/>
          <w:headerReference w:type="default" r:id="rId93"/>
          <w:headerReference w:type="first" r:id="rId94"/>
          <w:pgSz w:w="11906" w:h="16838"/>
          <w:pgMar w:top="1268" w:right="680" w:bottom="900" w:left="1134" w:header="510" w:footer="404" w:gutter="0"/>
          <w:cols w:space="708"/>
          <w:titlePg/>
          <w:docGrid w:linePitch="360"/>
        </w:sectPr>
      </w:pPr>
    </w:p>
    <w:p w14:paraId="69FB05A4" w14:textId="77777777" w:rsidR="00C505FF" w:rsidRPr="007D770B" w:rsidRDefault="00C505FF" w:rsidP="00C43712">
      <w:pPr>
        <w:autoSpaceDE w:val="0"/>
        <w:autoSpaceDN w:val="0"/>
        <w:adjustRightInd w:val="0"/>
        <w:spacing w:before="240" w:line="240" w:lineRule="auto"/>
        <w:ind w:left="0"/>
        <w:rPr>
          <w:rFonts w:ascii="Times New Roman" w:hAnsi="Times New Roman"/>
          <w:b/>
          <w:lang w:val="en-US"/>
        </w:rPr>
      </w:pPr>
      <w:r w:rsidRPr="007D770B">
        <w:rPr>
          <w:rFonts w:ascii="Times New Roman" w:hAnsi="Times New Roman"/>
          <w:b/>
          <w:lang w:val="en-US"/>
        </w:rPr>
        <w:lastRenderedPageBreak/>
        <w:t>Appendix 1. Present value methods of valuation</w:t>
      </w:r>
    </w:p>
    <w:p w14:paraId="5E14459C" w14:textId="77777777" w:rsidR="00C505FF" w:rsidRPr="007D770B" w:rsidRDefault="00C505FF" w:rsidP="00C505FF">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The present value method used to measure fair value will depend on the facts and circumstances specific to the asset or liability being measured (e.g., whether prices for comparable assets or liabilities are observable in the market) and the availability of sufficient data.</w:t>
      </w:r>
    </w:p>
    <w:p w14:paraId="4ABF5421" w14:textId="77777777" w:rsidR="00C505FF" w:rsidRPr="007D770B" w:rsidRDefault="00C505FF" w:rsidP="00C505FF">
      <w:pPr>
        <w:autoSpaceDE w:val="0"/>
        <w:autoSpaceDN w:val="0"/>
        <w:adjustRightInd w:val="0"/>
        <w:spacing w:before="240" w:line="240" w:lineRule="auto"/>
        <w:ind w:left="0"/>
        <w:rPr>
          <w:rFonts w:ascii="Times New Roman" w:hAnsi="Times New Roman"/>
          <w:b/>
          <w:lang w:val="en-US"/>
        </w:rPr>
      </w:pPr>
      <w:r w:rsidRPr="007D770B">
        <w:rPr>
          <w:rFonts w:ascii="Times New Roman" w:hAnsi="Times New Roman"/>
          <w:b/>
          <w:lang w:val="en-US"/>
        </w:rPr>
        <w:t>Components of present value measurement</w:t>
      </w:r>
    </w:p>
    <w:p w14:paraId="290B4364" w14:textId="77777777" w:rsidR="00C505FF" w:rsidRPr="007D770B" w:rsidRDefault="00C505FF" w:rsidP="00C505FF">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Present value (i.e. the application of the income approach) is a tool used to link future amounts (e.g. cash flows or values) to a present value using a discount rate. Determining the fair value of an asset or liability using the present value approach encompasses all of the following elements from the perspective of market participants at the measurement date:</w:t>
      </w:r>
    </w:p>
    <w:p w14:paraId="30251F28" w14:textId="77777777" w:rsidR="00C505FF" w:rsidRPr="007D770B" w:rsidRDefault="00C505FF" w:rsidP="00AE698A">
      <w:pPr>
        <w:numPr>
          <w:ilvl w:val="0"/>
          <w:numId w:val="304"/>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an estimate of the future cash flows from the asset or liability being measured.</w:t>
      </w:r>
    </w:p>
    <w:p w14:paraId="1B29147B" w14:textId="77777777" w:rsidR="00C505FF" w:rsidRPr="007D770B" w:rsidRDefault="00C505FF" w:rsidP="00AE698A">
      <w:pPr>
        <w:numPr>
          <w:ilvl w:val="0"/>
          <w:numId w:val="304"/>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expectations regarding possible changes in the amount and timing of cash flows representing the inherent uncertainties in cash flows.</w:t>
      </w:r>
    </w:p>
    <w:p w14:paraId="12036916" w14:textId="77777777" w:rsidR="00C505FF" w:rsidRPr="007D770B" w:rsidRDefault="00C505FF" w:rsidP="00AE698A">
      <w:pPr>
        <w:numPr>
          <w:ilvl w:val="0"/>
          <w:numId w:val="304"/>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the time value of money, represented by the rate on risk-free monetary assets that have maturities or terms that match the period covered by the cash flows and that present no uncertainty as to timing and no risk of default to the holder (i.e., the risk-free interest rate).</w:t>
      </w:r>
    </w:p>
    <w:p w14:paraId="27E31F86" w14:textId="77777777" w:rsidR="00C505FF" w:rsidRPr="007D770B" w:rsidRDefault="00C505FF" w:rsidP="00AE698A">
      <w:pPr>
        <w:numPr>
          <w:ilvl w:val="0"/>
          <w:numId w:val="304"/>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the price paid for accepting the uncertainty inherent in cash flows (i.e., the risk premium).</w:t>
      </w:r>
    </w:p>
    <w:p w14:paraId="4F3D29CD" w14:textId="77777777" w:rsidR="00C505FF" w:rsidRPr="007D770B" w:rsidRDefault="00C505FF" w:rsidP="00AE698A">
      <w:pPr>
        <w:numPr>
          <w:ilvl w:val="0"/>
          <w:numId w:val="304"/>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other factors that market participants would take into account under the circumstances.</w:t>
      </w:r>
    </w:p>
    <w:p w14:paraId="78797A4E" w14:textId="77777777" w:rsidR="00C505FF" w:rsidRPr="007D770B" w:rsidRDefault="00C505FF" w:rsidP="00AE698A">
      <w:pPr>
        <w:numPr>
          <w:ilvl w:val="0"/>
          <w:numId w:val="304"/>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in respect of a liability, the default risk relating to that liability, including the entity's (i.e. the obligor's) own credit risk.</w:t>
      </w:r>
    </w:p>
    <w:p w14:paraId="6756048F" w14:textId="77777777" w:rsidR="00C505FF" w:rsidRPr="007D770B" w:rsidRDefault="00C505FF" w:rsidP="00C505FF">
      <w:pPr>
        <w:autoSpaceDE w:val="0"/>
        <w:autoSpaceDN w:val="0"/>
        <w:adjustRightInd w:val="0"/>
        <w:spacing w:before="240" w:line="240" w:lineRule="auto"/>
        <w:ind w:left="0"/>
        <w:rPr>
          <w:rFonts w:ascii="Times New Roman" w:hAnsi="Times New Roman"/>
          <w:b/>
          <w:lang w:val="en-US"/>
        </w:rPr>
      </w:pPr>
      <w:r w:rsidRPr="007D770B">
        <w:rPr>
          <w:rFonts w:ascii="Times New Roman" w:hAnsi="Times New Roman"/>
          <w:b/>
          <w:lang w:val="en-US"/>
        </w:rPr>
        <w:t>General principles</w:t>
      </w:r>
    </w:p>
    <w:p w14:paraId="69F9D676" w14:textId="77777777" w:rsidR="00C505FF" w:rsidRPr="007D770B" w:rsidRDefault="00C505FF" w:rsidP="00C505FF">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Present value techniques differ depending on how they utilize the elements described above. However, all of the following general principles govern the application of any present value method used to measure fair value:</w:t>
      </w:r>
    </w:p>
    <w:p w14:paraId="30A55804" w14:textId="77777777" w:rsidR="00C505FF" w:rsidRPr="007D770B" w:rsidRDefault="00C505FF" w:rsidP="00AE698A">
      <w:pPr>
        <w:numPr>
          <w:ilvl w:val="0"/>
          <w:numId w:val="305"/>
        </w:numPr>
        <w:autoSpaceDE w:val="0"/>
        <w:autoSpaceDN w:val="0"/>
        <w:adjustRightInd w:val="0"/>
        <w:spacing w:before="240" w:line="240" w:lineRule="auto"/>
        <w:ind w:left="720"/>
        <w:rPr>
          <w:rFonts w:ascii="Times New Roman" w:hAnsi="Times New Roman"/>
          <w:lang w:val="en-US"/>
        </w:rPr>
      </w:pPr>
      <w:r w:rsidRPr="007D770B">
        <w:rPr>
          <w:rFonts w:ascii="Times New Roman" w:hAnsi="Times New Roman"/>
          <w:lang w:val="en-US"/>
        </w:rPr>
        <w:t>Cash flows and discount rates should reflect the assumptions that market participants would use when pricing the asset or liability.</w:t>
      </w:r>
    </w:p>
    <w:p w14:paraId="522E618D" w14:textId="77777777" w:rsidR="00C505FF" w:rsidRPr="007D770B" w:rsidRDefault="00C505FF" w:rsidP="00AE698A">
      <w:pPr>
        <w:numPr>
          <w:ilvl w:val="0"/>
          <w:numId w:val="305"/>
        </w:numPr>
        <w:autoSpaceDE w:val="0"/>
        <w:autoSpaceDN w:val="0"/>
        <w:adjustRightInd w:val="0"/>
        <w:spacing w:before="240" w:line="240" w:lineRule="auto"/>
        <w:ind w:left="720"/>
        <w:rPr>
          <w:rFonts w:ascii="Times New Roman" w:hAnsi="Times New Roman"/>
          <w:lang w:val="en-US"/>
        </w:rPr>
      </w:pPr>
      <w:r w:rsidRPr="007D770B">
        <w:rPr>
          <w:rFonts w:ascii="Times New Roman" w:hAnsi="Times New Roman"/>
          <w:lang w:val="en-US"/>
        </w:rPr>
        <w:t>For cash flows and discount rates, only those factors that are relevant to the asset or liability being measured should be considered.</w:t>
      </w:r>
    </w:p>
    <w:p w14:paraId="58613EBB" w14:textId="77777777" w:rsidR="00C505FF" w:rsidRPr="007D770B" w:rsidRDefault="00C505FF" w:rsidP="00AE698A">
      <w:pPr>
        <w:numPr>
          <w:ilvl w:val="0"/>
          <w:numId w:val="305"/>
        </w:numPr>
        <w:autoSpaceDE w:val="0"/>
        <w:autoSpaceDN w:val="0"/>
        <w:adjustRightInd w:val="0"/>
        <w:spacing w:before="240" w:line="240" w:lineRule="auto"/>
        <w:ind w:left="720"/>
        <w:rPr>
          <w:rFonts w:ascii="Times New Roman" w:hAnsi="Times New Roman"/>
          <w:lang w:val="en-US"/>
        </w:rPr>
      </w:pPr>
      <w:r w:rsidRPr="007D770B">
        <w:rPr>
          <w:rFonts w:ascii="Times New Roman" w:hAnsi="Times New Roman"/>
          <w:lang w:val="en-US"/>
        </w:rPr>
        <w:t xml:space="preserve">In order to avoid double counting or to avoid missing the impact of risk factors, discount rates should reflect assumptions that are compatible with those inherent in the cash flows. For example, a discount rate that reflects the uncertainty of expectations of future default would be acceptable when using contractual cash flows from the loan (i.e., the discount rate adjustment method). The same rate should not be applied when using expected (i.e., probability-weighted) cash flows (i.e., the expected present value method) because the expected cash flows already reflect assumptions about the uncertainty of future default; instead, a discount rate commensurate with the risk inherent in the expected cash flows should be used. </w:t>
      </w:r>
    </w:p>
    <w:p w14:paraId="25B063FA" w14:textId="77777777" w:rsidR="00C505FF" w:rsidRPr="007D770B" w:rsidRDefault="00C505FF" w:rsidP="00AE698A">
      <w:pPr>
        <w:numPr>
          <w:ilvl w:val="0"/>
          <w:numId w:val="305"/>
        </w:numPr>
        <w:autoSpaceDE w:val="0"/>
        <w:autoSpaceDN w:val="0"/>
        <w:adjustRightInd w:val="0"/>
        <w:spacing w:before="240" w:line="240" w:lineRule="auto"/>
        <w:ind w:left="720"/>
        <w:rPr>
          <w:rFonts w:ascii="Times New Roman" w:hAnsi="Times New Roman"/>
          <w:lang w:val="en-US"/>
        </w:rPr>
      </w:pPr>
      <w:r w:rsidRPr="007D770B">
        <w:rPr>
          <w:rFonts w:ascii="Times New Roman" w:hAnsi="Times New Roman"/>
          <w:lang w:val="en-US"/>
        </w:rPr>
        <w:t>Assumptions about cash flows and discount rates should be consistent with each other. For example, nominal cash flows that include the effect of inflation should be discounted at a rate that includes the effect of inflation. The nominal risk-free interest rate includes the effect of inflation. Actual cash flows that exclude the effect of inflation should be discounted at a rate that excludes the effect of inflation. Similarly, cash flows net of tax should be discounted using the net of tax discount rate. Pre-tax cash flows should be discounted at a rate consistent with these cash flows.</w:t>
      </w:r>
    </w:p>
    <w:p w14:paraId="7AF831B4" w14:textId="77777777" w:rsidR="00C505FF" w:rsidRPr="007D770B" w:rsidRDefault="00C505FF" w:rsidP="00AE698A">
      <w:pPr>
        <w:numPr>
          <w:ilvl w:val="0"/>
          <w:numId w:val="305"/>
        </w:numPr>
        <w:autoSpaceDE w:val="0"/>
        <w:autoSpaceDN w:val="0"/>
        <w:adjustRightInd w:val="0"/>
        <w:spacing w:before="240" w:line="240" w:lineRule="auto"/>
        <w:ind w:left="720"/>
        <w:rPr>
          <w:rFonts w:ascii="Times New Roman" w:hAnsi="Times New Roman"/>
          <w:lang w:val="en-US"/>
        </w:rPr>
      </w:pPr>
      <w:r w:rsidRPr="007D770B">
        <w:rPr>
          <w:rFonts w:ascii="Times New Roman" w:hAnsi="Times New Roman"/>
          <w:lang w:val="en-US"/>
        </w:rPr>
        <w:t>Discount rates should take into account the underlying economic factors related to the currency in which the cash flows are denominated.</w:t>
      </w:r>
    </w:p>
    <w:p w14:paraId="1E97B5F6" w14:textId="77777777" w:rsidR="00C505FF" w:rsidRPr="007D770B" w:rsidRDefault="00C505FF" w:rsidP="00C505FF">
      <w:pPr>
        <w:autoSpaceDE w:val="0"/>
        <w:autoSpaceDN w:val="0"/>
        <w:adjustRightInd w:val="0"/>
        <w:spacing w:before="240" w:line="240" w:lineRule="auto"/>
        <w:ind w:left="0"/>
        <w:rPr>
          <w:rFonts w:ascii="Times New Roman" w:hAnsi="Times New Roman"/>
          <w:b/>
          <w:lang w:val="en-US"/>
        </w:rPr>
      </w:pPr>
      <w:r w:rsidRPr="007D770B">
        <w:rPr>
          <w:rFonts w:ascii="Times New Roman" w:hAnsi="Times New Roman"/>
          <w:b/>
          <w:lang w:val="en-US"/>
        </w:rPr>
        <w:t>Risk and uncertainty</w:t>
      </w:r>
    </w:p>
    <w:p w14:paraId="3D2C63AD" w14:textId="77777777" w:rsidR="00C505FF" w:rsidRPr="007D770B" w:rsidRDefault="00C505FF" w:rsidP="00C505FF">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The determination of fair value using present value techniques is subject to uncertainty because the cash flows used are estimates rather than known amounts. In many cases, both the amount and timing of cash flows are uncertain. Even contractually fixed amounts, such as loan payments, are uncertain if there is a risk of default.</w:t>
      </w:r>
    </w:p>
    <w:p w14:paraId="6AF8BE5C" w14:textId="77777777" w:rsidR="00C505FF" w:rsidRPr="007D770B" w:rsidRDefault="00C505FF" w:rsidP="00C505FF">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lastRenderedPageBreak/>
        <w:t>Market participants typically require compensation (i.e., a risk premium) for accepting the inherent uncertainty in the cash flows of an asset or liability. A fair value measurement must include a risk premium that reflects the amount that market participants would require as compensation for accepting the uncertainty inherent in the cash flows. Otherwise, the valuation will not reliably represent fair value. In some cases, determining the appropriate risk premium may be difficult. However, the degree of difficulty is not, in itself, a reason sufficient to exclude the risk premium.</w:t>
      </w:r>
    </w:p>
    <w:p w14:paraId="63ABB972" w14:textId="77777777" w:rsidR="00C505FF" w:rsidRPr="00C505FF" w:rsidRDefault="00C505FF" w:rsidP="00C505FF">
      <w:pPr>
        <w:autoSpaceDE w:val="0"/>
        <w:autoSpaceDN w:val="0"/>
        <w:adjustRightInd w:val="0"/>
        <w:spacing w:before="240" w:line="240" w:lineRule="auto"/>
        <w:ind w:left="0"/>
        <w:rPr>
          <w:rFonts w:ascii="Times New Roman" w:hAnsi="Times New Roman"/>
        </w:rPr>
      </w:pPr>
      <w:r w:rsidRPr="007D770B">
        <w:rPr>
          <w:rFonts w:ascii="Times New Roman" w:hAnsi="Times New Roman"/>
          <w:lang w:val="en-US"/>
        </w:rPr>
        <w:t xml:space="preserve">Present value methods of valuation differ depending on the risk adjustments they make and the type of cash flows they use. </w:t>
      </w:r>
      <w:r w:rsidRPr="00C505FF">
        <w:rPr>
          <w:rFonts w:ascii="Times New Roman" w:hAnsi="Times New Roman"/>
        </w:rPr>
        <w:t>For example:</w:t>
      </w:r>
    </w:p>
    <w:p w14:paraId="4DF62527" w14:textId="77777777" w:rsidR="00C505FF" w:rsidRPr="007D770B" w:rsidRDefault="00C505FF" w:rsidP="00AE698A">
      <w:pPr>
        <w:numPr>
          <w:ilvl w:val="0"/>
          <w:numId w:val="306"/>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The discount rate adjustment method uses the risk-adjusted discount rate and the contractual, promised or most likely cash flows.</w:t>
      </w:r>
    </w:p>
    <w:p w14:paraId="76FC21BB" w14:textId="77777777" w:rsidR="00C505FF" w:rsidRPr="007D770B" w:rsidRDefault="00C505FF" w:rsidP="00AE698A">
      <w:pPr>
        <w:numPr>
          <w:ilvl w:val="0"/>
          <w:numId w:val="306"/>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The first expected present value method uses risk-adjusted expected cash flows and a risk-free rate.</w:t>
      </w:r>
    </w:p>
    <w:p w14:paraId="41A6F799" w14:textId="77777777" w:rsidR="00C505FF" w:rsidRPr="007D770B" w:rsidRDefault="00C505FF" w:rsidP="00AE698A">
      <w:pPr>
        <w:numPr>
          <w:ilvl w:val="0"/>
          <w:numId w:val="306"/>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The second expected present value method uses expected cash flows that are not risk-adjusted and a discount rate adjusted for the risk premium required by market participants. This rate differs from the rate used in the discount rate adjustment method.</w:t>
      </w:r>
    </w:p>
    <w:p w14:paraId="3D757B61" w14:textId="77777777" w:rsidR="00C505FF" w:rsidRPr="007D770B" w:rsidRDefault="00C505FF" w:rsidP="00C505FF">
      <w:pPr>
        <w:autoSpaceDE w:val="0"/>
        <w:autoSpaceDN w:val="0"/>
        <w:adjustRightInd w:val="0"/>
        <w:spacing w:before="240" w:line="240" w:lineRule="auto"/>
        <w:ind w:left="0"/>
        <w:rPr>
          <w:rFonts w:ascii="Times New Roman" w:hAnsi="Times New Roman"/>
          <w:b/>
          <w:lang w:val="en-US"/>
        </w:rPr>
      </w:pPr>
      <w:r w:rsidRPr="007D770B">
        <w:rPr>
          <w:rFonts w:ascii="Times New Roman" w:hAnsi="Times New Roman"/>
          <w:b/>
          <w:lang w:val="en-US"/>
        </w:rPr>
        <w:t>Discount rate adjustment method</w:t>
      </w:r>
    </w:p>
    <w:p w14:paraId="5F0B0710" w14:textId="77777777" w:rsidR="00C505FF" w:rsidRPr="007D770B" w:rsidRDefault="00C505FF" w:rsidP="00C505FF">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The discount rate adjustment method uses a single set of cash flows from a range of possible settlement amounts, whether contractual or promised (as in the case of a bond), or the most likely cash flows. In all cases without exception, these cash flows are contingent and dependent on the occurrence of specific events (e.g., the contractual or promised cash flows of a bond are contingent and dependent on the occurrence of an event of default by the debtor). The discount rate used for the discount rate adjustment method arises from observable rates of return on comparable assets or liabilities traded in the market. Accordingly, the contractual cash flows that are contractually required, promised or most likely to occur are discounted at an observable or estimated market rate for those contingent cash flows (i.e. market rate of return).</w:t>
      </w:r>
    </w:p>
    <w:p w14:paraId="451ACDF3" w14:textId="77777777" w:rsidR="00C505FF" w:rsidRPr="007D770B" w:rsidRDefault="00C505FF" w:rsidP="00C505FF">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The discount rate adjustment method requires an analysis of market data for comparable assets or liabilities. Comparability is established by considering the nature of the cash flows (e.g., whether the cash flows are contractually specified or not and whether they are likely to respond similarly to changes in economic conditions) and other factors (e.g., credit standing, collateral, timing, covenants and liquidity).</w:t>
      </w:r>
    </w:p>
    <w:p w14:paraId="305BB4A7" w14:textId="517E28D6" w:rsidR="00C505FF" w:rsidRPr="007D770B" w:rsidRDefault="00C505FF" w:rsidP="00C505FF">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 xml:space="preserve">Alternatively, if an individual comparable asset or liability does not reliably reflect the risk inherent in the cash flows associated with the asset or liability being measured, a discount rate may be set using inputs from a number of comparable assets or liabilities together with a risk-free yield curve (i.e. using the </w:t>
      </w:r>
      <w:r w:rsidR="00802136" w:rsidRPr="007D770B">
        <w:rPr>
          <w:rFonts w:ascii="Times New Roman" w:hAnsi="Times New Roman"/>
          <w:lang w:val="en-US"/>
        </w:rPr>
        <w:t>"</w:t>
      </w:r>
      <w:r w:rsidRPr="007D770B">
        <w:rPr>
          <w:rFonts w:ascii="Times New Roman" w:hAnsi="Times New Roman"/>
          <w:lang w:val="en-US"/>
        </w:rPr>
        <w:t>cumulative construction</w:t>
      </w:r>
      <w:r w:rsidR="00802136" w:rsidRPr="007D770B">
        <w:rPr>
          <w:rFonts w:ascii="Times New Roman" w:hAnsi="Times New Roman"/>
          <w:lang w:val="en-US"/>
        </w:rPr>
        <w:t xml:space="preserve">" </w:t>
      </w:r>
      <w:r w:rsidRPr="007D770B">
        <w:rPr>
          <w:rFonts w:ascii="Times New Roman" w:hAnsi="Times New Roman"/>
          <w:lang w:val="en-US"/>
        </w:rPr>
        <w:t>method).</w:t>
      </w:r>
    </w:p>
    <w:p w14:paraId="492E282F" w14:textId="77777777" w:rsidR="00C505FF" w:rsidRPr="00C505FF" w:rsidRDefault="00C505FF" w:rsidP="00C505FF">
      <w:pPr>
        <w:autoSpaceDE w:val="0"/>
        <w:autoSpaceDN w:val="0"/>
        <w:adjustRightInd w:val="0"/>
        <w:spacing w:before="240" w:line="240" w:lineRule="auto"/>
        <w:ind w:left="0"/>
        <w:rPr>
          <w:rFonts w:ascii="Times New Roman" w:hAnsi="Times New Roman"/>
        </w:rPr>
      </w:pPr>
      <w:r w:rsidRPr="007D770B">
        <w:rPr>
          <w:rFonts w:ascii="Times New Roman" w:hAnsi="Times New Roman"/>
          <w:lang w:val="en-US"/>
        </w:rPr>
        <w:t xml:space="preserve">To illustrate the cumulative construction method, assume that Asset A represents a contractual right to receive 800 cash units after one year (i.e., there is no timing uncertainty). There is an established market for comparable assets and information about those assets, including pricing information, is readily available. </w:t>
      </w:r>
      <w:r w:rsidRPr="00C505FF">
        <w:rPr>
          <w:rFonts w:ascii="Times New Roman" w:hAnsi="Times New Roman"/>
        </w:rPr>
        <w:t>Of these comparable assets:</w:t>
      </w:r>
    </w:p>
    <w:p w14:paraId="0AC871CA" w14:textId="77777777" w:rsidR="00C505FF" w:rsidRPr="007D770B" w:rsidRDefault="00C505FF" w:rsidP="00AE698A">
      <w:pPr>
        <w:numPr>
          <w:ilvl w:val="0"/>
          <w:numId w:val="307"/>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 xml:space="preserve">Asset B represents a contractual right to receive 1,200 cash units after one year, and its market price is 1,083 cash units. Thus, the implied annualized rate of return (i.e., the market rate of return for one year) is 10.8 percent </w:t>
      </w:r>
      <w:r w:rsidRPr="007D770B">
        <w:rPr>
          <w:rFonts w:ascii="Times New Roman" w:hAnsi="Times New Roman"/>
          <w:lang w:val="en-US"/>
        </w:rPr>
        <w:br/>
        <w:t>[(1,200 / 1,083) - 1].</w:t>
      </w:r>
    </w:p>
    <w:p w14:paraId="46C1F646" w14:textId="77777777" w:rsidR="00C505FF" w:rsidRPr="007D770B" w:rsidRDefault="00C505FF" w:rsidP="00AE698A">
      <w:pPr>
        <w:numPr>
          <w:ilvl w:val="0"/>
          <w:numId w:val="307"/>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 xml:space="preserve">Asset C represents a contractual right to receive 700 cash units after two years and its market price is 566 cash units. Thus, the implied annualized rate of return (that is, the market rate of return in two years) is 11.2 percent </w:t>
      </w:r>
      <w:r w:rsidRPr="007D770B">
        <w:rPr>
          <w:rFonts w:ascii="Times New Roman" w:hAnsi="Times New Roman"/>
          <w:lang w:val="en-US"/>
        </w:rPr>
        <w:br/>
        <w:t>[(700 / 566) ^0.5 - 1].</w:t>
      </w:r>
    </w:p>
    <w:p w14:paraId="1A11B57F" w14:textId="77777777" w:rsidR="00C505FF" w:rsidRPr="007D770B" w:rsidRDefault="00C505FF" w:rsidP="00AE698A">
      <w:pPr>
        <w:numPr>
          <w:ilvl w:val="0"/>
          <w:numId w:val="307"/>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All three assets are comparable with respect to risk (i.e., variance of possible payoffs and credit).</w:t>
      </w:r>
    </w:p>
    <w:p w14:paraId="346C895A" w14:textId="77777777" w:rsidR="00C505FF" w:rsidRPr="007D770B" w:rsidRDefault="00C505FF" w:rsidP="00C505FF">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Based on an analysis of the timing of the contractual payments to be received in respect of Asset A relative to the timing provided for Asset B and Asset C (i.e. one year for Asset B versus two years for Asset C), Asset B is considered to be more comparable to Asset A. Using the contractual payment to be received in respect of Asset A (800 cash units) and the one-year market rate stipulated in relation to Asset B (10.8 percent), the fair value of Asset A is 722 cash units (800 / 1.108). Alternatively, in the absence of available market information for Asset B, the market rate could be derived from information on Asset C using the cumulative construction method. In this case, the two-year market rate indicated for Asset C (11.2 percent) would be adjusted to obtain the one-year market rate using the time structure of the risk-free yield curve. Additional information and analysis may be required to determine whether the risk premiums for one-year and two-year assets are the same. If it is determined that the risk premiums for one-year and two-year assets are not the same, the two-year market rate of return should be further adjusted for this effect.</w:t>
      </w:r>
    </w:p>
    <w:p w14:paraId="42DE0EB9" w14:textId="092E2DBC" w:rsidR="00C505FF" w:rsidRPr="007D770B" w:rsidRDefault="00C505FF" w:rsidP="00C505FF">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lastRenderedPageBreak/>
        <w:t xml:space="preserve">When the discount rate adjustment method is applied to fixed receipts or payments, an adjustment for the risk inherent in the cash flows </w:t>
      </w:r>
      <w:r w:rsidR="00F34077" w:rsidRPr="007D770B">
        <w:rPr>
          <w:rFonts w:ascii="Times New Roman" w:hAnsi="Times New Roman"/>
          <w:lang w:val="en-US"/>
        </w:rPr>
        <w:t xml:space="preserve">associated with </w:t>
      </w:r>
      <w:r w:rsidRPr="007D770B">
        <w:rPr>
          <w:rFonts w:ascii="Times New Roman" w:hAnsi="Times New Roman"/>
          <w:lang w:val="en-US"/>
        </w:rPr>
        <w:t>the asset or liability being measured is included in the discount rate. In some cases where the discount rate adjustment method is applied to cash flows that are not receipts or payments, adjustments to the cash flows may be required to achieve comparability with the observable asset or liability from which the discount rate was derived.</w:t>
      </w:r>
    </w:p>
    <w:p w14:paraId="5BE79E8E" w14:textId="77777777" w:rsidR="00C505FF" w:rsidRPr="007D770B" w:rsidRDefault="00C505FF" w:rsidP="00C505FF">
      <w:pPr>
        <w:autoSpaceDE w:val="0"/>
        <w:autoSpaceDN w:val="0"/>
        <w:adjustRightInd w:val="0"/>
        <w:spacing w:before="240" w:line="240" w:lineRule="auto"/>
        <w:ind w:left="0"/>
        <w:rPr>
          <w:rFonts w:ascii="Times New Roman" w:hAnsi="Times New Roman"/>
          <w:b/>
          <w:lang w:val="en-US"/>
        </w:rPr>
      </w:pPr>
      <w:r w:rsidRPr="007D770B">
        <w:rPr>
          <w:rFonts w:ascii="Times New Roman" w:hAnsi="Times New Roman"/>
          <w:b/>
          <w:lang w:val="en-US"/>
        </w:rPr>
        <w:t>Valuation method based on expected present value</w:t>
      </w:r>
    </w:p>
    <w:p w14:paraId="5FBA9523" w14:textId="77777777" w:rsidR="00C505FF" w:rsidRPr="007D770B" w:rsidRDefault="00C505FF" w:rsidP="00C505FF">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The expected present value method uses as a starting point a set of cash flows that represents a probability-weighted average of all possible future cash flows (i.e. expected cash flows). The resulting estimated value is identical to the expected value, which in statistical terms is a weighted average of the possible value of a discrete random variable with an appropriate probability weighting. As all possible cash flows are probability weighted, the resulting expected cash flow is not contingent and is not dependent on the occurrence of a specific event (unlike the cash flows used for the discount rate adjustment method).</w:t>
      </w:r>
    </w:p>
    <w:p w14:paraId="13F83A9B" w14:textId="77777777" w:rsidR="00C505FF" w:rsidRPr="00C505FF" w:rsidRDefault="00C505FF" w:rsidP="00C505FF">
      <w:pPr>
        <w:autoSpaceDE w:val="0"/>
        <w:autoSpaceDN w:val="0"/>
        <w:adjustRightInd w:val="0"/>
        <w:spacing w:before="240" w:line="240" w:lineRule="auto"/>
        <w:ind w:left="0"/>
        <w:rPr>
          <w:rFonts w:ascii="Times New Roman" w:hAnsi="Times New Roman"/>
        </w:rPr>
      </w:pPr>
      <w:r w:rsidRPr="007D770B">
        <w:rPr>
          <w:rFonts w:ascii="Times New Roman" w:hAnsi="Times New Roman"/>
          <w:lang w:val="en-US"/>
        </w:rPr>
        <w:t xml:space="preserve">When making an investment decision, risk-averse market participants would consider the risk that actual cash flows may differ from expected cash flows. </w:t>
      </w:r>
      <w:r w:rsidRPr="00C505FF">
        <w:rPr>
          <w:rFonts w:ascii="Times New Roman" w:hAnsi="Times New Roman"/>
        </w:rPr>
        <w:t>Portfolio choice theory distinguishes between two types of risk:</w:t>
      </w:r>
    </w:p>
    <w:p w14:paraId="34ED0C73" w14:textId="77777777" w:rsidR="00C505FF" w:rsidRPr="007D770B" w:rsidRDefault="00C505FF" w:rsidP="00AE698A">
      <w:pPr>
        <w:numPr>
          <w:ilvl w:val="0"/>
          <w:numId w:val="308"/>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Unsystematic (diversifiable) risk that is specific to a particular asset or liability.</w:t>
      </w:r>
    </w:p>
    <w:p w14:paraId="05035DD7" w14:textId="77777777" w:rsidR="00C505FF" w:rsidRPr="007D770B" w:rsidRDefault="00C505FF" w:rsidP="00AE698A">
      <w:pPr>
        <w:numPr>
          <w:ilvl w:val="0"/>
          <w:numId w:val="308"/>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The systematic (non-diversifiable) risk that is common to the asset or liability and other units in the diversified portfolio.</w:t>
      </w:r>
    </w:p>
    <w:p w14:paraId="6D33AE36" w14:textId="77777777" w:rsidR="00C505FF" w:rsidRPr="007D770B" w:rsidRDefault="00C505FF" w:rsidP="00C505FF">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Portfolio choice theory holds that in a market in equilibrium, market participants are compensated for taking only the systematic risk inherent in cash flows. (In inefficient or out-of-equilibrium markets, other forms of income or compensation may be available.)</w:t>
      </w:r>
    </w:p>
    <w:p w14:paraId="72AF34CA" w14:textId="77777777" w:rsidR="00C505FF" w:rsidRPr="007D770B" w:rsidRDefault="00C505FF" w:rsidP="00C505FF">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The first expected present value method adjusts the expected cash flows associated with an asset for systematic (i.e., market) risk by subtracting the cash premium for risk (i.e., the expected risk-adjusted cash flows). These risk-adjusted expected cash flows represent reliable cash flow equivalents that are discounted at the risk-free interest rate.</w:t>
      </w:r>
    </w:p>
    <w:p w14:paraId="46892E3B" w14:textId="77777777" w:rsidR="00C505FF" w:rsidRPr="007D770B" w:rsidRDefault="00C505FF" w:rsidP="00C505FF">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A reliable cash flow equivalent refers to an expected cash flow (as defined) that is risk-adjusted so that a market participant is not dependent on exchanging a specified cash flow for an expected cash flow. For example, if a market participant wished to exchange an expected cash flow of 1,200 cash units for a specified cash flow of 1,000 cash units, the amount of 1,000 cash units would represent a safe equivalent for the amount of 1,200 cash units (i.e., the amount of 200 cash units would represent a cash risk premium). In this case, the market participant would be independent of the asset held.</w:t>
      </w:r>
    </w:p>
    <w:p w14:paraId="17BF6939" w14:textId="6921FAE7" w:rsidR="00C505FF" w:rsidRPr="007D770B" w:rsidRDefault="00C505FF" w:rsidP="00C505FF">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 xml:space="preserve">In contrast to the above, the second expected present value method makes an adjustment for systematic (i.e. market) risk by applying a risk premium to the risk-free interest rate. Accordingly, the expected cash flows are discounted at a rate that corresponds to the expected rate associated with the probability-weighted cash flows (i.e., the expected rate of return). Models used to price risk assets, such as the cost of capital model, can be used to estimate the expected rate of return. Because the discount rate used for the discount rate adjustment method is the rate of return attributable to the notional cash flows, it is likely to be higher than the discount rate used in the second valuation method of </w:t>
      </w:r>
      <w:r w:rsidR="00F34077" w:rsidRPr="007D770B">
        <w:rPr>
          <w:rFonts w:ascii="Times New Roman" w:hAnsi="Times New Roman"/>
          <w:lang w:val="en-US"/>
        </w:rPr>
        <w:t xml:space="preserve">expected present </w:t>
      </w:r>
      <w:r w:rsidRPr="007D770B">
        <w:rPr>
          <w:rFonts w:ascii="Times New Roman" w:hAnsi="Times New Roman"/>
          <w:lang w:val="en-US"/>
        </w:rPr>
        <w:t>value, which is the expected rate of return attributable to expected cash flows or probability-weighted cash flows.</w:t>
      </w:r>
    </w:p>
    <w:p w14:paraId="253476BE" w14:textId="77777777" w:rsidR="00C505FF" w:rsidRPr="007D770B" w:rsidRDefault="00C505FF" w:rsidP="00C505FF">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To illustrate the first and second methods, assume that an asset was expected to generate cash flows of 780 cash units after one year, which were determined on the basis of the possible cash flows and probabilities set out below. The applicable risk-free interest rate for cash flows with a one-year horizon is 5 per cent and the systematic risk premium for an asset with the same risk profile is 3 per cent.</w:t>
      </w:r>
    </w:p>
    <w:tbl>
      <w:tblPr>
        <w:tblW w:w="9990" w:type="dxa"/>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708"/>
        <w:gridCol w:w="1980"/>
        <w:gridCol w:w="4302"/>
      </w:tblGrid>
      <w:tr w:rsidR="00C505FF" w:rsidRPr="004D12FE" w14:paraId="3B5CC461" w14:textId="77777777" w:rsidTr="009731D7">
        <w:tc>
          <w:tcPr>
            <w:tcW w:w="3708" w:type="dxa"/>
            <w:shd w:val="clear" w:color="auto" w:fill="auto"/>
          </w:tcPr>
          <w:p w14:paraId="68BC11FD" w14:textId="77777777" w:rsidR="00C505FF" w:rsidRPr="009731D7" w:rsidRDefault="00C505FF" w:rsidP="009731D7">
            <w:pPr>
              <w:spacing w:after="0" w:line="240" w:lineRule="auto"/>
              <w:ind w:left="0"/>
              <w:jc w:val="center"/>
              <w:rPr>
                <w:rFonts w:ascii="Times New Roman" w:hAnsi="Times New Roman"/>
                <w:b/>
              </w:rPr>
            </w:pPr>
            <w:r w:rsidRPr="009731D7">
              <w:rPr>
                <w:rFonts w:ascii="Times New Roman" w:hAnsi="Times New Roman"/>
                <w:b/>
              </w:rPr>
              <w:t>Probable cash flows</w:t>
            </w:r>
          </w:p>
        </w:tc>
        <w:tc>
          <w:tcPr>
            <w:tcW w:w="1980" w:type="dxa"/>
            <w:shd w:val="clear" w:color="auto" w:fill="auto"/>
          </w:tcPr>
          <w:p w14:paraId="120B153E" w14:textId="77777777" w:rsidR="00C505FF" w:rsidRPr="009731D7" w:rsidRDefault="00C505FF" w:rsidP="009731D7">
            <w:pPr>
              <w:spacing w:after="0" w:line="240" w:lineRule="auto"/>
              <w:ind w:left="0"/>
              <w:jc w:val="center"/>
              <w:rPr>
                <w:rFonts w:ascii="Times New Roman" w:hAnsi="Times New Roman"/>
                <w:b/>
              </w:rPr>
            </w:pPr>
            <w:r w:rsidRPr="009731D7">
              <w:rPr>
                <w:rFonts w:ascii="Times New Roman" w:hAnsi="Times New Roman"/>
                <w:b/>
              </w:rPr>
              <w:t>probability</w:t>
            </w:r>
          </w:p>
        </w:tc>
        <w:tc>
          <w:tcPr>
            <w:tcW w:w="4302" w:type="dxa"/>
            <w:shd w:val="clear" w:color="auto" w:fill="auto"/>
          </w:tcPr>
          <w:p w14:paraId="4E3AA871" w14:textId="77777777" w:rsidR="00C505FF" w:rsidRPr="007D770B" w:rsidRDefault="00C505FF" w:rsidP="009731D7">
            <w:pPr>
              <w:spacing w:after="0" w:line="240" w:lineRule="auto"/>
              <w:ind w:left="0"/>
              <w:jc w:val="center"/>
              <w:rPr>
                <w:rFonts w:ascii="Times New Roman" w:hAnsi="Times New Roman"/>
                <w:b/>
                <w:lang w:val="en-US"/>
              </w:rPr>
            </w:pPr>
            <w:r w:rsidRPr="007D770B">
              <w:rPr>
                <w:rFonts w:ascii="Times New Roman" w:hAnsi="Times New Roman"/>
                <w:b/>
                <w:lang w:val="en-US"/>
              </w:rPr>
              <w:t>Probability-weighted cash flows are as follows</w:t>
            </w:r>
          </w:p>
        </w:tc>
      </w:tr>
      <w:tr w:rsidR="00C505FF" w:rsidRPr="009731D7" w14:paraId="0ABFD5F6" w14:textId="77777777" w:rsidTr="009731D7">
        <w:tc>
          <w:tcPr>
            <w:tcW w:w="3708" w:type="dxa"/>
            <w:shd w:val="clear" w:color="auto" w:fill="auto"/>
          </w:tcPr>
          <w:p w14:paraId="70E68218" w14:textId="77777777" w:rsidR="00C505FF" w:rsidRPr="009731D7" w:rsidRDefault="00C505FF" w:rsidP="009731D7">
            <w:pPr>
              <w:spacing w:after="0" w:line="240" w:lineRule="auto"/>
              <w:ind w:left="0"/>
              <w:jc w:val="center"/>
              <w:rPr>
                <w:rFonts w:ascii="Times New Roman" w:hAnsi="Times New Roman"/>
              </w:rPr>
            </w:pPr>
            <w:r w:rsidRPr="009731D7">
              <w:rPr>
                <w:rFonts w:ascii="Times New Roman" w:hAnsi="Times New Roman"/>
              </w:rPr>
              <w:t>500 monetary units</w:t>
            </w:r>
          </w:p>
        </w:tc>
        <w:tc>
          <w:tcPr>
            <w:tcW w:w="1980" w:type="dxa"/>
            <w:shd w:val="clear" w:color="auto" w:fill="auto"/>
          </w:tcPr>
          <w:p w14:paraId="5619D026" w14:textId="77777777" w:rsidR="00C505FF" w:rsidRPr="009731D7" w:rsidRDefault="00C505FF" w:rsidP="009731D7">
            <w:pPr>
              <w:spacing w:after="0" w:line="240" w:lineRule="auto"/>
              <w:ind w:left="0"/>
              <w:jc w:val="center"/>
              <w:rPr>
                <w:rFonts w:ascii="Times New Roman" w:hAnsi="Times New Roman"/>
              </w:rPr>
            </w:pPr>
            <w:r w:rsidRPr="009731D7">
              <w:rPr>
                <w:rFonts w:ascii="Times New Roman" w:hAnsi="Times New Roman"/>
              </w:rPr>
              <w:t>15 percent</w:t>
            </w:r>
          </w:p>
        </w:tc>
        <w:tc>
          <w:tcPr>
            <w:tcW w:w="4302" w:type="dxa"/>
            <w:shd w:val="clear" w:color="auto" w:fill="auto"/>
          </w:tcPr>
          <w:p w14:paraId="37531E58" w14:textId="77777777" w:rsidR="00C505FF" w:rsidRPr="009731D7" w:rsidRDefault="00C505FF" w:rsidP="009731D7">
            <w:pPr>
              <w:spacing w:after="0" w:line="240" w:lineRule="auto"/>
              <w:ind w:left="0"/>
              <w:jc w:val="center"/>
              <w:rPr>
                <w:rFonts w:ascii="Times New Roman" w:hAnsi="Times New Roman"/>
              </w:rPr>
            </w:pPr>
            <w:r w:rsidRPr="009731D7">
              <w:rPr>
                <w:rFonts w:ascii="Times New Roman" w:hAnsi="Times New Roman"/>
              </w:rPr>
              <w:t>75 monetary units</w:t>
            </w:r>
          </w:p>
        </w:tc>
      </w:tr>
      <w:tr w:rsidR="00C505FF" w:rsidRPr="009731D7" w14:paraId="7B212163" w14:textId="77777777" w:rsidTr="009731D7">
        <w:tc>
          <w:tcPr>
            <w:tcW w:w="3708" w:type="dxa"/>
            <w:shd w:val="clear" w:color="auto" w:fill="auto"/>
          </w:tcPr>
          <w:p w14:paraId="7C7FF67C" w14:textId="77777777" w:rsidR="00C505FF" w:rsidRPr="009731D7" w:rsidRDefault="00C505FF" w:rsidP="009731D7">
            <w:pPr>
              <w:spacing w:after="0" w:line="240" w:lineRule="auto"/>
              <w:ind w:left="0"/>
              <w:jc w:val="center"/>
              <w:rPr>
                <w:rFonts w:ascii="Times New Roman" w:hAnsi="Times New Roman"/>
              </w:rPr>
            </w:pPr>
            <w:r w:rsidRPr="009731D7">
              <w:rPr>
                <w:rFonts w:ascii="Times New Roman" w:hAnsi="Times New Roman"/>
              </w:rPr>
              <w:t>800 monetary units</w:t>
            </w:r>
          </w:p>
        </w:tc>
        <w:tc>
          <w:tcPr>
            <w:tcW w:w="1980" w:type="dxa"/>
            <w:shd w:val="clear" w:color="auto" w:fill="auto"/>
          </w:tcPr>
          <w:p w14:paraId="541FF51F" w14:textId="77777777" w:rsidR="00C505FF" w:rsidRPr="009731D7" w:rsidRDefault="00C505FF" w:rsidP="009731D7">
            <w:pPr>
              <w:spacing w:after="0" w:line="240" w:lineRule="auto"/>
              <w:ind w:left="0"/>
              <w:jc w:val="center"/>
              <w:rPr>
                <w:rFonts w:ascii="Times New Roman" w:hAnsi="Times New Roman"/>
              </w:rPr>
            </w:pPr>
            <w:r w:rsidRPr="009731D7">
              <w:rPr>
                <w:rFonts w:ascii="Times New Roman" w:hAnsi="Times New Roman"/>
              </w:rPr>
              <w:t>60 percent</w:t>
            </w:r>
          </w:p>
        </w:tc>
        <w:tc>
          <w:tcPr>
            <w:tcW w:w="4302" w:type="dxa"/>
            <w:shd w:val="clear" w:color="auto" w:fill="auto"/>
          </w:tcPr>
          <w:p w14:paraId="690B8CB0" w14:textId="77777777" w:rsidR="00C505FF" w:rsidRPr="009731D7" w:rsidRDefault="00C505FF" w:rsidP="009731D7">
            <w:pPr>
              <w:spacing w:after="0" w:line="240" w:lineRule="auto"/>
              <w:ind w:left="0"/>
              <w:jc w:val="center"/>
              <w:rPr>
                <w:rFonts w:ascii="Times New Roman" w:hAnsi="Times New Roman"/>
              </w:rPr>
            </w:pPr>
            <w:r w:rsidRPr="009731D7">
              <w:rPr>
                <w:rFonts w:ascii="Times New Roman" w:hAnsi="Times New Roman"/>
              </w:rPr>
              <w:t>480 monetary units</w:t>
            </w:r>
          </w:p>
        </w:tc>
      </w:tr>
      <w:tr w:rsidR="00C505FF" w:rsidRPr="009731D7" w14:paraId="2C22F740" w14:textId="77777777" w:rsidTr="009731D7">
        <w:tc>
          <w:tcPr>
            <w:tcW w:w="3708" w:type="dxa"/>
            <w:shd w:val="clear" w:color="auto" w:fill="auto"/>
          </w:tcPr>
          <w:p w14:paraId="410AD0EB" w14:textId="77777777" w:rsidR="00C505FF" w:rsidRPr="009731D7" w:rsidRDefault="00C505FF" w:rsidP="009731D7">
            <w:pPr>
              <w:spacing w:after="0" w:line="240" w:lineRule="auto"/>
              <w:ind w:left="0"/>
              <w:jc w:val="center"/>
              <w:rPr>
                <w:rFonts w:ascii="Times New Roman" w:hAnsi="Times New Roman"/>
              </w:rPr>
            </w:pPr>
            <w:r w:rsidRPr="009731D7">
              <w:rPr>
                <w:rFonts w:ascii="Times New Roman" w:hAnsi="Times New Roman"/>
              </w:rPr>
              <w:t>900 monetary units</w:t>
            </w:r>
          </w:p>
        </w:tc>
        <w:tc>
          <w:tcPr>
            <w:tcW w:w="1980" w:type="dxa"/>
            <w:shd w:val="clear" w:color="auto" w:fill="auto"/>
          </w:tcPr>
          <w:p w14:paraId="56FDAE3F" w14:textId="77777777" w:rsidR="00C505FF" w:rsidRPr="009731D7" w:rsidRDefault="00C505FF" w:rsidP="009731D7">
            <w:pPr>
              <w:spacing w:after="0" w:line="240" w:lineRule="auto"/>
              <w:ind w:left="0"/>
              <w:jc w:val="center"/>
              <w:rPr>
                <w:rFonts w:ascii="Times New Roman" w:hAnsi="Times New Roman"/>
              </w:rPr>
            </w:pPr>
            <w:r w:rsidRPr="009731D7">
              <w:rPr>
                <w:rFonts w:ascii="Times New Roman" w:hAnsi="Times New Roman"/>
              </w:rPr>
              <w:t>25 percent</w:t>
            </w:r>
          </w:p>
        </w:tc>
        <w:tc>
          <w:tcPr>
            <w:tcW w:w="4302" w:type="dxa"/>
            <w:shd w:val="clear" w:color="auto" w:fill="auto"/>
          </w:tcPr>
          <w:p w14:paraId="5D128FC9" w14:textId="77777777" w:rsidR="00C505FF" w:rsidRPr="009731D7" w:rsidRDefault="00C505FF" w:rsidP="009731D7">
            <w:pPr>
              <w:spacing w:after="0" w:line="240" w:lineRule="auto"/>
              <w:ind w:left="0"/>
              <w:jc w:val="center"/>
              <w:rPr>
                <w:rFonts w:ascii="Times New Roman" w:hAnsi="Times New Roman"/>
              </w:rPr>
            </w:pPr>
            <w:r w:rsidRPr="009731D7">
              <w:rPr>
                <w:rFonts w:ascii="Times New Roman" w:hAnsi="Times New Roman"/>
              </w:rPr>
              <w:t>225 monetary units</w:t>
            </w:r>
          </w:p>
        </w:tc>
      </w:tr>
      <w:tr w:rsidR="00C53E19" w:rsidRPr="009731D7" w14:paraId="26C355B8" w14:textId="77777777" w:rsidTr="009731D7">
        <w:tc>
          <w:tcPr>
            <w:tcW w:w="5688" w:type="dxa"/>
            <w:gridSpan w:val="2"/>
            <w:shd w:val="clear" w:color="auto" w:fill="auto"/>
          </w:tcPr>
          <w:p w14:paraId="547414EF" w14:textId="77777777" w:rsidR="00C53E19" w:rsidRPr="009731D7" w:rsidRDefault="00C53E19" w:rsidP="009731D7">
            <w:pPr>
              <w:spacing w:after="0" w:line="240" w:lineRule="auto"/>
              <w:ind w:left="0"/>
              <w:jc w:val="center"/>
              <w:rPr>
                <w:rFonts w:ascii="Times New Roman" w:hAnsi="Times New Roman"/>
                <w:b/>
              </w:rPr>
            </w:pPr>
            <w:r w:rsidRPr="009731D7">
              <w:rPr>
                <w:rFonts w:ascii="Times New Roman" w:hAnsi="Times New Roman"/>
                <w:b/>
              </w:rPr>
              <w:t>Expected cash flows</w:t>
            </w:r>
          </w:p>
        </w:tc>
        <w:tc>
          <w:tcPr>
            <w:tcW w:w="4302" w:type="dxa"/>
            <w:shd w:val="clear" w:color="auto" w:fill="auto"/>
          </w:tcPr>
          <w:p w14:paraId="045407FE" w14:textId="77777777" w:rsidR="00C53E19" w:rsidRPr="009731D7" w:rsidRDefault="00C53E19" w:rsidP="009731D7">
            <w:pPr>
              <w:spacing w:after="0" w:line="240" w:lineRule="auto"/>
              <w:ind w:left="0"/>
              <w:jc w:val="center"/>
              <w:rPr>
                <w:rFonts w:ascii="Times New Roman" w:hAnsi="Times New Roman"/>
                <w:b/>
              </w:rPr>
            </w:pPr>
            <w:r w:rsidRPr="009731D7">
              <w:rPr>
                <w:rFonts w:ascii="Times New Roman" w:hAnsi="Times New Roman"/>
                <w:b/>
              </w:rPr>
              <w:t>780 monetary units</w:t>
            </w:r>
          </w:p>
        </w:tc>
      </w:tr>
    </w:tbl>
    <w:p w14:paraId="2EBC4165" w14:textId="77777777" w:rsidR="00C505FF" w:rsidRPr="007D770B" w:rsidRDefault="00C505FF" w:rsidP="00C505FF">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 xml:space="preserve">In this simple example, the expected cash flows (780 cash units) represent a probability-weighted average of three possible outcomes. In more realistic situations, there may be many possible outcomes. However, in order to apply the expected present value method of valuation, it is not always necessary to consider the distribution of all possible cash flows using complex models and methods. Instead, a limited number of discrete scenarios and probabilities can be developed that encompass many possible cash flows. For example, an entity may use realized cash flows for any relevant past period adjusted for changes in circumstances that occur subsequently (e.g., changes in external factors, including economic or market conditions, industry </w:t>
      </w:r>
      <w:r w:rsidRPr="007D770B">
        <w:rPr>
          <w:rFonts w:ascii="Times New Roman" w:hAnsi="Times New Roman"/>
          <w:lang w:val="en-US"/>
        </w:rPr>
        <w:lastRenderedPageBreak/>
        <w:t>trends and competition, and changes in internal factors that affect the entity in a specific way), taking into account assumptions made by market participants.</w:t>
      </w:r>
    </w:p>
    <w:p w14:paraId="07259976" w14:textId="77777777" w:rsidR="00C505FF" w:rsidRPr="007D770B" w:rsidRDefault="00C505FF" w:rsidP="00C505FF">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In theory, the present value (i.e., fair value) of the cash flows associated with an asset remains the same whether the first method or the second method is used, namely:</w:t>
      </w:r>
    </w:p>
    <w:p w14:paraId="487CE835" w14:textId="30932F28" w:rsidR="00C505FF" w:rsidRPr="007D770B" w:rsidRDefault="00C505FF" w:rsidP="00AE698A">
      <w:pPr>
        <w:numPr>
          <w:ilvl w:val="0"/>
          <w:numId w:val="309"/>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 xml:space="preserve">Under the first method, expected cash flows are adjusted for systematic (i.e. market) risk. In the absence of market data </w:t>
      </w:r>
      <w:r w:rsidR="00F34077" w:rsidRPr="007D770B">
        <w:rPr>
          <w:rFonts w:ascii="Times New Roman" w:hAnsi="Times New Roman"/>
          <w:lang w:val="en-US"/>
        </w:rPr>
        <w:t xml:space="preserve">explicitly stating </w:t>
      </w:r>
      <w:r w:rsidRPr="007D770B">
        <w:rPr>
          <w:rFonts w:ascii="Times New Roman" w:hAnsi="Times New Roman"/>
          <w:lang w:val="en-US"/>
        </w:rPr>
        <w:t xml:space="preserve">the amount of the risk adjustment, the risk adjustment can be derived from a model for determining the value of assets using the concept of credible equivalents. For example, a risk-adjustment (i.e., a cash risk premium of 22 monetary units) could be established using a systematic risk premium of 3 percent </w:t>
      </w:r>
      <w:r w:rsidR="00ED209B" w:rsidRPr="007D770B">
        <w:rPr>
          <w:rFonts w:ascii="Times New Roman" w:hAnsi="Times New Roman"/>
          <w:lang w:val="en-US"/>
        </w:rPr>
        <w:br/>
      </w:r>
      <w:r w:rsidRPr="007D770B">
        <w:rPr>
          <w:rFonts w:ascii="Times New Roman" w:hAnsi="Times New Roman"/>
          <w:lang w:val="en-US"/>
        </w:rPr>
        <w:t xml:space="preserve">(780 - [780 × (780 × (1.05/1.08)]), resulting in expected risk-adjusted cash flows of 758 cash units (780 - 22). The amount of 758 cash units represents a safe equivalent for the amount of 780 cash units and is discounted at the risk-free interest rate (5 percent). The present value (i.e. fair value) of the asset is 722 cash units (758 /1.05). </w:t>
      </w:r>
    </w:p>
    <w:p w14:paraId="7AE516C3" w14:textId="77777777" w:rsidR="00C505FF" w:rsidRPr="007D770B" w:rsidRDefault="00C505FF" w:rsidP="00AE698A">
      <w:pPr>
        <w:numPr>
          <w:ilvl w:val="0"/>
          <w:numId w:val="309"/>
        </w:numPr>
        <w:autoSpaceDE w:val="0"/>
        <w:autoSpaceDN w:val="0"/>
        <w:adjustRightInd w:val="0"/>
        <w:spacing w:before="240" w:line="240" w:lineRule="auto"/>
        <w:rPr>
          <w:rFonts w:ascii="Times New Roman" w:hAnsi="Times New Roman"/>
          <w:lang w:val="en-US"/>
        </w:rPr>
      </w:pPr>
      <w:r w:rsidRPr="007D770B">
        <w:rPr>
          <w:rFonts w:ascii="Times New Roman" w:hAnsi="Times New Roman"/>
          <w:lang w:val="en-US"/>
        </w:rPr>
        <w:t xml:space="preserve">In the second method, the expected cash flows are not adjusted for systematic (i.e. market) risk. Instead, an adjustment for this risk is included in the discount rate. Thus, the expected cash flows are discounted at an expected rate of return of 8 percent (i.e., a 5 percent risk-free interest rate plus a 3 percent systematic risk premium). The present value (i.e. fair value) of the asset is 722 cash units (780 /1.08). </w:t>
      </w:r>
    </w:p>
    <w:p w14:paraId="41A72B0E" w14:textId="77777777" w:rsidR="005841E0" w:rsidRPr="007D770B" w:rsidRDefault="00C505FF" w:rsidP="001E6CDC">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 xml:space="preserve">When using the expected present value method, either the first method or the second method may be used to measure fair value. The choice of which method to use will depend on the facts and circumstances specific to the asset or liability being measured, the extent to which sufficient data are available and the </w:t>
      </w:r>
      <w:r w:rsidR="00D27CA7" w:rsidRPr="007D770B">
        <w:rPr>
          <w:rFonts w:ascii="Times New Roman" w:hAnsi="Times New Roman"/>
          <w:lang w:val="en-US"/>
        </w:rPr>
        <w:t>judgment involved.</w:t>
      </w:r>
    </w:p>
    <w:p w14:paraId="452B876F" w14:textId="155A44E0" w:rsidR="00E9489C" w:rsidRPr="007D770B" w:rsidRDefault="00F34077" w:rsidP="001E6CDC">
      <w:pPr>
        <w:autoSpaceDE w:val="0"/>
        <w:autoSpaceDN w:val="0"/>
        <w:adjustRightInd w:val="0"/>
        <w:spacing w:before="240" w:line="240" w:lineRule="auto"/>
        <w:ind w:left="0"/>
        <w:rPr>
          <w:rFonts w:ascii="Times New Roman" w:hAnsi="Times New Roman"/>
          <w:lang w:val="en-US"/>
        </w:rPr>
      </w:pPr>
      <w:r w:rsidRPr="007D770B">
        <w:rPr>
          <w:rFonts w:ascii="Times New Roman" w:hAnsi="Times New Roman"/>
          <w:lang w:val="en-US"/>
        </w:rPr>
        <w:t xml:space="preserve">The fair value of financial </w:t>
      </w:r>
      <w:r w:rsidR="00E9489C" w:rsidRPr="007D770B">
        <w:rPr>
          <w:rFonts w:ascii="Times New Roman" w:hAnsi="Times New Roman"/>
          <w:lang w:val="en-US"/>
        </w:rPr>
        <w:t xml:space="preserve">instruments in the Bank is </w:t>
      </w:r>
      <w:r w:rsidRPr="007D770B">
        <w:rPr>
          <w:rFonts w:ascii="Times New Roman" w:hAnsi="Times New Roman"/>
          <w:lang w:val="en-US"/>
        </w:rPr>
        <w:t xml:space="preserve">regulated by the internal </w:t>
      </w:r>
      <w:r w:rsidR="00E9489C" w:rsidRPr="007D770B">
        <w:rPr>
          <w:rFonts w:ascii="Times New Roman" w:hAnsi="Times New Roman"/>
          <w:lang w:val="en-US"/>
        </w:rPr>
        <w:t xml:space="preserve">document on determining the fair value of financial instruments. </w:t>
      </w:r>
    </w:p>
    <w:p w14:paraId="31F794E0" w14:textId="77777777" w:rsidR="00E94264" w:rsidRPr="007D770B" w:rsidRDefault="00E94264" w:rsidP="001E6CDC">
      <w:pPr>
        <w:autoSpaceDE w:val="0"/>
        <w:autoSpaceDN w:val="0"/>
        <w:adjustRightInd w:val="0"/>
        <w:spacing w:before="240" w:line="240" w:lineRule="auto"/>
        <w:ind w:left="0"/>
        <w:rPr>
          <w:rFonts w:ascii="Times New Roman" w:hAnsi="Times New Roman"/>
          <w:lang w:val="en-US"/>
        </w:rPr>
      </w:pPr>
    </w:p>
    <w:p w14:paraId="02173044" w14:textId="77777777" w:rsidR="00E94264" w:rsidRPr="007D770B" w:rsidRDefault="00E94264" w:rsidP="001E6CDC">
      <w:pPr>
        <w:autoSpaceDE w:val="0"/>
        <w:autoSpaceDN w:val="0"/>
        <w:adjustRightInd w:val="0"/>
        <w:spacing w:before="240" w:line="240" w:lineRule="auto"/>
        <w:ind w:left="0"/>
        <w:rPr>
          <w:rFonts w:ascii="Times New Roman" w:hAnsi="Times New Roman"/>
          <w:lang w:val="en-US"/>
        </w:rPr>
      </w:pPr>
    </w:p>
    <w:p w14:paraId="4EA360D7" w14:textId="77777777" w:rsidR="006816CF" w:rsidRPr="007D770B" w:rsidRDefault="006816CF" w:rsidP="001E6CDC">
      <w:pPr>
        <w:autoSpaceDE w:val="0"/>
        <w:autoSpaceDN w:val="0"/>
        <w:adjustRightInd w:val="0"/>
        <w:spacing w:before="240" w:line="240" w:lineRule="auto"/>
        <w:ind w:left="0"/>
        <w:rPr>
          <w:rFonts w:ascii="Times New Roman" w:hAnsi="Times New Roman"/>
          <w:lang w:val="en-US"/>
        </w:rPr>
        <w:sectPr w:rsidR="006816CF" w:rsidRPr="007D770B" w:rsidSect="00A35316">
          <w:headerReference w:type="even" r:id="rId95"/>
          <w:headerReference w:type="default" r:id="rId96"/>
          <w:headerReference w:type="first" r:id="rId97"/>
          <w:pgSz w:w="11906" w:h="16838"/>
          <w:pgMar w:top="1530" w:right="680" w:bottom="900" w:left="1134" w:header="510" w:footer="404" w:gutter="0"/>
          <w:cols w:space="708"/>
          <w:titlePg/>
          <w:docGrid w:linePitch="360"/>
        </w:sectPr>
      </w:pPr>
    </w:p>
    <w:p w14:paraId="6CC70487" w14:textId="65DCFB5B" w:rsidR="00E94264" w:rsidRPr="007D770B" w:rsidRDefault="001F7B94" w:rsidP="00224E1D">
      <w:pPr>
        <w:pStyle w:val="2"/>
        <w:pageBreakBefore/>
        <w:tabs>
          <w:tab w:val="left" w:pos="0"/>
        </w:tabs>
        <w:spacing w:before="240"/>
        <w:jc w:val="both"/>
        <w:rPr>
          <w:rFonts w:ascii="Times New Roman" w:hAnsi="Times New Roman"/>
          <w:szCs w:val="20"/>
          <w:lang w:val="en-US"/>
        </w:rPr>
      </w:pPr>
      <w:bookmarkStart w:id="438" w:name="_Toc168502140"/>
      <w:r w:rsidRPr="007D770B">
        <w:rPr>
          <w:rFonts w:ascii="Times New Roman" w:hAnsi="Times New Roman"/>
          <w:szCs w:val="20"/>
          <w:lang w:val="en-US"/>
        </w:rPr>
        <w:lastRenderedPageBreak/>
        <w:t xml:space="preserve">Section </w:t>
      </w:r>
      <w:r w:rsidR="00CD25B1" w:rsidRPr="007D770B">
        <w:rPr>
          <w:rFonts w:ascii="Times New Roman" w:hAnsi="Times New Roman"/>
          <w:szCs w:val="20"/>
          <w:lang w:val="en-US"/>
        </w:rPr>
        <w:t>6</w:t>
      </w:r>
      <w:r w:rsidRPr="007D770B">
        <w:rPr>
          <w:rFonts w:ascii="Times New Roman" w:hAnsi="Times New Roman"/>
          <w:szCs w:val="20"/>
          <w:lang w:val="en-US"/>
        </w:rPr>
        <w:t xml:space="preserve">. </w:t>
      </w:r>
      <w:r w:rsidR="00C95E4F" w:rsidRPr="007D770B">
        <w:rPr>
          <w:rFonts w:ascii="Times New Roman" w:hAnsi="Times New Roman"/>
          <w:szCs w:val="20"/>
          <w:lang w:val="en-US"/>
        </w:rPr>
        <w:t>General ledger of the Bank</w:t>
      </w:r>
      <w:bookmarkEnd w:id="438"/>
    </w:p>
    <w:p w14:paraId="33DF3B24" w14:textId="665811B0" w:rsidR="00CD25B1" w:rsidRPr="007D770B" w:rsidRDefault="00CD25B1" w:rsidP="00E61D21">
      <w:pPr>
        <w:pStyle w:val="3"/>
        <w:rPr>
          <w:lang w:val="en-US"/>
        </w:rPr>
      </w:pPr>
      <w:bookmarkStart w:id="439" w:name="_Toc168502141"/>
      <w:r w:rsidRPr="007D770B">
        <w:rPr>
          <w:lang w:val="en-US"/>
        </w:rPr>
        <w:t>6.1 General provisions</w:t>
      </w:r>
      <w:bookmarkEnd w:id="439"/>
    </w:p>
    <w:p w14:paraId="15EC93EC" w14:textId="77777777" w:rsidR="00CD25B1" w:rsidRPr="007D770B" w:rsidRDefault="00CD25B1" w:rsidP="00C95E4F">
      <w:pPr>
        <w:pStyle w:val="affff3"/>
        <w:ind w:right="29"/>
        <w:jc w:val="both"/>
        <w:rPr>
          <w:rFonts w:eastAsia="Calibri"/>
          <w:sz w:val="20"/>
          <w:szCs w:val="20"/>
          <w:lang w:val="en-US" w:eastAsia="en-US"/>
        </w:rPr>
      </w:pPr>
    </w:p>
    <w:p w14:paraId="2FF36EEC" w14:textId="5E8AB1AB" w:rsidR="00CD25B1" w:rsidRPr="007D770B" w:rsidRDefault="00CD25B1" w:rsidP="00CD25B1">
      <w:pPr>
        <w:pStyle w:val="affff3"/>
        <w:ind w:right="29"/>
        <w:jc w:val="both"/>
        <w:rPr>
          <w:rFonts w:eastAsia="Calibri"/>
          <w:sz w:val="20"/>
          <w:szCs w:val="20"/>
          <w:lang w:val="en-US" w:eastAsia="en-US"/>
        </w:rPr>
      </w:pPr>
      <w:r w:rsidRPr="007D770B">
        <w:rPr>
          <w:rFonts w:eastAsia="Calibri"/>
          <w:sz w:val="20"/>
          <w:szCs w:val="20"/>
          <w:lang w:val="en-US" w:eastAsia="en-US"/>
        </w:rPr>
        <w:t xml:space="preserve">The general ledger of </w:t>
      </w:r>
      <w:r w:rsidR="00842D37" w:rsidRPr="007D770B">
        <w:rPr>
          <w:rFonts w:eastAsia="Calibri"/>
          <w:sz w:val="20"/>
          <w:szCs w:val="20"/>
          <w:lang w:val="en-US" w:eastAsia="en-US"/>
        </w:rPr>
        <w:t xml:space="preserve">the Bank (hereinafter - the </w:t>
      </w:r>
      <w:r w:rsidRPr="007D770B">
        <w:rPr>
          <w:rFonts w:eastAsia="Calibri"/>
          <w:sz w:val="20"/>
          <w:szCs w:val="20"/>
          <w:lang w:val="en-US" w:eastAsia="en-US"/>
        </w:rPr>
        <w:t xml:space="preserve">General </w:t>
      </w:r>
      <w:r w:rsidR="00842D37" w:rsidRPr="007D770B">
        <w:rPr>
          <w:rFonts w:eastAsia="Calibri"/>
          <w:sz w:val="20"/>
          <w:szCs w:val="20"/>
          <w:lang w:val="en-US" w:eastAsia="en-US"/>
        </w:rPr>
        <w:t>Ledger</w:t>
      </w:r>
      <w:r w:rsidRPr="007D770B">
        <w:rPr>
          <w:rFonts w:eastAsia="Calibri"/>
          <w:sz w:val="20"/>
          <w:szCs w:val="20"/>
          <w:lang w:val="en-US" w:eastAsia="en-US"/>
        </w:rPr>
        <w:t xml:space="preserve">) is the basis for obtaining and submitting reports to the Bank's management (management reporting), regulatory authorities (financial, regulatory, statistical reporting), authorized state bodies, the Board of Directors and shareholders of the Bank. </w:t>
      </w:r>
    </w:p>
    <w:p w14:paraId="28F31154" w14:textId="77777777" w:rsidR="00CD25B1" w:rsidRPr="007D770B" w:rsidRDefault="00CD25B1" w:rsidP="00CD25B1">
      <w:pPr>
        <w:pStyle w:val="affff3"/>
        <w:ind w:right="29"/>
        <w:jc w:val="both"/>
        <w:rPr>
          <w:rFonts w:eastAsia="Calibri"/>
          <w:sz w:val="20"/>
          <w:szCs w:val="20"/>
          <w:lang w:val="en-US" w:eastAsia="en-US"/>
        </w:rPr>
      </w:pPr>
    </w:p>
    <w:p w14:paraId="0FEC82D5" w14:textId="303F4050" w:rsidR="00CD25B1" w:rsidRPr="007D770B" w:rsidRDefault="00CD25B1" w:rsidP="00CD25B1">
      <w:pPr>
        <w:pStyle w:val="affff3"/>
        <w:ind w:right="14"/>
        <w:jc w:val="both"/>
        <w:rPr>
          <w:rFonts w:eastAsia="Calibri"/>
          <w:sz w:val="20"/>
          <w:szCs w:val="20"/>
          <w:lang w:val="en-US" w:eastAsia="en-US"/>
        </w:rPr>
      </w:pPr>
      <w:r w:rsidRPr="007D770B">
        <w:rPr>
          <w:rFonts w:eastAsia="Calibri"/>
          <w:sz w:val="20"/>
          <w:szCs w:val="20"/>
          <w:lang w:val="en-US" w:eastAsia="en-US"/>
        </w:rPr>
        <w:t xml:space="preserve">The general ledger contains the incoming balance, total daily debit and credit turnovers for the operating day and the outgoing balance of the account with the possibility of obtaining a breakdown of transactions. </w:t>
      </w:r>
    </w:p>
    <w:p w14:paraId="7F63EB82" w14:textId="77777777" w:rsidR="00CD25B1" w:rsidRPr="007D770B" w:rsidRDefault="00CD25B1" w:rsidP="00CD25B1">
      <w:pPr>
        <w:pStyle w:val="affff3"/>
        <w:ind w:right="29"/>
        <w:jc w:val="both"/>
        <w:rPr>
          <w:rFonts w:eastAsia="Calibri"/>
          <w:sz w:val="20"/>
          <w:szCs w:val="20"/>
          <w:lang w:val="en-US" w:eastAsia="en-US"/>
        </w:rPr>
      </w:pPr>
    </w:p>
    <w:p w14:paraId="374EDB07" w14:textId="7C66FD87" w:rsidR="00CD25B1" w:rsidRPr="007D770B" w:rsidRDefault="00F34077" w:rsidP="00CD25B1">
      <w:pPr>
        <w:pStyle w:val="affff3"/>
        <w:ind w:right="29"/>
        <w:jc w:val="both"/>
        <w:rPr>
          <w:rFonts w:eastAsia="Calibri"/>
          <w:sz w:val="20"/>
          <w:szCs w:val="20"/>
          <w:lang w:val="en-US" w:eastAsia="en-US"/>
        </w:rPr>
      </w:pPr>
      <w:r w:rsidRPr="007D770B">
        <w:rPr>
          <w:rFonts w:eastAsia="Calibri"/>
          <w:sz w:val="20"/>
          <w:szCs w:val="20"/>
          <w:lang w:val="en-US" w:eastAsia="en-US"/>
        </w:rPr>
        <w:t xml:space="preserve">The </w:t>
      </w:r>
      <w:r w:rsidR="00CD25B1" w:rsidRPr="007D770B">
        <w:rPr>
          <w:rFonts w:eastAsia="Calibri"/>
          <w:sz w:val="20"/>
          <w:szCs w:val="20"/>
          <w:lang w:val="en-US" w:eastAsia="en-US"/>
        </w:rPr>
        <w:t xml:space="preserve">general </w:t>
      </w:r>
      <w:r w:rsidRPr="007D770B">
        <w:rPr>
          <w:rFonts w:eastAsia="Calibri"/>
          <w:sz w:val="20"/>
          <w:szCs w:val="20"/>
          <w:lang w:val="en-US" w:eastAsia="en-US"/>
        </w:rPr>
        <w:t xml:space="preserve">ledger presents </w:t>
      </w:r>
      <w:r w:rsidR="00CD25B1" w:rsidRPr="007D770B">
        <w:rPr>
          <w:rFonts w:eastAsia="Calibri"/>
          <w:sz w:val="20"/>
          <w:szCs w:val="20"/>
          <w:lang w:val="en-US" w:eastAsia="en-US"/>
        </w:rPr>
        <w:t xml:space="preserve">information on the Bank's activities at any time for any given period on the accounting records made. </w:t>
      </w:r>
    </w:p>
    <w:p w14:paraId="67357EAC" w14:textId="77777777" w:rsidR="00CD25B1" w:rsidRPr="007D770B" w:rsidRDefault="00CD25B1" w:rsidP="00CD25B1">
      <w:pPr>
        <w:pStyle w:val="affff3"/>
        <w:ind w:right="29"/>
        <w:jc w:val="both"/>
        <w:rPr>
          <w:rFonts w:eastAsia="Calibri"/>
          <w:sz w:val="20"/>
          <w:szCs w:val="20"/>
          <w:lang w:val="en-US" w:eastAsia="en-US"/>
        </w:rPr>
      </w:pPr>
    </w:p>
    <w:p w14:paraId="0A49723E" w14:textId="77777777" w:rsidR="00CD25B1" w:rsidRPr="007D770B" w:rsidRDefault="00CD25B1" w:rsidP="00CD25B1">
      <w:pPr>
        <w:pStyle w:val="affff3"/>
        <w:tabs>
          <w:tab w:val="left" w:pos="571"/>
          <w:tab w:val="left" w:pos="6250"/>
        </w:tabs>
        <w:ind w:right="5"/>
        <w:jc w:val="both"/>
        <w:rPr>
          <w:rFonts w:eastAsia="Calibri"/>
          <w:sz w:val="20"/>
          <w:szCs w:val="20"/>
          <w:lang w:val="en-US" w:eastAsia="en-US"/>
        </w:rPr>
      </w:pPr>
      <w:r w:rsidRPr="007D770B">
        <w:rPr>
          <w:rFonts w:eastAsia="Calibri"/>
          <w:sz w:val="20"/>
          <w:szCs w:val="20"/>
          <w:lang w:val="en-US" w:eastAsia="en-US"/>
        </w:rPr>
        <w:t xml:space="preserve">The following periodicity of information submission is established: daily, weekly, decadal, monthly, quarterly, annual and for a given period. </w:t>
      </w:r>
    </w:p>
    <w:p w14:paraId="3EB05B43" w14:textId="77777777" w:rsidR="00CD25B1" w:rsidRPr="007D770B" w:rsidRDefault="00CD25B1" w:rsidP="00CD25B1">
      <w:pPr>
        <w:pStyle w:val="affff3"/>
        <w:tabs>
          <w:tab w:val="left" w:pos="571"/>
          <w:tab w:val="left" w:pos="6250"/>
        </w:tabs>
        <w:ind w:right="5"/>
        <w:jc w:val="both"/>
        <w:rPr>
          <w:rFonts w:eastAsia="Calibri"/>
          <w:sz w:val="20"/>
          <w:szCs w:val="20"/>
          <w:lang w:val="en-US" w:eastAsia="en-US"/>
        </w:rPr>
      </w:pPr>
    </w:p>
    <w:p w14:paraId="0EA9EFA9" w14:textId="0592FC75" w:rsidR="00CD25B1" w:rsidRPr="007D770B" w:rsidRDefault="00CD25B1" w:rsidP="00CD25B1">
      <w:pPr>
        <w:pStyle w:val="affff3"/>
        <w:ind w:right="5"/>
        <w:jc w:val="both"/>
        <w:rPr>
          <w:rFonts w:eastAsia="Calibri"/>
          <w:sz w:val="20"/>
          <w:szCs w:val="20"/>
          <w:lang w:val="en-US" w:eastAsia="en-US"/>
        </w:rPr>
      </w:pPr>
      <w:r w:rsidRPr="007D770B">
        <w:rPr>
          <w:rFonts w:eastAsia="Calibri"/>
          <w:sz w:val="20"/>
          <w:szCs w:val="20"/>
          <w:lang w:val="en-US" w:eastAsia="en-US"/>
        </w:rPr>
        <w:t xml:space="preserve">General Ledger Goals and Purpose: </w:t>
      </w:r>
    </w:p>
    <w:p w14:paraId="285BE376" w14:textId="77777777" w:rsidR="00CD25B1" w:rsidRPr="007D770B" w:rsidRDefault="00CD25B1" w:rsidP="00AE698A">
      <w:pPr>
        <w:pStyle w:val="affff3"/>
        <w:numPr>
          <w:ilvl w:val="0"/>
          <w:numId w:val="313"/>
        </w:numPr>
        <w:ind w:right="5"/>
        <w:jc w:val="both"/>
        <w:rPr>
          <w:rFonts w:eastAsia="Calibri"/>
          <w:sz w:val="20"/>
          <w:szCs w:val="20"/>
          <w:lang w:val="en-US" w:eastAsia="en-US"/>
        </w:rPr>
      </w:pPr>
      <w:r w:rsidRPr="007D770B">
        <w:rPr>
          <w:rFonts w:eastAsia="Calibri"/>
          <w:sz w:val="20"/>
          <w:szCs w:val="20"/>
          <w:lang w:val="en-US" w:eastAsia="en-US"/>
        </w:rPr>
        <w:t xml:space="preserve">organization of the accounting process in accordance with accounting standards; </w:t>
      </w:r>
    </w:p>
    <w:p w14:paraId="68320121" w14:textId="77777777" w:rsidR="00CD25B1" w:rsidRPr="007D770B" w:rsidRDefault="00CD25B1" w:rsidP="00AE698A">
      <w:pPr>
        <w:pStyle w:val="affff3"/>
        <w:numPr>
          <w:ilvl w:val="0"/>
          <w:numId w:val="313"/>
        </w:numPr>
        <w:ind w:right="5"/>
        <w:jc w:val="both"/>
        <w:rPr>
          <w:rFonts w:eastAsia="Calibri"/>
          <w:sz w:val="20"/>
          <w:szCs w:val="20"/>
          <w:lang w:val="en-US" w:eastAsia="en-US"/>
        </w:rPr>
      </w:pPr>
      <w:r w:rsidRPr="007D770B">
        <w:rPr>
          <w:rFonts w:eastAsia="Calibri"/>
          <w:sz w:val="20"/>
          <w:szCs w:val="20"/>
          <w:lang w:val="en-US" w:eastAsia="en-US"/>
        </w:rPr>
        <w:t xml:space="preserve">control over the balance sheet and memorandum accounts for each group of transactions; </w:t>
      </w:r>
    </w:p>
    <w:p w14:paraId="616231F8" w14:textId="724A66D3" w:rsidR="00CD25B1" w:rsidRPr="007D770B" w:rsidRDefault="00CD25B1" w:rsidP="00AE698A">
      <w:pPr>
        <w:pStyle w:val="affff3"/>
        <w:numPr>
          <w:ilvl w:val="0"/>
          <w:numId w:val="313"/>
        </w:numPr>
        <w:ind w:right="5"/>
        <w:jc w:val="both"/>
        <w:rPr>
          <w:rFonts w:eastAsia="Calibri"/>
          <w:sz w:val="20"/>
          <w:szCs w:val="20"/>
          <w:lang w:val="en-US" w:eastAsia="en-US"/>
        </w:rPr>
      </w:pPr>
      <w:r w:rsidRPr="007D770B">
        <w:rPr>
          <w:rFonts w:eastAsia="Calibri"/>
          <w:sz w:val="20"/>
          <w:szCs w:val="20"/>
          <w:lang w:val="en-US" w:eastAsia="en-US"/>
        </w:rPr>
        <w:t>control over reflection of operations of the Bank's branches;</w:t>
      </w:r>
    </w:p>
    <w:p w14:paraId="0F23CEEA" w14:textId="77777777" w:rsidR="00CD25B1" w:rsidRPr="007D770B" w:rsidRDefault="00CD25B1" w:rsidP="00AE698A">
      <w:pPr>
        <w:pStyle w:val="affff3"/>
        <w:numPr>
          <w:ilvl w:val="0"/>
          <w:numId w:val="313"/>
        </w:numPr>
        <w:ind w:right="-4"/>
        <w:jc w:val="both"/>
        <w:rPr>
          <w:rFonts w:eastAsia="Calibri"/>
          <w:sz w:val="20"/>
          <w:szCs w:val="20"/>
          <w:lang w:val="en-US" w:eastAsia="en-US"/>
        </w:rPr>
      </w:pPr>
      <w:r w:rsidRPr="007D770B">
        <w:rPr>
          <w:rFonts w:eastAsia="Calibri"/>
          <w:sz w:val="20"/>
          <w:szCs w:val="20"/>
          <w:lang w:val="en-US" w:eastAsia="en-US"/>
        </w:rPr>
        <w:t xml:space="preserve">identification and elimination of irregularities and errors in accounting. </w:t>
      </w:r>
    </w:p>
    <w:p w14:paraId="6BC595FC" w14:textId="77777777" w:rsidR="00CD25B1" w:rsidRPr="007D770B" w:rsidRDefault="00CD25B1" w:rsidP="00842D37">
      <w:pPr>
        <w:pStyle w:val="affff3"/>
        <w:ind w:left="1440" w:right="-4"/>
        <w:jc w:val="both"/>
        <w:rPr>
          <w:rFonts w:eastAsia="Calibri"/>
          <w:sz w:val="20"/>
          <w:szCs w:val="20"/>
          <w:lang w:val="en-US" w:eastAsia="en-US"/>
        </w:rPr>
      </w:pPr>
    </w:p>
    <w:p w14:paraId="1617E07B" w14:textId="5EA16A6C" w:rsidR="00CD25B1" w:rsidRPr="007D770B" w:rsidRDefault="00CD25B1" w:rsidP="00CD25B1">
      <w:pPr>
        <w:pStyle w:val="affff3"/>
        <w:tabs>
          <w:tab w:val="left" w:pos="0"/>
        </w:tabs>
        <w:ind w:right="4"/>
        <w:jc w:val="both"/>
        <w:rPr>
          <w:rFonts w:eastAsia="Calibri"/>
          <w:sz w:val="20"/>
          <w:szCs w:val="20"/>
          <w:lang w:val="en-US" w:eastAsia="en-US"/>
        </w:rPr>
      </w:pPr>
      <w:r w:rsidRPr="007D770B">
        <w:rPr>
          <w:rFonts w:eastAsia="Calibri"/>
          <w:sz w:val="20"/>
          <w:szCs w:val="20"/>
          <w:lang w:val="en-US" w:eastAsia="en-US"/>
        </w:rPr>
        <w:t xml:space="preserve">Opening and closing of personal accounts on balance sheet accounts and memorandum accounts in the Bank's Chart of Accounts </w:t>
      </w:r>
      <w:r w:rsidR="00F34077" w:rsidRPr="007D770B">
        <w:rPr>
          <w:rFonts w:eastAsia="Calibri"/>
          <w:sz w:val="20"/>
          <w:szCs w:val="20"/>
          <w:lang w:val="en-US" w:eastAsia="en-US"/>
        </w:rPr>
        <w:t xml:space="preserve">shall be regulated by the Bank's internal </w:t>
      </w:r>
      <w:r w:rsidRPr="007D770B">
        <w:rPr>
          <w:rFonts w:eastAsia="Calibri"/>
          <w:sz w:val="20"/>
          <w:szCs w:val="20"/>
          <w:lang w:val="en-US" w:eastAsia="en-US"/>
        </w:rPr>
        <w:t xml:space="preserve">document. </w:t>
      </w:r>
    </w:p>
    <w:p w14:paraId="2D0B92F2" w14:textId="77777777" w:rsidR="00CD25B1" w:rsidRPr="007D770B" w:rsidRDefault="00CD25B1" w:rsidP="00CD25B1">
      <w:pPr>
        <w:pStyle w:val="affff3"/>
        <w:tabs>
          <w:tab w:val="left" w:pos="571"/>
          <w:tab w:val="left" w:pos="6250"/>
        </w:tabs>
        <w:ind w:right="5"/>
        <w:jc w:val="both"/>
        <w:rPr>
          <w:rFonts w:eastAsia="Calibri"/>
          <w:sz w:val="20"/>
          <w:szCs w:val="20"/>
          <w:lang w:val="en-US" w:eastAsia="en-US"/>
        </w:rPr>
      </w:pPr>
    </w:p>
    <w:p w14:paraId="1A29AB94" w14:textId="6EE943C3" w:rsidR="00CD25B1" w:rsidRPr="007D770B" w:rsidRDefault="00CD25B1" w:rsidP="00E61D21">
      <w:pPr>
        <w:pStyle w:val="3"/>
        <w:rPr>
          <w:lang w:val="en-US"/>
        </w:rPr>
      </w:pPr>
      <w:bookmarkStart w:id="440" w:name="_Toc168502142"/>
      <w:r w:rsidRPr="007D770B">
        <w:rPr>
          <w:lang w:val="en-US"/>
        </w:rPr>
        <w:t>6.2 Definitions</w:t>
      </w:r>
      <w:bookmarkEnd w:id="440"/>
    </w:p>
    <w:p w14:paraId="067483D4" w14:textId="6E598AE2" w:rsidR="00E94264" w:rsidRPr="007D770B" w:rsidRDefault="00E94264" w:rsidP="00C95E4F">
      <w:pPr>
        <w:pStyle w:val="affff3"/>
        <w:ind w:right="29"/>
        <w:jc w:val="both"/>
        <w:rPr>
          <w:rFonts w:eastAsia="Calibri"/>
          <w:sz w:val="20"/>
          <w:szCs w:val="20"/>
          <w:lang w:val="en-US" w:eastAsia="en-US"/>
        </w:rPr>
      </w:pPr>
      <w:r w:rsidRPr="007D770B">
        <w:rPr>
          <w:rFonts w:eastAsia="Calibri"/>
          <w:sz w:val="20"/>
          <w:szCs w:val="20"/>
          <w:lang w:val="en-US" w:eastAsia="en-US"/>
        </w:rPr>
        <w:t>The general ledger is a computerized accounting system that allows for the recording of balance sheet and memorandum accounts and is a generalized accounting record of all the Bank's accounting transactions</w:t>
      </w:r>
    </w:p>
    <w:p w14:paraId="3EF21C01" w14:textId="77777777" w:rsidR="00C95E4F" w:rsidRPr="007D770B" w:rsidRDefault="00C95E4F" w:rsidP="00C95E4F">
      <w:pPr>
        <w:pStyle w:val="affff3"/>
        <w:ind w:right="29"/>
        <w:jc w:val="both"/>
        <w:rPr>
          <w:rFonts w:eastAsia="Calibri"/>
          <w:sz w:val="20"/>
          <w:szCs w:val="20"/>
          <w:lang w:val="en-US" w:eastAsia="en-US"/>
        </w:rPr>
      </w:pPr>
    </w:p>
    <w:p w14:paraId="692930D8" w14:textId="77777777" w:rsidR="00CD25B1" w:rsidRPr="007D770B" w:rsidRDefault="00CD25B1" w:rsidP="00E61D21">
      <w:pPr>
        <w:pStyle w:val="3"/>
        <w:rPr>
          <w:lang w:val="en-US"/>
        </w:rPr>
      </w:pPr>
      <w:bookmarkStart w:id="441" w:name="_Toc168502143"/>
      <w:r w:rsidRPr="007D770B">
        <w:rPr>
          <w:lang w:val="en-US"/>
        </w:rPr>
        <w:t>6.3 Accounting policies</w:t>
      </w:r>
      <w:bookmarkEnd w:id="441"/>
    </w:p>
    <w:p w14:paraId="00A44AED" w14:textId="52C7BFE0" w:rsidR="00CD25B1" w:rsidRPr="007D770B" w:rsidRDefault="00CD25B1" w:rsidP="00CD25B1">
      <w:pPr>
        <w:pStyle w:val="affff3"/>
        <w:ind w:right="-4"/>
        <w:jc w:val="both"/>
        <w:rPr>
          <w:rFonts w:eastAsia="Calibri"/>
          <w:sz w:val="20"/>
          <w:szCs w:val="20"/>
          <w:lang w:val="en-US" w:eastAsia="en-US"/>
        </w:rPr>
      </w:pPr>
      <w:r w:rsidRPr="007D770B">
        <w:rPr>
          <w:rFonts w:eastAsia="Calibri"/>
          <w:sz w:val="20"/>
          <w:szCs w:val="20"/>
          <w:lang w:val="en-US" w:eastAsia="en-US"/>
        </w:rPr>
        <w:t xml:space="preserve">The general ledger is used to collect and code all transactions of the Bank on its accounts. The general </w:t>
      </w:r>
      <w:r w:rsidR="00F34077" w:rsidRPr="007D770B">
        <w:rPr>
          <w:rFonts w:eastAsia="Calibri"/>
          <w:sz w:val="20"/>
          <w:szCs w:val="20"/>
          <w:lang w:val="en-US" w:eastAsia="en-US"/>
        </w:rPr>
        <w:t xml:space="preserve">ledger </w:t>
      </w:r>
      <w:r w:rsidRPr="007D770B">
        <w:rPr>
          <w:rFonts w:eastAsia="Calibri"/>
          <w:sz w:val="20"/>
          <w:szCs w:val="20"/>
          <w:lang w:val="en-US" w:eastAsia="en-US"/>
        </w:rPr>
        <w:t xml:space="preserve">accounts </w:t>
      </w:r>
      <w:r w:rsidR="00F34077" w:rsidRPr="007D770B">
        <w:rPr>
          <w:rFonts w:eastAsia="Calibri"/>
          <w:sz w:val="20"/>
          <w:szCs w:val="20"/>
          <w:lang w:val="en-US" w:eastAsia="en-US"/>
        </w:rPr>
        <w:t xml:space="preserve">are organized in </w:t>
      </w:r>
      <w:r w:rsidRPr="007D770B">
        <w:rPr>
          <w:rFonts w:eastAsia="Calibri"/>
          <w:sz w:val="20"/>
          <w:szCs w:val="20"/>
          <w:lang w:val="en-US" w:eastAsia="en-US"/>
        </w:rPr>
        <w:t>descending order of liquidity in the following sequence:</w:t>
      </w:r>
    </w:p>
    <w:p w14:paraId="39DB2543" w14:textId="259044A0" w:rsidR="00CD25B1" w:rsidRPr="009128AD" w:rsidRDefault="00CD25B1" w:rsidP="00AE698A">
      <w:pPr>
        <w:pStyle w:val="affff3"/>
        <w:numPr>
          <w:ilvl w:val="0"/>
          <w:numId w:val="314"/>
        </w:numPr>
        <w:ind w:left="1077" w:right="5" w:firstLine="0"/>
        <w:jc w:val="both"/>
        <w:rPr>
          <w:rFonts w:eastAsia="Calibri"/>
          <w:sz w:val="20"/>
          <w:szCs w:val="20"/>
          <w:lang w:eastAsia="en-US"/>
        </w:rPr>
      </w:pPr>
      <w:r w:rsidRPr="009128AD">
        <w:rPr>
          <w:rFonts w:eastAsia="Calibri"/>
          <w:sz w:val="20"/>
          <w:szCs w:val="20"/>
          <w:lang w:eastAsia="en-US"/>
        </w:rPr>
        <w:t xml:space="preserve">Assets, </w:t>
      </w:r>
    </w:p>
    <w:p w14:paraId="273159E7" w14:textId="6DB374D2" w:rsidR="00CD25B1" w:rsidRPr="009128AD" w:rsidRDefault="00CD25B1" w:rsidP="00AE698A">
      <w:pPr>
        <w:pStyle w:val="affff3"/>
        <w:numPr>
          <w:ilvl w:val="0"/>
          <w:numId w:val="314"/>
        </w:numPr>
        <w:tabs>
          <w:tab w:val="left" w:pos="1418"/>
        </w:tabs>
        <w:ind w:left="1077" w:right="5" w:firstLine="0"/>
        <w:jc w:val="both"/>
        <w:rPr>
          <w:rFonts w:eastAsia="Calibri"/>
          <w:sz w:val="20"/>
          <w:szCs w:val="20"/>
          <w:lang w:eastAsia="en-US"/>
        </w:rPr>
      </w:pPr>
      <w:r w:rsidRPr="009128AD">
        <w:rPr>
          <w:rFonts w:eastAsia="Calibri"/>
          <w:sz w:val="20"/>
          <w:szCs w:val="20"/>
          <w:lang w:eastAsia="en-US"/>
        </w:rPr>
        <w:t xml:space="preserve">Commitments, </w:t>
      </w:r>
    </w:p>
    <w:p w14:paraId="2B52BAB3" w14:textId="18959E4B" w:rsidR="00CD25B1" w:rsidRPr="009128AD" w:rsidRDefault="00CD25B1" w:rsidP="00AE698A">
      <w:pPr>
        <w:pStyle w:val="affff3"/>
        <w:numPr>
          <w:ilvl w:val="0"/>
          <w:numId w:val="314"/>
        </w:numPr>
        <w:ind w:left="1077" w:right="5" w:firstLine="0"/>
        <w:jc w:val="both"/>
        <w:rPr>
          <w:rFonts w:eastAsia="Calibri"/>
          <w:sz w:val="20"/>
          <w:szCs w:val="20"/>
          <w:lang w:eastAsia="en-US"/>
        </w:rPr>
      </w:pPr>
      <w:r w:rsidRPr="009128AD">
        <w:rPr>
          <w:rFonts w:eastAsia="Calibri"/>
          <w:sz w:val="20"/>
          <w:szCs w:val="20"/>
          <w:lang w:eastAsia="en-US"/>
        </w:rPr>
        <w:t xml:space="preserve">equity, </w:t>
      </w:r>
    </w:p>
    <w:p w14:paraId="1FD13F51" w14:textId="3EE65C6B" w:rsidR="00CD25B1" w:rsidRPr="009128AD" w:rsidRDefault="00CD25B1" w:rsidP="00AE698A">
      <w:pPr>
        <w:pStyle w:val="affff3"/>
        <w:numPr>
          <w:ilvl w:val="0"/>
          <w:numId w:val="314"/>
        </w:numPr>
        <w:ind w:left="1077" w:right="5" w:firstLine="0"/>
        <w:jc w:val="both"/>
        <w:rPr>
          <w:rFonts w:eastAsia="Calibri"/>
          <w:sz w:val="20"/>
          <w:szCs w:val="20"/>
          <w:lang w:eastAsia="en-US"/>
        </w:rPr>
      </w:pPr>
      <w:r w:rsidRPr="009128AD">
        <w:rPr>
          <w:rFonts w:eastAsia="Calibri"/>
          <w:sz w:val="20"/>
          <w:szCs w:val="20"/>
          <w:lang w:eastAsia="en-US"/>
        </w:rPr>
        <w:t xml:space="preserve">revenue accounts, </w:t>
      </w:r>
    </w:p>
    <w:p w14:paraId="3976DB8C" w14:textId="77777777" w:rsidR="00CD25B1" w:rsidRPr="009128AD" w:rsidRDefault="00CD25B1" w:rsidP="00AE698A">
      <w:pPr>
        <w:pStyle w:val="affff3"/>
        <w:numPr>
          <w:ilvl w:val="0"/>
          <w:numId w:val="314"/>
        </w:numPr>
        <w:ind w:left="1077" w:right="5" w:firstLine="0"/>
        <w:jc w:val="both"/>
        <w:rPr>
          <w:rFonts w:eastAsia="Calibri"/>
          <w:sz w:val="20"/>
          <w:szCs w:val="20"/>
          <w:lang w:eastAsia="en-US"/>
        </w:rPr>
      </w:pPr>
      <w:r w:rsidRPr="009128AD">
        <w:rPr>
          <w:rFonts w:eastAsia="Calibri"/>
          <w:sz w:val="20"/>
          <w:szCs w:val="20"/>
          <w:lang w:eastAsia="en-US"/>
        </w:rPr>
        <w:t xml:space="preserve">expense accounts, </w:t>
      </w:r>
    </w:p>
    <w:p w14:paraId="1FD14A86" w14:textId="26743F0D" w:rsidR="00CD25B1" w:rsidRPr="009128AD" w:rsidRDefault="00CD25B1" w:rsidP="00AE698A">
      <w:pPr>
        <w:pStyle w:val="affff3"/>
        <w:numPr>
          <w:ilvl w:val="0"/>
          <w:numId w:val="314"/>
        </w:numPr>
        <w:ind w:left="1077" w:right="34" w:firstLine="0"/>
        <w:jc w:val="both"/>
        <w:rPr>
          <w:rFonts w:eastAsia="Calibri"/>
          <w:sz w:val="20"/>
          <w:szCs w:val="20"/>
          <w:lang w:eastAsia="en-US"/>
        </w:rPr>
      </w:pPr>
      <w:r w:rsidRPr="009128AD">
        <w:rPr>
          <w:rFonts w:eastAsia="Calibri"/>
          <w:sz w:val="20"/>
          <w:szCs w:val="20"/>
          <w:lang w:eastAsia="en-US"/>
        </w:rPr>
        <w:t xml:space="preserve">contingent claims and commitments, </w:t>
      </w:r>
    </w:p>
    <w:p w14:paraId="3B24C727" w14:textId="54A3A8D1" w:rsidR="00CD25B1" w:rsidRPr="009128AD" w:rsidRDefault="00CD25B1" w:rsidP="00AE698A">
      <w:pPr>
        <w:pStyle w:val="affff3"/>
        <w:numPr>
          <w:ilvl w:val="0"/>
          <w:numId w:val="314"/>
        </w:numPr>
        <w:ind w:left="1077" w:right="5117" w:firstLine="0"/>
        <w:jc w:val="both"/>
        <w:rPr>
          <w:rFonts w:eastAsia="Calibri"/>
          <w:sz w:val="20"/>
          <w:szCs w:val="20"/>
          <w:lang w:eastAsia="en-US"/>
        </w:rPr>
      </w:pPr>
      <w:r w:rsidRPr="009128AD">
        <w:rPr>
          <w:rFonts w:eastAsia="Calibri"/>
          <w:sz w:val="20"/>
          <w:szCs w:val="20"/>
          <w:lang w:eastAsia="en-US"/>
        </w:rPr>
        <w:t xml:space="preserve">of the memorandum accounts. </w:t>
      </w:r>
    </w:p>
    <w:p w14:paraId="0CF90028" w14:textId="77777777" w:rsidR="00CD25B1" w:rsidRPr="009128AD" w:rsidRDefault="00CD25B1" w:rsidP="00CD25B1">
      <w:pPr>
        <w:pStyle w:val="affff3"/>
        <w:ind w:right="29"/>
        <w:jc w:val="both"/>
        <w:rPr>
          <w:rFonts w:eastAsia="Calibri"/>
          <w:sz w:val="20"/>
          <w:szCs w:val="20"/>
          <w:lang w:eastAsia="en-US"/>
        </w:rPr>
      </w:pPr>
    </w:p>
    <w:p w14:paraId="66309472" w14:textId="2A96DB66" w:rsidR="00C10994" w:rsidRPr="007D770B" w:rsidRDefault="00C10994" w:rsidP="00C10994">
      <w:pPr>
        <w:widowControl w:val="0"/>
        <w:tabs>
          <w:tab w:val="left" w:pos="0"/>
        </w:tabs>
        <w:spacing w:line="240" w:lineRule="auto"/>
        <w:ind w:left="0"/>
        <w:rPr>
          <w:rFonts w:ascii="Times New Roman" w:eastAsia="Times New Roman" w:hAnsi="Times New Roman"/>
          <w:i/>
          <w:snapToGrid w:val="0"/>
          <w:color w:val="3317A9"/>
          <w:szCs w:val="22"/>
          <w:lang w:val="en-US" w:eastAsia="ru-RU"/>
        </w:rPr>
      </w:pPr>
      <w:r w:rsidRPr="007D770B">
        <w:rPr>
          <w:rFonts w:ascii="Times New Roman" w:eastAsia="Times New Roman" w:hAnsi="Times New Roman"/>
          <w:i/>
          <w:snapToGrid w:val="0"/>
          <w:color w:val="3317A9"/>
          <w:szCs w:val="22"/>
          <w:lang w:val="en-US" w:eastAsia="ru-RU"/>
        </w:rPr>
        <w:t xml:space="preserve"> (The second paragraph of item </w:t>
      </w:r>
      <w:r w:rsidR="00BB79F6" w:rsidRPr="007D770B">
        <w:rPr>
          <w:rFonts w:ascii="Times New Roman" w:eastAsia="Times New Roman" w:hAnsi="Times New Roman"/>
          <w:i/>
          <w:snapToGrid w:val="0"/>
          <w:color w:val="3317A9"/>
          <w:szCs w:val="22"/>
          <w:lang w:val="en-US" w:eastAsia="ru-RU"/>
        </w:rPr>
        <w:t>6.3. "Accounting Principles</w:t>
      </w:r>
      <w:r w:rsidRPr="007D770B">
        <w:rPr>
          <w:rFonts w:ascii="Times New Roman" w:eastAsia="Times New Roman" w:hAnsi="Times New Roman"/>
          <w:i/>
          <w:snapToGrid w:val="0"/>
          <w:color w:val="3317A9"/>
          <w:szCs w:val="22"/>
          <w:lang w:val="en-US" w:eastAsia="ru-RU"/>
        </w:rPr>
        <w:t xml:space="preserve">" was excluded by the decision of the Board of Directors dated </w:t>
      </w:r>
      <w:r w:rsidR="00BB79F6" w:rsidRPr="007D770B">
        <w:rPr>
          <w:rFonts w:ascii="Times New Roman" w:eastAsia="Times New Roman" w:hAnsi="Times New Roman"/>
          <w:i/>
          <w:snapToGrid w:val="0"/>
          <w:color w:val="3317A9"/>
          <w:szCs w:val="22"/>
          <w:lang w:val="en-US" w:eastAsia="ru-RU"/>
        </w:rPr>
        <w:t xml:space="preserve">May </w:t>
      </w:r>
      <w:r w:rsidRPr="007D770B">
        <w:rPr>
          <w:rFonts w:ascii="Times New Roman" w:eastAsia="Times New Roman" w:hAnsi="Times New Roman"/>
          <w:i/>
          <w:snapToGrid w:val="0"/>
          <w:color w:val="3317A9"/>
          <w:szCs w:val="22"/>
          <w:lang w:val="en-US" w:eastAsia="ru-RU"/>
        </w:rPr>
        <w:t xml:space="preserve">31, </w:t>
      </w:r>
      <w:r w:rsidR="00BB79F6" w:rsidRPr="007D770B">
        <w:rPr>
          <w:rFonts w:ascii="Times New Roman" w:eastAsia="Times New Roman" w:hAnsi="Times New Roman"/>
          <w:i/>
          <w:snapToGrid w:val="0"/>
          <w:color w:val="3317A9"/>
          <w:szCs w:val="22"/>
          <w:lang w:val="en-US" w:eastAsia="ru-RU"/>
        </w:rPr>
        <w:t xml:space="preserve">2024 </w:t>
      </w:r>
      <w:r w:rsidRPr="007D770B">
        <w:rPr>
          <w:rFonts w:ascii="Times New Roman" w:eastAsia="Times New Roman" w:hAnsi="Times New Roman"/>
          <w:i/>
          <w:snapToGrid w:val="0"/>
          <w:color w:val="3317A9"/>
          <w:szCs w:val="22"/>
          <w:lang w:val="en-US" w:eastAsia="ru-RU"/>
        </w:rPr>
        <w:t xml:space="preserve">(Minutes No. </w:t>
      </w:r>
      <w:r w:rsidR="00BB79F6" w:rsidRPr="007D770B">
        <w:rPr>
          <w:rFonts w:ascii="Times New Roman" w:eastAsia="Times New Roman" w:hAnsi="Times New Roman"/>
          <w:i/>
          <w:snapToGrid w:val="0"/>
          <w:color w:val="3317A9"/>
          <w:szCs w:val="22"/>
          <w:lang w:val="en-US" w:eastAsia="ru-RU"/>
        </w:rPr>
        <w:t>7</w:t>
      </w:r>
      <w:r w:rsidRPr="007D770B">
        <w:rPr>
          <w:rFonts w:ascii="Times New Roman" w:eastAsia="Times New Roman" w:hAnsi="Times New Roman"/>
          <w:i/>
          <w:snapToGrid w:val="0"/>
          <w:color w:val="3317A9"/>
          <w:szCs w:val="22"/>
          <w:lang w:val="en-US" w:eastAsia="ru-RU"/>
        </w:rPr>
        <w:t>).</w:t>
      </w:r>
    </w:p>
    <w:p w14:paraId="60A2B01C" w14:textId="77777777" w:rsidR="0075219A" w:rsidRPr="0075219A" w:rsidRDefault="0075219A" w:rsidP="00C10994">
      <w:pPr>
        <w:widowControl w:val="0"/>
        <w:tabs>
          <w:tab w:val="left" w:pos="0"/>
        </w:tabs>
        <w:spacing w:line="240" w:lineRule="auto"/>
        <w:ind w:left="0"/>
        <w:rPr>
          <w:rFonts w:ascii="Times New Roman" w:eastAsia="Times New Roman" w:hAnsi="Times New Roman"/>
          <w:i/>
          <w:snapToGrid w:val="0"/>
          <w:color w:val="3366FF"/>
          <w:lang w:val="kk-KZ" w:eastAsia="ru-RU"/>
        </w:rPr>
      </w:pPr>
    </w:p>
    <w:p w14:paraId="7926E3ED" w14:textId="77777777" w:rsidR="00B274BA" w:rsidRPr="0075219A" w:rsidRDefault="00B274BA" w:rsidP="00C95E4F">
      <w:pPr>
        <w:autoSpaceDE w:val="0"/>
        <w:autoSpaceDN w:val="0"/>
        <w:adjustRightInd w:val="0"/>
        <w:spacing w:after="0" w:line="240" w:lineRule="auto"/>
        <w:ind w:left="0"/>
        <w:rPr>
          <w:rFonts w:ascii="Times New Roman" w:hAnsi="Times New Roman"/>
          <w:lang w:val="kk-KZ"/>
        </w:rPr>
      </w:pPr>
    </w:p>
    <w:sectPr w:rsidR="00B274BA" w:rsidRPr="0075219A" w:rsidSect="00A35316">
      <w:headerReference w:type="even" r:id="rId98"/>
      <w:headerReference w:type="default" r:id="rId99"/>
      <w:headerReference w:type="first" r:id="rId100"/>
      <w:pgSz w:w="11906" w:h="16838"/>
      <w:pgMar w:top="1530" w:right="680" w:bottom="900" w:left="1134" w:header="510" w:footer="4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8B2BD" w14:textId="77777777" w:rsidR="009A2DB5" w:rsidRDefault="009A2DB5" w:rsidP="00A005FA">
      <w:pPr>
        <w:spacing w:after="0" w:line="240" w:lineRule="auto"/>
      </w:pPr>
      <w:r>
        <w:separator/>
      </w:r>
    </w:p>
  </w:endnote>
  <w:endnote w:type="continuationSeparator" w:id="0">
    <w:p w14:paraId="5943D403" w14:textId="77777777" w:rsidR="009A2DB5" w:rsidRDefault="009A2DB5" w:rsidP="00A005FA">
      <w:pPr>
        <w:spacing w:after="0" w:line="240" w:lineRule="auto"/>
      </w:pPr>
      <w:r>
        <w:continuationSeparator/>
      </w:r>
    </w:p>
  </w:endnote>
  <w:endnote w:type="continuationNotice" w:id="1">
    <w:p w14:paraId="3DE48E34" w14:textId="77777777" w:rsidR="009A2DB5" w:rsidRDefault="009A2D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CC"/>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hicago">
    <w:altName w:val="Arial"/>
    <w:panose1 w:val="00000000000000000000"/>
    <w:charset w:val="00"/>
    <w:family w:val="swiss"/>
    <w:notTrueType/>
    <w:pitch w:val="variable"/>
    <w:sig w:usb0="00000003" w:usb1="00000000" w:usb2="00000000" w:usb3="00000000" w:csb0="00000001" w:csb1="00000000"/>
  </w:font>
  <w:font w:name="PwC_Logo">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HelvCondenced">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inherit">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WenQuanYi Zen Hei">
    <w:altName w:val="Times New Roman"/>
    <w:charset w:val="01"/>
    <w:family w:val="auto"/>
    <w:pitch w:val="variable"/>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024634"/>
      <w:docPartObj>
        <w:docPartGallery w:val="Page Numbers (Bottom of Page)"/>
        <w:docPartUnique/>
      </w:docPartObj>
    </w:sdtPr>
    <w:sdtEndPr>
      <w:rPr>
        <w:rFonts w:ascii="Times New Roman" w:hAnsi="Times New Roman"/>
      </w:rPr>
    </w:sdtEndPr>
    <w:sdtContent>
      <w:p w14:paraId="4D1150D1" w14:textId="0114D8D7" w:rsidR="003A587C" w:rsidRPr="00CA00A0" w:rsidRDefault="003A587C">
        <w:pPr>
          <w:pStyle w:val="af0"/>
          <w:jc w:val="center"/>
          <w:rPr>
            <w:rFonts w:ascii="Times New Roman" w:hAnsi="Times New Roman"/>
          </w:rPr>
        </w:pPr>
        <w:r w:rsidRPr="00CA00A0">
          <w:rPr>
            <w:rFonts w:ascii="Times New Roman" w:hAnsi="Times New Roman"/>
          </w:rPr>
          <w:fldChar w:fldCharType="begin"/>
        </w:r>
        <w:r w:rsidRPr="00CA00A0">
          <w:rPr>
            <w:rFonts w:ascii="Times New Roman" w:hAnsi="Times New Roman"/>
          </w:rPr>
          <w:instrText>PAGE   \* MERGEFORMAT</w:instrText>
        </w:r>
        <w:r w:rsidRPr="00CA00A0">
          <w:rPr>
            <w:rFonts w:ascii="Times New Roman" w:hAnsi="Times New Roman"/>
          </w:rPr>
          <w:fldChar w:fldCharType="separate"/>
        </w:r>
        <w:r w:rsidR="00EA7F98">
          <w:rPr>
            <w:rFonts w:ascii="Times New Roman" w:hAnsi="Times New Roman"/>
            <w:noProof/>
          </w:rPr>
          <w:t>198</w:t>
        </w:r>
        <w:r w:rsidRPr="00CA00A0">
          <w:rPr>
            <w:rFonts w:ascii="Times New Roman" w:hAnsi="Times New Roman"/>
          </w:rPr>
          <w:fldChar w:fldCharType="end"/>
        </w:r>
      </w:p>
    </w:sdtContent>
  </w:sdt>
  <w:p w14:paraId="2FB70A70" w14:textId="77777777" w:rsidR="003A587C" w:rsidRPr="0010589D" w:rsidRDefault="003A587C">
    <w:pPr>
      <w:pStyle w:val="af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7387497"/>
      <w:docPartObj>
        <w:docPartGallery w:val="Page Numbers (Bottom of Page)"/>
        <w:docPartUnique/>
      </w:docPartObj>
    </w:sdtPr>
    <w:sdtEndPr/>
    <w:sdtContent>
      <w:p w14:paraId="795A302A" w14:textId="793DC9BC" w:rsidR="003A587C" w:rsidRDefault="003A587C">
        <w:pPr>
          <w:pStyle w:val="af0"/>
          <w:jc w:val="center"/>
        </w:pPr>
        <w:r w:rsidRPr="00CA00A0">
          <w:rPr>
            <w:rFonts w:ascii="Times New Roman" w:hAnsi="Times New Roman"/>
          </w:rPr>
          <w:fldChar w:fldCharType="begin"/>
        </w:r>
        <w:r w:rsidRPr="00CA00A0">
          <w:rPr>
            <w:rFonts w:ascii="Times New Roman" w:hAnsi="Times New Roman"/>
          </w:rPr>
          <w:instrText>PAGE   \* MERGEFORMAT</w:instrText>
        </w:r>
        <w:r w:rsidRPr="00CA00A0">
          <w:rPr>
            <w:rFonts w:ascii="Times New Roman" w:hAnsi="Times New Roman"/>
          </w:rPr>
          <w:fldChar w:fldCharType="separate"/>
        </w:r>
        <w:r w:rsidR="00EA7F98">
          <w:rPr>
            <w:rFonts w:ascii="Times New Roman" w:hAnsi="Times New Roman"/>
            <w:noProof/>
          </w:rPr>
          <w:t>194</w:t>
        </w:r>
        <w:r w:rsidRPr="00CA00A0">
          <w:rPr>
            <w:rFonts w:ascii="Times New Roman" w:hAnsi="Times New Roman"/>
          </w:rPr>
          <w:fldChar w:fldCharType="end"/>
        </w:r>
      </w:p>
    </w:sdtContent>
  </w:sdt>
  <w:p w14:paraId="6A0400F9" w14:textId="200CDD2B" w:rsidR="003A587C" w:rsidRPr="00627D8D" w:rsidRDefault="003A587C" w:rsidP="001343B4">
    <w:pPr>
      <w:pStyle w:val="af0"/>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4ACDC" w14:textId="77777777" w:rsidR="009A2DB5" w:rsidRDefault="009A2DB5" w:rsidP="00A005FA">
      <w:pPr>
        <w:spacing w:after="0" w:line="240" w:lineRule="auto"/>
      </w:pPr>
      <w:r>
        <w:separator/>
      </w:r>
    </w:p>
  </w:footnote>
  <w:footnote w:type="continuationSeparator" w:id="0">
    <w:p w14:paraId="258F1F73" w14:textId="77777777" w:rsidR="009A2DB5" w:rsidRDefault="009A2DB5" w:rsidP="00A005FA">
      <w:pPr>
        <w:spacing w:after="0" w:line="240" w:lineRule="auto"/>
      </w:pPr>
      <w:r>
        <w:continuationSeparator/>
      </w:r>
    </w:p>
  </w:footnote>
  <w:footnote w:type="continuationNotice" w:id="1">
    <w:p w14:paraId="2FCC6C9D" w14:textId="77777777" w:rsidR="009A2DB5" w:rsidRDefault="009A2D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7E6B9" w14:textId="1553504B" w:rsidR="003A587C" w:rsidRDefault="003A587C">
    <w:pPr>
      <w:pStyle w:val="a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CFE33" w14:textId="4FBB8DA8" w:rsidR="003A587C" w:rsidRDefault="003A587C">
    <w:pPr>
      <w:pStyle w:val="a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A5FBA" w14:textId="69364410" w:rsidR="003A587C" w:rsidRPr="007D770B" w:rsidRDefault="003A587C" w:rsidP="0009463D">
    <w:pPr>
      <w:pStyle w:val="ae"/>
      <w:rPr>
        <w:rFonts w:ascii="Times New Roman" w:hAnsi="Times New Roman"/>
        <w:b/>
        <w:sz w:val="20"/>
        <w:szCs w:val="20"/>
        <w:lang w:val="en-US"/>
      </w:rPr>
    </w:pPr>
    <w:r w:rsidRPr="007D770B">
      <w:rPr>
        <w:rFonts w:ascii="Times New Roman" w:hAnsi="Times New Roman"/>
        <w:b/>
        <w:sz w:val="20"/>
        <w:szCs w:val="20"/>
        <w:lang w:val="en-US"/>
      </w:rPr>
      <w:t>CHAPTER 1. GENERAL PROVISIONS</w:t>
    </w:r>
  </w:p>
  <w:p w14:paraId="59D74A0C" w14:textId="77777777" w:rsidR="003A587C" w:rsidRPr="007D770B" w:rsidRDefault="003A587C" w:rsidP="006340D1">
    <w:pPr>
      <w:pStyle w:val="ae"/>
      <w:pBdr>
        <w:bottom w:val="single" w:sz="12" w:space="1" w:color="auto"/>
      </w:pBdr>
      <w:spacing w:after="240" w:line="240" w:lineRule="auto"/>
      <w:rPr>
        <w:rFonts w:ascii="Times New Roman" w:hAnsi="Times New Roman"/>
        <w:b/>
        <w:sz w:val="20"/>
        <w:szCs w:val="20"/>
        <w:lang w:val="en-US"/>
      </w:rPr>
    </w:pPr>
    <w:r w:rsidRPr="007D770B">
      <w:rPr>
        <w:rFonts w:ascii="Times New Roman" w:hAnsi="Times New Roman"/>
        <w:b/>
        <w:sz w:val="20"/>
        <w:szCs w:val="20"/>
        <w:lang w:val="en-US"/>
      </w:rPr>
      <w:t>Section 3: Accounting Judgments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AB660" w14:textId="6DD2EC2E" w:rsidR="003A587C" w:rsidRDefault="003A587C">
    <w:pPr>
      <w:pStyle w:val="a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D1AFB" w14:textId="205C7FD8" w:rsidR="003A587C" w:rsidRDefault="003A587C">
    <w:pPr>
      <w:pStyle w:val="a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2C86A" w14:textId="17A13E50" w:rsidR="003A587C" w:rsidRPr="007D770B" w:rsidRDefault="003A587C" w:rsidP="00EE2696">
    <w:pPr>
      <w:pStyle w:val="ae"/>
      <w:rPr>
        <w:rFonts w:ascii="Times New Roman" w:hAnsi="Times New Roman"/>
        <w:b/>
        <w:sz w:val="20"/>
        <w:szCs w:val="20"/>
        <w:lang w:val="en-US"/>
      </w:rPr>
    </w:pPr>
    <w:r w:rsidRPr="007D770B">
      <w:rPr>
        <w:rFonts w:ascii="Times New Roman" w:hAnsi="Times New Roman"/>
        <w:b/>
        <w:sz w:val="20"/>
        <w:szCs w:val="20"/>
        <w:lang w:val="en-US"/>
      </w:rPr>
      <w:t xml:space="preserve">CHAPTER 2. GENERAL ACCOUNTING POLICIES </w:t>
    </w:r>
  </w:p>
  <w:p w14:paraId="4D5F768E" w14:textId="77777777" w:rsidR="003A587C" w:rsidRPr="007D770B" w:rsidRDefault="003A587C" w:rsidP="00EE2696">
    <w:pPr>
      <w:pStyle w:val="ae"/>
      <w:pBdr>
        <w:bottom w:val="single" w:sz="12" w:space="1" w:color="auto"/>
      </w:pBdr>
      <w:spacing w:after="240" w:line="240" w:lineRule="auto"/>
      <w:rPr>
        <w:rFonts w:ascii="Times New Roman" w:hAnsi="Times New Roman"/>
        <w:b/>
        <w:sz w:val="20"/>
        <w:szCs w:val="20"/>
        <w:lang w:val="en-US"/>
      </w:rPr>
    </w:pPr>
    <w:r w:rsidRPr="007D770B">
      <w:rPr>
        <w:rFonts w:ascii="Times New Roman" w:hAnsi="Times New Roman"/>
        <w:b/>
        <w:sz w:val="20"/>
        <w:szCs w:val="20"/>
        <w:lang w:val="en-US"/>
      </w:rPr>
      <w:t>Section 1. Property, Plant and Equipment (IAS 16)</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74997" w14:textId="61DE1871" w:rsidR="003A587C" w:rsidRDefault="003A587C">
    <w:pPr>
      <w:pStyle w:val="ae"/>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09818" w14:textId="7A6D7D36" w:rsidR="003A587C" w:rsidRDefault="003A587C">
    <w:pPr>
      <w:pStyle w:val="ae"/>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8F2F" w14:textId="55697DAC" w:rsidR="003A587C" w:rsidRPr="007D770B" w:rsidRDefault="003A587C" w:rsidP="00EE2696">
    <w:pPr>
      <w:pStyle w:val="ae"/>
      <w:rPr>
        <w:rFonts w:ascii="Times New Roman" w:hAnsi="Times New Roman"/>
        <w:b/>
        <w:sz w:val="20"/>
        <w:szCs w:val="20"/>
        <w:lang w:val="en-US"/>
      </w:rPr>
    </w:pPr>
    <w:r w:rsidRPr="007D770B">
      <w:rPr>
        <w:rFonts w:ascii="Times New Roman" w:hAnsi="Times New Roman"/>
        <w:b/>
        <w:sz w:val="20"/>
        <w:szCs w:val="20"/>
        <w:lang w:val="en-US"/>
      </w:rPr>
      <w:t xml:space="preserve">CHAPTER 2. GENERAL ACCOUNTING POLICIES </w:t>
    </w:r>
  </w:p>
  <w:p w14:paraId="623ADA9C" w14:textId="77777777" w:rsidR="003A587C" w:rsidRPr="007D770B" w:rsidRDefault="003A587C" w:rsidP="00EE2696">
    <w:pPr>
      <w:pStyle w:val="ae"/>
      <w:pBdr>
        <w:bottom w:val="single" w:sz="12" w:space="1" w:color="auto"/>
      </w:pBdr>
      <w:spacing w:after="240" w:line="240" w:lineRule="auto"/>
      <w:rPr>
        <w:rFonts w:ascii="Times New Roman" w:hAnsi="Times New Roman"/>
        <w:b/>
        <w:sz w:val="20"/>
        <w:szCs w:val="20"/>
        <w:lang w:val="en-US"/>
      </w:rPr>
    </w:pPr>
    <w:r w:rsidRPr="007D770B">
      <w:rPr>
        <w:rFonts w:ascii="Times New Roman" w:hAnsi="Times New Roman"/>
        <w:b/>
        <w:sz w:val="20"/>
        <w:szCs w:val="20"/>
        <w:lang w:val="en-US"/>
      </w:rPr>
      <w:t>Section 2: Intangible Assets (IAS 38)</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C6006" w14:textId="1FE0496C" w:rsidR="003A587C" w:rsidRDefault="003A587C">
    <w:pPr>
      <w:pStyle w:val="ae"/>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D12C3" w14:textId="68E93C38" w:rsidR="003A587C" w:rsidRDefault="003A587C">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C69D5" w14:textId="383C0179" w:rsidR="003A587C" w:rsidRDefault="003A587C" w:rsidP="00533DAD">
    <w:pPr>
      <w:pStyle w:val="ae"/>
      <w:pBdr>
        <w:bottom w:val="single" w:sz="12" w:space="1" w:color="auto"/>
      </w:pBdr>
      <w:spacing w:line="240" w:lineRule="auto"/>
      <w:rPr>
        <w:rFonts w:ascii="Times New Roman" w:hAnsi="Times New Roman"/>
        <w:b/>
        <w:sz w:val="20"/>
        <w:szCs w:val="20"/>
        <w:lang w:val="en-GB"/>
      </w:rPr>
    </w:pPr>
    <w:r w:rsidRPr="00533DAD">
      <w:rPr>
        <w:rFonts w:ascii="Times New Roman" w:hAnsi="Times New Roman"/>
        <w:b/>
        <w:sz w:val="20"/>
        <w:szCs w:val="20"/>
      </w:rPr>
      <w:t>CONTENTS.</w:t>
    </w:r>
  </w:p>
  <w:p w14:paraId="42D4E32D" w14:textId="77777777" w:rsidR="003A587C" w:rsidRPr="00533DAD" w:rsidRDefault="003A587C">
    <w:pPr>
      <w:pStyle w:val="ae"/>
      <w:rPr>
        <w:lang w:val="en-GB"/>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44F50" w14:textId="56B81113" w:rsidR="003A587C" w:rsidRPr="007D770B" w:rsidRDefault="003A587C" w:rsidP="006E2CB6">
    <w:pPr>
      <w:pStyle w:val="ae"/>
      <w:rPr>
        <w:rFonts w:ascii="Times New Roman" w:hAnsi="Times New Roman"/>
        <w:b/>
        <w:sz w:val="20"/>
        <w:szCs w:val="20"/>
        <w:lang w:val="en-US"/>
      </w:rPr>
    </w:pPr>
    <w:r w:rsidRPr="007D770B">
      <w:rPr>
        <w:rFonts w:ascii="Times New Roman" w:hAnsi="Times New Roman"/>
        <w:b/>
        <w:sz w:val="20"/>
        <w:szCs w:val="20"/>
        <w:lang w:val="en-US"/>
      </w:rPr>
      <w:t xml:space="preserve">CHAPTER 2. GENERAL ACCOUNTING POLICIES </w:t>
    </w:r>
  </w:p>
  <w:p w14:paraId="73F693CC" w14:textId="3C6583BD" w:rsidR="003A587C" w:rsidRPr="007D770B" w:rsidRDefault="003A587C" w:rsidP="006D3846">
    <w:pPr>
      <w:pStyle w:val="ae"/>
      <w:pBdr>
        <w:bottom w:val="single" w:sz="12" w:space="1" w:color="auto"/>
      </w:pBdr>
      <w:spacing w:after="240" w:line="240" w:lineRule="auto"/>
      <w:rPr>
        <w:rFonts w:ascii="Times New Roman" w:hAnsi="Times New Roman"/>
        <w:b/>
        <w:sz w:val="20"/>
        <w:szCs w:val="20"/>
        <w:lang w:val="en-US"/>
      </w:rPr>
    </w:pPr>
    <w:r w:rsidRPr="007D770B">
      <w:rPr>
        <w:rFonts w:ascii="Times New Roman" w:hAnsi="Times New Roman"/>
        <w:b/>
        <w:sz w:val="20"/>
        <w:szCs w:val="20"/>
        <w:lang w:val="en-US"/>
      </w:rPr>
      <w:t>Section 3. Financial assets and liabilities (IAS 32, IFRS 9, IFRS 7)</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2DC18" w14:textId="77777777" w:rsidR="003A587C" w:rsidRPr="007D770B" w:rsidRDefault="003A587C">
    <w:pPr>
      <w:pStyle w:val="ae"/>
      <w:rPr>
        <w:rFonts w:ascii="Times New Roman" w:hAnsi="Times New Roman"/>
        <w:b/>
        <w:sz w:val="20"/>
        <w:szCs w:val="20"/>
        <w:lang w:val="en-US"/>
      </w:rPr>
    </w:pPr>
    <w:r w:rsidRPr="007D770B">
      <w:rPr>
        <w:rFonts w:ascii="Times New Roman" w:hAnsi="Times New Roman"/>
        <w:b/>
        <w:sz w:val="20"/>
        <w:szCs w:val="20"/>
        <w:lang w:val="en-US"/>
      </w:rPr>
      <w:t>CHAPTER 2. GENERAL ACCOUNTING POLICIES</w:t>
    </w:r>
  </w:p>
  <w:p w14:paraId="5E51FDEA" w14:textId="7BBBFC5A" w:rsidR="003A587C" w:rsidRPr="007D770B" w:rsidRDefault="003A587C" w:rsidP="00500DC8">
    <w:pPr>
      <w:pStyle w:val="ae"/>
      <w:pBdr>
        <w:bottom w:val="single" w:sz="12" w:space="1" w:color="auto"/>
      </w:pBdr>
      <w:spacing w:after="240" w:line="240" w:lineRule="auto"/>
      <w:rPr>
        <w:rFonts w:ascii="Times New Roman" w:hAnsi="Times New Roman"/>
        <w:b/>
        <w:sz w:val="20"/>
        <w:szCs w:val="20"/>
        <w:lang w:val="en-US"/>
      </w:rPr>
    </w:pPr>
    <w:r w:rsidRPr="007D770B">
      <w:rPr>
        <w:rFonts w:ascii="Times New Roman" w:hAnsi="Times New Roman"/>
        <w:b/>
        <w:sz w:val="20"/>
        <w:szCs w:val="20"/>
        <w:lang w:val="en-US"/>
      </w:rPr>
      <w:t>Section 3. Financial assets and liabilities (IAS 32, IFRS 9, IFRS 7)</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18C7B" w14:textId="77777777" w:rsidR="003A587C" w:rsidRPr="007D770B" w:rsidRDefault="003A587C">
    <w:pPr>
      <w:pStyle w:val="ae"/>
      <w:rPr>
        <w:rFonts w:ascii="Times New Roman" w:hAnsi="Times New Roman"/>
        <w:b/>
        <w:sz w:val="20"/>
        <w:szCs w:val="20"/>
        <w:lang w:val="en-US"/>
      </w:rPr>
    </w:pPr>
    <w:r w:rsidRPr="007D770B">
      <w:rPr>
        <w:rFonts w:ascii="Times New Roman" w:hAnsi="Times New Roman"/>
        <w:b/>
        <w:sz w:val="20"/>
        <w:szCs w:val="20"/>
        <w:lang w:val="en-US"/>
      </w:rPr>
      <w:t>CHAPTER 2. GENERAL ACCOUNTING POLICIES</w:t>
    </w:r>
  </w:p>
  <w:p w14:paraId="0CD8622D" w14:textId="3686B6E0" w:rsidR="003A587C" w:rsidRPr="007D770B" w:rsidRDefault="003A587C" w:rsidP="00500DC8">
    <w:pPr>
      <w:pStyle w:val="ae"/>
      <w:pBdr>
        <w:bottom w:val="single" w:sz="12" w:space="1" w:color="auto"/>
      </w:pBdr>
      <w:spacing w:after="240" w:line="240" w:lineRule="auto"/>
      <w:rPr>
        <w:rFonts w:ascii="Times New Roman" w:hAnsi="Times New Roman"/>
        <w:b/>
        <w:sz w:val="20"/>
        <w:szCs w:val="20"/>
        <w:lang w:val="en-US"/>
      </w:rPr>
    </w:pPr>
    <w:r w:rsidRPr="007D770B">
      <w:rPr>
        <w:rFonts w:ascii="Times New Roman" w:hAnsi="Times New Roman"/>
        <w:b/>
        <w:sz w:val="20"/>
        <w:szCs w:val="20"/>
        <w:lang w:val="en-US"/>
      </w:rPr>
      <w:t>Section 4: Inventories (IAS 2)</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54648" w14:textId="71384CB7" w:rsidR="003A587C" w:rsidRDefault="003A587C">
    <w:pPr>
      <w:pStyle w:val="ae"/>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035AB" w14:textId="17E3F940" w:rsidR="003A587C" w:rsidRPr="007D770B" w:rsidRDefault="003A587C" w:rsidP="006E2CB6">
    <w:pPr>
      <w:pStyle w:val="ae"/>
      <w:rPr>
        <w:rFonts w:ascii="Times New Roman" w:hAnsi="Times New Roman"/>
        <w:b/>
        <w:sz w:val="20"/>
        <w:szCs w:val="20"/>
        <w:lang w:val="en-US"/>
      </w:rPr>
    </w:pPr>
    <w:r w:rsidRPr="007D770B">
      <w:rPr>
        <w:rFonts w:ascii="Times New Roman" w:hAnsi="Times New Roman"/>
        <w:b/>
        <w:sz w:val="20"/>
        <w:szCs w:val="20"/>
        <w:lang w:val="en-US"/>
      </w:rPr>
      <w:t xml:space="preserve">CHAPTER 2. GENERAL ACCOUNTING POLICIES </w:t>
    </w:r>
  </w:p>
  <w:p w14:paraId="5BF7B736" w14:textId="77777777" w:rsidR="003A587C" w:rsidRPr="007D770B" w:rsidRDefault="003A587C" w:rsidP="004E5375">
    <w:pPr>
      <w:pStyle w:val="ae"/>
      <w:pBdr>
        <w:bottom w:val="single" w:sz="12" w:space="1" w:color="auto"/>
      </w:pBdr>
      <w:spacing w:after="240" w:line="240" w:lineRule="auto"/>
      <w:rPr>
        <w:rFonts w:ascii="Times New Roman" w:hAnsi="Times New Roman"/>
        <w:b/>
        <w:sz w:val="20"/>
        <w:szCs w:val="20"/>
        <w:lang w:val="en-US"/>
      </w:rPr>
    </w:pPr>
    <w:r w:rsidRPr="007D770B">
      <w:rPr>
        <w:rFonts w:ascii="Times New Roman" w:hAnsi="Times New Roman"/>
        <w:b/>
        <w:sz w:val="20"/>
        <w:szCs w:val="20"/>
        <w:lang w:val="en-US"/>
      </w:rPr>
      <w:t>Section 5: Cash and Cash Equivalents (IAS 7)</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40A5D" w14:textId="6E73F2D8" w:rsidR="003A587C" w:rsidRDefault="003A587C">
    <w:pPr>
      <w:pStyle w:val="ae"/>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9A9E0" w14:textId="1B333BAC" w:rsidR="003A587C" w:rsidRDefault="003A587C">
    <w:pPr>
      <w:pStyle w:val="ae"/>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D92C9" w14:textId="1784FF24" w:rsidR="003A587C" w:rsidRPr="007D770B" w:rsidRDefault="003A587C" w:rsidP="00EE2696">
    <w:pPr>
      <w:pStyle w:val="ae"/>
      <w:rPr>
        <w:rFonts w:ascii="Times New Roman" w:hAnsi="Times New Roman"/>
        <w:b/>
        <w:sz w:val="20"/>
        <w:szCs w:val="20"/>
        <w:lang w:val="en-US"/>
      </w:rPr>
    </w:pPr>
    <w:r w:rsidRPr="007D770B">
      <w:rPr>
        <w:rFonts w:ascii="Times New Roman" w:hAnsi="Times New Roman"/>
        <w:b/>
        <w:sz w:val="20"/>
        <w:szCs w:val="20"/>
        <w:lang w:val="en-US"/>
      </w:rPr>
      <w:t xml:space="preserve">CHAPTER 2. GENERAL ACCOUNTING POLICIES </w:t>
    </w:r>
  </w:p>
  <w:p w14:paraId="4CC4F9A4" w14:textId="77777777" w:rsidR="003A587C" w:rsidRPr="007D770B" w:rsidRDefault="003A587C" w:rsidP="00E57CF6">
    <w:pPr>
      <w:pStyle w:val="ae"/>
      <w:pBdr>
        <w:bottom w:val="single" w:sz="12" w:space="1" w:color="auto"/>
      </w:pBdr>
      <w:spacing w:after="240" w:line="240" w:lineRule="auto"/>
      <w:rPr>
        <w:rFonts w:ascii="Times New Roman" w:hAnsi="Times New Roman"/>
        <w:b/>
        <w:sz w:val="20"/>
        <w:szCs w:val="20"/>
        <w:lang w:val="en-US"/>
      </w:rPr>
    </w:pPr>
    <w:r w:rsidRPr="007D770B">
      <w:rPr>
        <w:rFonts w:ascii="Times New Roman" w:hAnsi="Times New Roman"/>
        <w:b/>
        <w:sz w:val="20"/>
        <w:szCs w:val="20"/>
        <w:lang w:val="en-US"/>
      </w:rPr>
      <w:t>Section 5-1. Non-current Assets Held for Sale and Discontinued Operations (IFRS 5)</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F5710" w14:textId="1FDDCDF7" w:rsidR="003A587C" w:rsidRPr="007D770B" w:rsidRDefault="003A587C" w:rsidP="00794D46">
    <w:pPr>
      <w:pStyle w:val="ae"/>
      <w:rPr>
        <w:rFonts w:ascii="Times New Roman" w:hAnsi="Times New Roman"/>
        <w:b/>
        <w:sz w:val="20"/>
        <w:szCs w:val="20"/>
        <w:lang w:val="en-US"/>
      </w:rPr>
    </w:pPr>
    <w:r w:rsidRPr="007D770B">
      <w:rPr>
        <w:rFonts w:ascii="Times New Roman" w:hAnsi="Times New Roman"/>
        <w:b/>
        <w:sz w:val="20"/>
        <w:szCs w:val="20"/>
        <w:lang w:val="en-US"/>
      </w:rPr>
      <w:t xml:space="preserve">CHAPTER 2. GENERAL ACCOUNTING POLICIES </w:t>
    </w:r>
  </w:p>
  <w:p w14:paraId="55EBA0F5" w14:textId="1353F4A1" w:rsidR="003A587C" w:rsidRPr="007D770B" w:rsidRDefault="003A587C" w:rsidP="003D61EC">
    <w:pPr>
      <w:pStyle w:val="ae"/>
      <w:pBdr>
        <w:bottom w:val="single" w:sz="12" w:space="1" w:color="auto"/>
      </w:pBdr>
      <w:spacing w:after="240" w:line="240" w:lineRule="auto"/>
      <w:rPr>
        <w:rFonts w:ascii="Times New Roman" w:hAnsi="Times New Roman"/>
        <w:b/>
        <w:sz w:val="20"/>
        <w:szCs w:val="20"/>
        <w:lang w:val="en-US"/>
      </w:rPr>
    </w:pPr>
    <w:r w:rsidRPr="007D770B">
      <w:rPr>
        <w:rFonts w:ascii="Times New Roman" w:hAnsi="Times New Roman"/>
        <w:b/>
        <w:sz w:val="20"/>
        <w:szCs w:val="20"/>
        <w:lang w:val="en-US"/>
      </w:rPr>
      <w:t>Section 6: Non-current Assets Held for Sale and Discontinued Operations (IFRS 5)</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126CF" w14:textId="0C2183A9" w:rsidR="003A587C" w:rsidRDefault="003A587C">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8E91E" w14:textId="1642A226" w:rsidR="003A587C" w:rsidRDefault="003A587C" w:rsidP="00533DAD">
    <w:pPr>
      <w:pStyle w:val="ae"/>
      <w:pBdr>
        <w:bottom w:val="single" w:sz="12" w:space="1" w:color="auto"/>
      </w:pBdr>
      <w:spacing w:line="240" w:lineRule="auto"/>
      <w:rPr>
        <w:rFonts w:ascii="Times New Roman" w:hAnsi="Times New Roman"/>
        <w:b/>
        <w:sz w:val="20"/>
        <w:szCs w:val="20"/>
        <w:lang w:val="en-GB"/>
      </w:rPr>
    </w:pPr>
    <w:r w:rsidRPr="00533DAD">
      <w:rPr>
        <w:rFonts w:ascii="Times New Roman" w:hAnsi="Times New Roman"/>
        <w:b/>
        <w:sz w:val="20"/>
        <w:szCs w:val="20"/>
      </w:rPr>
      <w:t>CONTENTS.</w:t>
    </w:r>
  </w:p>
  <w:p w14:paraId="71741BB5" w14:textId="77777777" w:rsidR="003A587C" w:rsidRPr="00533DAD" w:rsidRDefault="003A587C">
    <w:pPr>
      <w:pStyle w:val="ae"/>
      <w:rPr>
        <w:rFonts w:ascii="Times New Roman" w:hAnsi="Times New Roman"/>
        <w:b/>
        <w:sz w:val="20"/>
        <w:szCs w:val="20"/>
        <w:lang w:val="en-GB"/>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7477E" w14:textId="7CC4B46C" w:rsidR="003A587C" w:rsidRPr="007D770B" w:rsidRDefault="003A587C" w:rsidP="00EE2696">
    <w:pPr>
      <w:pStyle w:val="ae"/>
      <w:rPr>
        <w:rFonts w:ascii="Times New Roman" w:hAnsi="Times New Roman"/>
        <w:b/>
        <w:sz w:val="20"/>
        <w:szCs w:val="20"/>
        <w:lang w:val="en-US"/>
      </w:rPr>
    </w:pPr>
    <w:r w:rsidRPr="007D770B">
      <w:rPr>
        <w:rFonts w:ascii="Times New Roman" w:hAnsi="Times New Roman"/>
        <w:b/>
        <w:sz w:val="20"/>
        <w:szCs w:val="20"/>
        <w:lang w:val="en-US"/>
      </w:rPr>
      <w:t xml:space="preserve">CHAPTER 2. GENERAL ACCOUNTING POLICIES </w:t>
    </w:r>
  </w:p>
  <w:p w14:paraId="27EE6845" w14:textId="48F668AF" w:rsidR="003A587C" w:rsidRPr="007D770B" w:rsidRDefault="003A587C" w:rsidP="0005635A">
    <w:pPr>
      <w:pStyle w:val="ae"/>
      <w:pBdr>
        <w:bottom w:val="single" w:sz="12" w:space="1" w:color="auto"/>
      </w:pBdr>
      <w:spacing w:after="240" w:line="240" w:lineRule="auto"/>
      <w:rPr>
        <w:rFonts w:ascii="Times New Roman" w:hAnsi="Times New Roman"/>
        <w:b/>
        <w:sz w:val="20"/>
        <w:szCs w:val="20"/>
        <w:lang w:val="en-US"/>
      </w:rPr>
    </w:pPr>
    <w:r w:rsidRPr="007D770B">
      <w:rPr>
        <w:rFonts w:ascii="Times New Roman" w:hAnsi="Times New Roman"/>
        <w:b/>
        <w:sz w:val="20"/>
        <w:szCs w:val="20"/>
        <w:lang w:val="en-US"/>
      </w:rPr>
      <w:t>Section 6: Non-current Assets Held for Sale and Discontinued Operations (IFRS 5)</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BA16D" w14:textId="643CD0C2" w:rsidR="003A587C" w:rsidRPr="007D770B" w:rsidRDefault="003A587C" w:rsidP="00794D46">
    <w:pPr>
      <w:pStyle w:val="ae"/>
      <w:rPr>
        <w:rFonts w:ascii="Times New Roman" w:hAnsi="Times New Roman"/>
        <w:b/>
        <w:sz w:val="20"/>
        <w:szCs w:val="20"/>
        <w:lang w:val="en-US"/>
      </w:rPr>
    </w:pPr>
    <w:r w:rsidRPr="007D770B">
      <w:rPr>
        <w:rFonts w:ascii="Times New Roman" w:hAnsi="Times New Roman"/>
        <w:b/>
        <w:sz w:val="20"/>
        <w:szCs w:val="20"/>
        <w:lang w:val="en-US"/>
      </w:rPr>
      <w:t xml:space="preserve">CHAPTER 2. GENERAL ACCOUNTING POLICIES </w:t>
    </w:r>
  </w:p>
  <w:p w14:paraId="0EACA28D" w14:textId="62A49785" w:rsidR="003A587C" w:rsidRPr="007D770B" w:rsidRDefault="003A587C" w:rsidP="00E75492">
    <w:pPr>
      <w:pStyle w:val="ae"/>
      <w:pBdr>
        <w:bottom w:val="single" w:sz="12" w:space="1" w:color="auto"/>
      </w:pBdr>
      <w:spacing w:after="240" w:line="240" w:lineRule="auto"/>
      <w:rPr>
        <w:rFonts w:ascii="Times New Roman" w:hAnsi="Times New Roman"/>
        <w:b/>
        <w:sz w:val="20"/>
        <w:szCs w:val="20"/>
        <w:lang w:val="en-US"/>
      </w:rPr>
    </w:pPr>
    <w:r w:rsidRPr="007D770B">
      <w:rPr>
        <w:rFonts w:ascii="Times New Roman" w:hAnsi="Times New Roman"/>
        <w:b/>
        <w:sz w:val="20"/>
        <w:szCs w:val="20"/>
        <w:lang w:val="en-US"/>
      </w:rPr>
      <w:t>Section 6: Non-current Assets Held for Sale and Discontinued Operations (IFRS 5)</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B9408" w14:textId="41EDA521" w:rsidR="003A587C" w:rsidRDefault="003A587C">
    <w:pPr>
      <w:pStyle w:val="ae"/>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AAFBD" w14:textId="54E4B5DC" w:rsidR="003A587C" w:rsidRPr="007D770B" w:rsidRDefault="003A587C" w:rsidP="00EE2696">
    <w:pPr>
      <w:pStyle w:val="ae"/>
      <w:rPr>
        <w:rFonts w:ascii="Times New Roman" w:hAnsi="Times New Roman"/>
        <w:b/>
        <w:sz w:val="20"/>
        <w:szCs w:val="20"/>
        <w:lang w:val="en-US"/>
      </w:rPr>
    </w:pPr>
    <w:r w:rsidRPr="007D770B">
      <w:rPr>
        <w:rFonts w:ascii="Times New Roman" w:hAnsi="Times New Roman"/>
        <w:b/>
        <w:sz w:val="20"/>
        <w:szCs w:val="20"/>
        <w:lang w:val="en-US"/>
      </w:rPr>
      <w:t xml:space="preserve">CHAPTER 2. GENERAL ACCOUNTING POLICIES </w:t>
    </w:r>
  </w:p>
  <w:p w14:paraId="2AB4977D" w14:textId="504CBB36" w:rsidR="003A587C" w:rsidRPr="007D770B" w:rsidRDefault="003A587C" w:rsidP="0005635A">
    <w:pPr>
      <w:pStyle w:val="ae"/>
      <w:pBdr>
        <w:bottom w:val="single" w:sz="12" w:space="1" w:color="auto"/>
      </w:pBdr>
      <w:spacing w:after="240" w:line="240" w:lineRule="auto"/>
      <w:rPr>
        <w:rFonts w:ascii="Times New Roman" w:hAnsi="Times New Roman"/>
        <w:b/>
        <w:sz w:val="20"/>
        <w:szCs w:val="20"/>
        <w:lang w:val="en-US"/>
      </w:rPr>
    </w:pPr>
    <w:r w:rsidRPr="007D770B">
      <w:rPr>
        <w:rFonts w:ascii="Times New Roman" w:hAnsi="Times New Roman"/>
        <w:b/>
        <w:sz w:val="20"/>
        <w:szCs w:val="20"/>
        <w:lang w:val="en-US"/>
      </w:rPr>
      <w:t>Section 7: Provisions, contingent assets and contingent liabilities (IAS 37)</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3448E" w14:textId="214A7EC2" w:rsidR="003A587C" w:rsidRPr="007D770B" w:rsidRDefault="003A587C" w:rsidP="00794D46">
    <w:pPr>
      <w:pStyle w:val="ae"/>
      <w:rPr>
        <w:rFonts w:ascii="Times New Roman" w:hAnsi="Times New Roman"/>
        <w:b/>
        <w:sz w:val="20"/>
        <w:szCs w:val="20"/>
        <w:lang w:val="en-US"/>
      </w:rPr>
    </w:pPr>
    <w:r w:rsidRPr="007D770B">
      <w:rPr>
        <w:rFonts w:ascii="Times New Roman" w:hAnsi="Times New Roman"/>
        <w:b/>
        <w:sz w:val="20"/>
        <w:szCs w:val="20"/>
        <w:lang w:val="en-US"/>
      </w:rPr>
      <w:t xml:space="preserve">CHAPTER 2. GENERAL ACCOUNTING POLICIES </w:t>
    </w:r>
  </w:p>
  <w:p w14:paraId="76F9EB3A" w14:textId="2BE3E670" w:rsidR="003A587C" w:rsidRPr="007D770B" w:rsidRDefault="003A587C" w:rsidP="00E75492">
    <w:pPr>
      <w:pStyle w:val="ae"/>
      <w:pBdr>
        <w:bottom w:val="single" w:sz="12" w:space="1" w:color="auto"/>
      </w:pBdr>
      <w:spacing w:after="240" w:line="240" w:lineRule="auto"/>
      <w:rPr>
        <w:rFonts w:ascii="Times New Roman" w:hAnsi="Times New Roman"/>
        <w:b/>
        <w:sz w:val="20"/>
        <w:szCs w:val="20"/>
        <w:lang w:val="en-US"/>
      </w:rPr>
    </w:pPr>
    <w:r w:rsidRPr="007D770B">
      <w:rPr>
        <w:rFonts w:ascii="Times New Roman" w:hAnsi="Times New Roman"/>
        <w:b/>
        <w:sz w:val="20"/>
        <w:szCs w:val="20"/>
        <w:lang w:val="en-US"/>
      </w:rPr>
      <w:t>Section 7: Provisions, contingent assets and contingent liabilities (IAS 37)</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EFB28" w14:textId="536CDB7F" w:rsidR="003A587C" w:rsidRDefault="003A587C">
    <w:pPr>
      <w:pStyle w:val="ae"/>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FEE6A" w14:textId="122D68E3" w:rsidR="003A587C" w:rsidRPr="007D770B" w:rsidRDefault="003A587C" w:rsidP="00EE2696">
    <w:pPr>
      <w:pStyle w:val="ae"/>
      <w:rPr>
        <w:rFonts w:ascii="Times New Roman" w:hAnsi="Times New Roman"/>
        <w:b/>
        <w:sz w:val="20"/>
        <w:szCs w:val="20"/>
        <w:lang w:val="en-US"/>
      </w:rPr>
    </w:pPr>
    <w:r w:rsidRPr="007D770B">
      <w:rPr>
        <w:rFonts w:ascii="Times New Roman" w:hAnsi="Times New Roman"/>
        <w:b/>
        <w:sz w:val="20"/>
        <w:szCs w:val="20"/>
        <w:lang w:val="en-US"/>
      </w:rPr>
      <w:t xml:space="preserve">CHAPTER 2. GENERAL ACCOUNTING POLICIES </w:t>
    </w:r>
  </w:p>
  <w:p w14:paraId="680A2A07" w14:textId="089B4912" w:rsidR="003A587C" w:rsidRDefault="003A587C" w:rsidP="0005635A">
    <w:pPr>
      <w:pStyle w:val="ae"/>
      <w:pBdr>
        <w:bottom w:val="single" w:sz="12" w:space="1" w:color="auto"/>
      </w:pBdr>
      <w:spacing w:after="240" w:line="240" w:lineRule="auto"/>
      <w:rPr>
        <w:rFonts w:ascii="Times New Roman" w:hAnsi="Times New Roman"/>
        <w:b/>
        <w:sz w:val="20"/>
        <w:szCs w:val="20"/>
      </w:rPr>
    </w:pPr>
    <w:r w:rsidRPr="007D770B">
      <w:rPr>
        <w:rFonts w:ascii="Times New Roman" w:hAnsi="Times New Roman"/>
        <w:b/>
        <w:sz w:val="20"/>
        <w:szCs w:val="20"/>
        <w:lang w:val="en-US"/>
      </w:rPr>
      <w:t xml:space="preserve">Section 8. </w:t>
    </w:r>
    <w:r w:rsidRPr="0005635A">
      <w:rPr>
        <w:rFonts w:ascii="Times New Roman" w:hAnsi="Times New Roman"/>
        <w:b/>
        <w:sz w:val="20"/>
        <w:szCs w:val="20"/>
      </w:rPr>
      <w:t>Employee benefits (IAS 19)</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0DFE5" w14:textId="65218EB6" w:rsidR="003A587C" w:rsidRPr="007D770B" w:rsidRDefault="003A587C" w:rsidP="00794D46">
    <w:pPr>
      <w:pStyle w:val="ae"/>
      <w:rPr>
        <w:rFonts w:ascii="Times New Roman" w:hAnsi="Times New Roman"/>
        <w:b/>
        <w:sz w:val="20"/>
        <w:szCs w:val="20"/>
        <w:lang w:val="en-US"/>
      </w:rPr>
    </w:pPr>
    <w:r w:rsidRPr="007D770B">
      <w:rPr>
        <w:rFonts w:ascii="Times New Roman" w:hAnsi="Times New Roman"/>
        <w:b/>
        <w:sz w:val="20"/>
        <w:szCs w:val="20"/>
        <w:lang w:val="en-US"/>
      </w:rPr>
      <w:t xml:space="preserve">CHAPTER 2. GENERAL ACCOUNTING POLICIES </w:t>
    </w:r>
  </w:p>
  <w:p w14:paraId="12F9F8D6" w14:textId="2A50EA4B" w:rsidR="003A587C" w:rsidRPr="00794D46" w:rsidRDefault="003A587C" w:rsidP="003D61EC">
    <w:pPr>
      <w:pStyle w:val="ae"/>
      <w:pBdr>
        <w:bottom w:val="single" w:sz="12" w:space="1" w:color="auto"/>
      </w:pBdr>
      <w:spacing w:after="240" w:line="240" w:lineRule="auto"/>
      <w:rPr>
        <w:rFonts w:ascii="Times New Roman" w:hAnsi="Times New Roman"/>
        <w:b/>
        <w:sz w:val="20"/>
        <w:szCs w:val="20"/>
      </w:rPr>
    </w:pPr>
    <w:r w:rsidRPr="007D770B">
      <w:rPr>
        <w:rFonts w:ascii="Times New Roman" w:hAnsi="Times New Roman"/>
        <w:b/>
        <w:sz w:val="20"/>
        <w:szCs w:val="20"/>
        <w:lang w:val="en-US"/>
      </w:rPr>
      <w:t xml:space="preserve">Section 8. </w:t>
    </w:r>
    <w:r w:rsidRPr="0005635A">
      <w:rPr>
        <w:rFonts w:ascii="Times New Roman" w:hAnsi="Times New Roman"/>
        <w:b/>
        <w:sz w:val="20"/>
        <w:szCs w:val="20"/>
      </w:rPr>
      <w:t>Employee benefits (IAS 19)</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1DEC2" w14:textId="4EBC26F9" w:rsidR="003A587C" w:rsidRDefault="003A587C">
    <w:pPr>
      <w:pStyle w:val="ae"/>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B22FF" w14:textId="232FEAA9" w:rsidR="003A587C" w:rsidRPr="007D770B" w:rsidRDefault="003A587C" w:rsidP="00EE2696">
    <w:pPr>
      <w:pStyle w:val="ae"/>
      <w:rPr>
        <w:rFonts w:ascii="Times New Roman" w:hAnsi="Times New Roman"/>
        <w:b/>
        <w:sz w:val="20"/>
        <w:szCs w:val="20"/>
        <w:lang w:val="en-US"/>
      </w:rPr>
    </w:pPr>
    <w:r w:rsidRPr="007D770B">
      <w:rPr>
        <w:rFonts w:ascii="Times New Roman" w:hAnsi="Times New Roman"/>
        <w:b/>
        <w:sz w:val="20"/>
        <w:szCs w:val="20"/>
        <w:lang w:val="en-US"/>
      </w:rPr>
      <w:t xml:space="preserve">CHAPTER 2. GENERAL ACCOUNTING POLICIES </w:t>
    </w:r>
  </w:p>
  <w:p w14:paraId="525A750A" w14:textId="2FCE6499" w:rsidR="003A587C" w:rsidRPr="007D770B" w:rsidRDefault="003A587C" w:rsidP="0005635A">
    <w:pPr>
      <w:pStyle w:val="ae"/>
      <w:pBdr>
        <w:bottom w:val="single" w:sz="12" w:space="1" w:color="auto"/>
      </w:pBdr>
      <w:spacing w:after="240" w:line="240" w:lineRule="auto"/>
      <w:rPr>
        <w:rFonts w:ascii="Times New Roman" w:hAnsi="Times New Roman"/>
        <w:b/>
        <w:sz w:val="20"/>
        <w:szCs w:val="20"/>
        <w:lang w:val="en-US"/>
      </w:rPr>
    </w:pPr>
    <w:r w:rsidRPr="007D770B">
      <w:rPr>
        <w:rFonts w:ascii="Times New Roman" w:hAnsi="Times New Roman"/>
        <w:b/>
        <w:sz w:val="20"/>
        <w:szCs w:val="20"/>
        <w:lang w:val="en-US"/>
      </w:rPr>
      <w:t>Section 9. Revenue from contracts with customers (IFRS 15)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65D46" w14:textId="3F40D609" w:rsidR="003A587C" w:rsidRDefault="003A587C">
    <w:pPr>
      <w:pStyle w:val="ae"/>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C8B3F" w14:textId="731D8675" w:rsidR="003A587C" w:rsidRPr="007D770B" w:rsidRDefault="003A587C" w:rsidP="00794D46">
    <w:pPr>
      <w:pStyle w:val="ae"/>
      <w:rPr>
        <w:rFonts w:ascii="Times New Roman" w:hAnsi="Times New Roman"/>
        <w:b/>
        <w:sz w:val="20"/>
        <w:szCs w:val="20"/>
        <w:lang w:val="en-US"/>
      </w:rPr>
    </w:pPr>
    <w:r w:rsidRPr="007D770B">
      <w:rPr>
        <w:rFonts w:ascii="Times New Roman" w:hAnsi="Times New Roman"/>
        <w:b/>
        <w:sz w:val="20"/>
        <w:szCs w:val="20"/>
        <w:lang w:val="en-US"/>
      </w:rPr>
      <w:t xml:space="preserve">CHAPTER 2. GENERAL ACCOUNTING POLICIES </w:t>
    </w:r>
  </w:p>
  <w:p w14:paraId="60B6CCB9" w14:textId="31F2367D" w:rsidR="003A587C" w:rsidRPr="007D770B" w:rsidRDefault="003A587C" w:rsidP="003D61EC">
    <w:pPr>
      <w:pStyle w:val="ae"/>
      <w:pBdr>
        <w:bottom w:val="single" w:sz="12" w:space="1" w:color="auto"/>
      </w:pBdr>
      <w:spacing w:after="240" w:line="240" w:lineRule="auto"/>
      <w:rPr>
        <w:rFonts w:ascii="Times New Roman" w:hAnsi="Times New Roman"/>
        <w:b/>
        <w:sz w:val="20"/>
        <w:szCs w:val="20"/>
        <w:lang w:val="en-US"/>
      </w:rPr>
    </w:pPr>
    <w:r w:rsidRPr="007D770B">
      <w:rPr>
        <w:rFonts w:ascii="Times New Roman" w:hAnsi="Times New Roman"/>
        <w:b/>
        <w:sz w:val="20"/>
        <w:szCs w:val="20"/>
        <w:lang w:val="en-US"/>
      </w:rPr>
      <w:t>Section 9. Revenue from contracts with customers (IFRS 15)</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251E1" w14:textId="37735472" w:rsidR="003A587C" w:rsidRDefault="003A587C">
    <w:pPr>
      <w:pStyle w:val="ae"/>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DCD8B" w14:textId="5E7B702E" w:rsidR="003A587C" w:rsidRPr="007D770B" w:rsidRDefault="003A587C" w:rsidP="00EE2696">
    <w:pPr>
      <w:pStyle w:val="ae"/>
      <w:rPr>
        <w:rFonts w:ascii="Times New Roman" w:hAnsi="Times New Roman"/>
        <w:b/>
        <w:sz w:val="20"/>
        <w:szCs w:val="20"/>
        <w:lang w:val="en-US"/>
      </w:rPr>
    </w:pPr>
    <w:r w:rsidRPr="007D770B">
      <w:rPr>
        <w:rFonts w:ascii="Times New Roman" w:hAnsi="Times New Roman"/>
        <w:b/>
        <w:sz w:val="20"/>
        <w:szCs w:val="20"/>
        <w:lang w:val="en-US"/>
      </w:rPr>
      <w:t xml:space="preserve">CHAPTER 2. GENERAL ACCOUNTING POLICIES </w:t>
    </w:r>
  </w:p>
  <w:p w14:paraId="07930459" w14:textId="77777777" w:rsidR="003A587C" w:rsidRDefault="003A587C" w:rsidP="0005635A">
    <w:pPr>
      <w:pStyle w:val="ae"/>
      <w:pBdr>
        <w:bottom w:val="single" w:sz="12" w:space="1" w:color="auto"/>
      </w:pBdr>
      <w:spacing w:after="240" w:line="240" w:lineRule="auto"/>
      <w:rPr>
        <w:rFonts w:ascii="Times New Roman" w:hAnsi="Times New Roman"/>
        <w:b/>
        <w:sz w:val="20"/>
        <w:szCs w:val="20"/>
      </w:rPr>
    </w:pPr>
    <w:r w:rsidRPr="007D770B">
      <w:rPr>
        <w:rFonts w:ascii="Times New Roman" w:hAnsi="Times New Roman"/>
        <w:b/>
        <w:sz w:val="20"/>
        <w:szCs w:val="20"/>
        <w:lang w:val="en-US"/>
      </w:rPr>
      <w:t xml:space="preserve">Section 10. </w:t>
    </w:r>
    <w:r w:rsidRPr="0005635A">
      <w:rPr>
        <w:rFonts w:ascii="Times New Roman" w:hAnsi="Times New Roman"/>
        <w:b/>
        <w:sz w:val="20"/>
        <w:szCs w:val="20"/>
      </w:rPr>
      <w:t>Expenses</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FC275" w14:textId="004A24D3" w:rsidR="003A587C" w:rsidRPr="007D770B" w:rsidRDefault="003A587C" w:rsidP="00794D46">
    <w:pPr>
      <w:pStyle w:val="ae"/>
      <w:rPr>
        <w:rFonts w:ascii="Times New Roman" w:hAnsi="Times New Roman"/>
        <w:b/>
        <w:sz w:val="20"/>
        <w:szCs w:val="20"/>
        <w:lang w:val="en-US"/>
      </w:rPr>
    </w:pPr>
    <w:r w:rsidRPr="007D770B">
      <w:rPr>
        <w:rFonts w:ascii="Times New Roman" w:hAnsi="Times New Roman"/>
        <w:b/>
        <w:sz w:val="20"/>
        <w:szCs w:val="20"/>
        <w:lang w:val="en-US"/>
      </w:rPr>
      <w:t xml:space="preserve">CHAPTER 2. GENERAL ACCOUNTING POLICIES </w:t>
    </w:r>
  </w:p>
  <w:p w14:paraId="6273E196" w14:textId="77777777" w:rsidR="003A587C" w:rsidRPr="00794D46" w:rsidRDefault="003A587C" w:rsidP="00E86DC8">
    <w:pPr>
      <w:pStyle w:val="ae"/>
      <w:pBdr>
        <w:bottom w:val="single" w:sz="12" w:space="1" w:color="auto"/>
      </w:pBdr>
      <w:spacing w:after="240" w:line="240" w:lineRule="auto"/>
      <w:rPr>
        <w:rFonts w:ascii="Times New Roman" w:hAnsi="Times New Roman"/>
        <w:b/>
        <w:sz w:val="20"/>
        <w:szCs w:val="20"/>
      </w:rPr>
    </w:pPr>
    <w:r w:rsidRPr="007D770B">
      <w:rPr>
        <w:rFonts w:ascii="Times New Roman" w:hAnsi="Times New Roman"/>
        <w:b/>
        <w:sz w:val="20"/>
        <w:szCs w:val="20"/>
        <w:lang w:val="en-US"/>
      </w:rPr>
      <w:t xml:space="preserve">Section 10. </w:t>
    </w:r>
    <w:r w:rsidRPr="0005635A">
      <w:rPr>
        <w:rFonts w:ascii="Times New Roman" w:hAnsi="Times New Roman"/>
        <w:b/>
        <w:sz w:val="20"/>
        <w:szCs w:val="20"/>
      </w:rPr>
      <w:t>Expenses</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5C205" w14:textId="4438F990" w:rsidR="003A587C" w:rsidRDefault="003A587C">
    <w:pPr>
      <w:pStyle w:val="ae"/>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27A50" w14:textId="58CAD690" w:rsidR="003A587C" w:rsidRPr="007D770B" w:rsidRDefault="003A587C" w:rsidP="00EE2696">
    <w:pPr>
      <w:pStyle w:val="ae"/>
      <w:rPr>
        <w:rFonts w:ascii="Times New Roman" w:hAnsi="Times New Roman"/>
        <w:b/>
        <w:sz w:val="20"/>
        <w:szCs w:val="20"/>
        <w:lang w:val="en-US"/>
      </w:rPr>
    </w:pPr>
    <w:r w:rsidRPr="007D770B">
      <w:rPr>
        <w:rFonts w:ascii="Times New Roman" w:hAnsi="Times New Roman"/>
        <w:b/>
        <w:sz w:val="20"/>
        <w:szCs w:val="20"/>
        <w:lang w:val="en-US"/>
      </w:rPr>
      <w:t xml:space="preserve">CHAPTER 2. GENERAL ACCOUNTING POLICIES </w:t>
    </w:r>
  </w:p>
  <w:p w14:paraId="69FB3783" w14:textId="77777777" w:rsidR="003A587C" w:rsidRDefault="003A587C" w:rsidP="0005635A">
    <w:pPr>
      <w:pStyle w:val="ae"/>
      <w:pBdr>
        <w:bottom w:val="single" w:sz="12" w:space="1" w:color="auto"/>
      </w:pBdr>
      <w:spacing w:after="240" w:line="240" w:lineRule="auto"/>
      <w:rPr>
        <w:rFonts w:ascii="Times New Roman" w:hAnsi="Times New Roman"/>
        <w:b/>
        <w:sz w:val="20"/>
        <w:szCs w:val="20"/>
      </w:rPr>
    </w:pPr>
    <w:r w:rsidRPr="007D770B">
      <w:rPr>
        <w:rFonts w:ascii="Times New Roman" w:hAnsi="Times New Roman"/>
        <w:b/>
        <w:sz w:val="20"/>
        <w:szCs w:val="20"/>
        <w:lang w:val="en-US"/>
      </w:rPr>
      <w:t xml:space="preserve">Section 11. </w:t>
    </w:r>
    <w:r w:rsidRPr="0005635A">
      <w:rPr>
        <w:rFonts w:ascii="Times New Roman" w:hAnsi="Times New Roman"/>
        <w:b/>
        <w:sz w:val="20"/>
        <w:szCs w:val="20"/>
      </w:rPr>
      <w:t>Impairment of assets (IAS 36)</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FB844" w14:textId="408B89F9" w:rsidR="003A587C" w:rsidRDefault="003A587C">
    <w:pPr>
      <w:pStyle w:val="ae"/>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DDD3" w14:textId="46AD65B8" w:rsidR="003A587C" w:rsidRDefault="003A587C">
    <w:pPr>
      <w:pStyle w:val="ae"/>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26936" w14:textId="05241D50" w:rsidR="003A587C" w:rsidRPr="007D770B" w:rsidRDefault="003A587C" w:rsidP="00EE2696">
    <w:pPr>
      <w:pStyle w:val="ae"/>
      <w:rPr>
        <w:rFonts w:ascii="Times New Roman" w:hAnsi="Times New Roman"/>
        <w:b/>
        <w:sz w:val="20"/>
        <w:szCs w:val="20"/>
        <w:lang w:val="en-US"/>
      </w:rPr>
    </w:pPr>
    <w:r w:rsidRPr="007D770B">
      <w:rPr>
        <w:rFonts w:ascii="Times New Roman" w:hAnsi="Times New Roman"/>
        <w:b/>
        <w:sz w:val="20"/>
        <w:szCs w:val="20"/>
        <w:lang w:val="en-US"/>
      </w:rPr>
      <w:t xml:space="preserve">CHAPTER 2. GENERAL ACCOUNTING POLICIES </w:t>
    </w:r>
  </w:p>
  <w:p w14:paraId="173B1FD3" w14:textId="62BCD037" w:rsidR="003A587C" w:rsidRDefault="003A587C" w:rsidP="006816CF">
    <w:pPr>
      <w:pStyle w:val="ae"/>
      <w:pBdr>
        <w:bottom w:val="single" w:sz="12" w:space="1" w:color="auto"/>
      </w:pBdr>
      <w:spacing w:after="240" w:line="240" w:lineRule="auto"/>
      <w:rPr>
        <w:rFonts w:ascii="Times New Roman" w:hAnsi="Times New Roman"/>
        <w:b/>
        <w:sz w:val="20"/>
        <w:szCs w:val="20"/>
      </w:rPr>
    </w:pPr>
    <w:r w:rsidRPr="007D770B">
      <w:rPr>
        <w:rFonts w:ascii="Times New Roman" w:hAnsi="Times New Roman"/>
        <w:b/>
        <w:sz w:val="20"/>
        <w:szCs w:val="20"/>
        <w:lang w:val="en-US"/>
      </w:rPr>
      <w:t xml:space="preserve">Section 13. </w:t>
    </w:r>
    <w:r>
      <w:rPr>
        <w:rFonts w:ascii="Times New Roman" w:hAnsi="Times New Roman"/>
        <w:b/>
        <w:sz w:val="20"/>
        <w:szCs w:val="20"/>
      </w:rPr>
      <w:t xml:space="preserve">Taxes </w:t>
    </w:r>
    <w:r w:rsidRPr="006816CF">
      <w:rPr>
        <w:rFonts w:ascii="Times New Roman" w:hAnsi="Times New Roman"/>
        <w:b/>
        <w:sz w:val="20"/>
        <w:szCs w:val="20"/>
      </w:rPr>
      <w:t xml:space="preserve">(IAS </w:t>
    </w:r>
    <w:r>
      <w:rPr>
        <w:rFonts w:ascii="Times New Roman" w:hAnsi="Times New Roman"/>
        <w:b/>
        <w:sz w:val="20"/>
        <w:szCs w:val="20"/>
      </w:rPr>
      <w:t>12</w:t>
    </w:r>
    <w:r w:rsidRPr="006816CF">
      <w:rPr>
        <w:rFonts w:ascii="Times New Roman" w:hAnsi="Times New Roman"/>
        <w:b/>
        <w:sz w:val="20"/>
        <w:szCs w:val="20"/>
      </w:rPr>
      <w:t>)</w: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A4413" w14:textId="0631FC6C" w:rsidR="003A587C" w:rsidRPr="007D770B" w:rsidRDefault="003A587C" w:rsidP="00794D46">
    <w:pPr>
      <w:pStyle w:val="ae"/>
      <w:rPr>
        <w:rFonts w:ascii="Times New Roman" w:hAnsi="Times New Roman"/>
        <w:b/>
        <w:sz w:val="20"/>
        <w:szCs w:val="20"/>
        <w:lang w:val="en-US"/>
      </w:rPr>
    </w:pPr>
    <w:r w:rsidRPr="007D770B">
      <w:rPr>
        <w:rFonts w:ascii="Times New Roman" w:hAnsi="Times New Roman"/>
        <w:b/>
        <w:sz w:val="20"/>
        <w:szCs w:val="20"/>
        <w:lang w:val="en-US"/>
      </w:rPr>
      <w:t xml:space="preserve">CHAPTER 2. GENERAL ACCOUNTING POLICIES </w:t>
    </w:r>
  </w:p>
  <w:p w14:paraId="0E923D3C" w14:textId="510D6337" w:rsidR="003A587C" w:rsidRPr="00794D46" w:rsidRDefault="003A587C" w:rsidP="0089594E">
    <w:pPr>
      <w:pStyle w:val="ae"/>
      <w:pBdr>
        <w:bottom w:val="single" w:sz="12" w:space="1" w:color="auto"/>
      </w:pBdr>
      <w:spacing w:after="240" w:line="240" w:lineRule="auto"/>
      <w:rPr>
        <w:rFonts w:ascii="Times New Roman" w:hAnsi="Times New Roman"/>
        <w:b/>
        <w:sz w:val="20"/>
        <w:szCs w:val="20"/>
      </w:rPr>
    </w:pPr>
    <w:r w:rsidRPr="007D770B">
      <w:rPr>
        <w:rFonts w:ascii="Times New Roman" w:hAnsi="Times New Roman"/>
        <w:b/>
        <w:sz w:val="20"/>
        <w:szCs w:val="20"/>
        <w:lang w:val="en-US"/>
      </w:rPr>
      <w:t xml:space="preserve">Section 12. </w:t>
    </w:r>
    <w:r>
      <w:rPr>
        <w:rFonts w:ascii="Times New Roman" w:hAnsi="Times New Roman"/>
        <w:b/>
        <w:sz w:val="20"/>
        <w:szCs w:val="20"/>
      </w:rPr>
      <w:t xml:space="preserve">Leases </w:t>
    </w:r>
    <w:r w:rsidRPr="006816CF">
      <w:rPr>
        <w:rFonts w:ascii="Times New Roman" w:hAnsi="Times New Roman"/>
        <w:b/>
        <w:sz w:val="20"/>
        <w:szCs w:val="20"/>
      </w:rPr>
      <w:t xml:space="preserve">(IAS </w:t>
    </w:r>
    <w:r>
      <w:rPr>
        <w:rFonts w:ascii="Times New Roman" w:hAnsi="Times New Roman"/>
        <w:b/>
        <w:sz w:val="20"/>
        <w:szCs w:val="20"/>
      </w:rPr>
      <w:t>16</w:t>
    </w:r>
    <w:r w:rsidRPr="006816CF">
      <w:rPr>
        <w:rFonts w:ascii="Times New Roman" w:hAnsi="Times New Roman"/>
        <w:b/>
        <w:sz w:val="20"/>
        <w:szCs w:val="20"/>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3C3AF" w14:textId="65D14E3A" w:rsidR="003A587C" w:rsidRPr="007D770B" w:rsidRDefault="003A587C" w:rsidP="0009463D">
    <w:pPr>
      <w:pStyle w:val="ae"/>
      <w:rPr>
        <w:rFonts w:ascii="Times New Roman" w:hAnsi="Times New Roman"/>
        <w:b/>
        <w:sz w:val="20"/>
        <w:szCs w:val="20"/>
        <w:lang w:val="en-US"/>
      </w:rPr>
    </w:pPr>
    <w:r w:rsidRPr="007D770B">
      <w:rPr>
        <w:rFonts w:ascii="Times New Roman" w:hAnsi="Times New Roman"/>
        <w:b/>
        <w:sz w:val="20"/>
        <w:szCs w:val="20"/>
        <w:lang w:val="en-US"/>
      </w:rPr>
      <w:t>CHAPTER 1. GENERAL PROVISIONS</w:t>
    </w:r>
  </w:p>
  <w:p w14:paraId="51B6E924" w14:textId="7762232A" w:rsidR="003A587C" w:rsidRPr="007D770B" w:rsidRDefault="003A587C" w:rsidP="006340D1">
    <w:pPr>
      <w:pStyle w:val="ae"/>
      <w:pBdr>
        <w:bottom w:val="single" w:sz="12" w:space="1" w:color="auto"/>
      </w:pBdr>
      <w:spacing w:after="240" w:line="240" w:lineRule="auto"/>
      <w:rPr>
        <w:rFonts w:ascii="Times New Roman" w:hAnsi="Times New Roman"/>
        <w:b/>
        <w:sz w:val="20"/>
        <w:szCs w:val="20"/>
        <w:lang w:val="en-US"/>
      </w:rPr>
    </w:pPr>
    <w:r w:rsidRPr="007D770B">
      <w:rPr>
        <w:rFonts w:ascii="Times New Roman" w:hAnsi="Times New Roman"/>
        <w:b/>
        <w:sz w:val="20"/>
        <w:szCs w:val="20"/>
        <w:lang w:val="en-US"/>
      </w:rPr>
      <w:t>Section 1: Presentation of Financial Statements (IAS 1)</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CBC83" w14:textId="724AFCD2" w:rsidR="003A587C" w:rsidRDefault="003A587C">
    <w:pPr>
      <w:pStyle w:val="ae"/>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256A1" w14:textId="41D1F701" w:rsidR="003A587C" w:rsidRPr="007D770B" w:rsidRDefault="003A587C" w:rsidP="006816CF">
    <w:pPr>
      <w:pStyle w:val="ae"/>
      <w:rPr>
        <w:rFonts w:ascii="Times New Roman" w:hAnsi="Times New Roman"/>
        <w:b/>
        <w:sz w:val="20"/>
        <w:szCs w:val="20"/>
        <w:lang w:val="en-US"/>
      </w:rPr>
    </w:pPr>
    <w:r w:rsidRPr="007D770B">
      <w:rPr>
        <w:rFonts w:ascii="Times New Roman" w:hAnsi="Times New Roman"/>
        <w:b/>
        <w:sz w:val="20"/>
        <w:szCs w:val="20"/>
        <w:lang w:val="en-US"/>
      </w:rPr>
      <w:t xml:space="preserve">CHAPTER 2. GENERAL ACCOUNTING POLICIES </w:t>
    </w:r>
  </w:p>
  <w:p w14:paraId="72C21CFA" w14:textId="3DA256AD" w:rsidR="003A587C" w:rsidRPr="008B77D1" w:rsidRDefault="003A587C" w:rsidP="006816CF">
    <w:pPr>
      <w:pStyle w:val="ae"/>
      <w:pBdr>
        <w:bottom w:val="single" w:sz="12" w:space="1" w:color="auto"/>
      </w:pBdr>
      <w:spacing w:after="240" w:line="240" w:lineRule="auto"/>
      <w:rPr>
        <w:rFonts w:ascii="Times New Roman" w:hAnsi="Times New Roman"/>
        <w:sz w:val="20"/>
        <w:szCs w:val="20"/>
      </w:rPr>
    </w:pPr>
    <w:r w:rsidRPr="007D770B">
      <w:rPr>
        <w:rFonts w:ascii="Times New Roman" w:hAnsi="Times New Roman"/>
        <w:b/>
        <w:sz w:val="20"/>
        <w:szCs w:val="20"/>
        <w:lang w:val="en-US"/>
      </w:rPr>
      <w:t xml:space="preserve">Section 14. </w:t>
    </w:r>
    <w:r>
      <w:rPr>
        <w:rFonts w:ascii="Times New Roman" w:hAnsi="Times New Roman"/>
        <w:b/>
        <w:sz w:val="20"/>
        <w:szCs w:val="20"/>
      </w:rPr>
      <w:t>Capital</w: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FD0CF" w14:textId="046EC806" w:rsidR="003A587C" w:rsidRPr="007D770B" w:rsidRDefault="003A587C" w:rsidP="00794D46">
    <w:pPr>
      <w:pStyle w:val="ae"/>
      <w:rPr>
        <w:rFonts w:ascii="Times New Roman" w:hAnsi="Times New Roman"/>
        <w:b/>
        <w:sz w:val="20"/>
        <w:szCs w:val="20"/>
        <w:lang w:val="en-US"/>
      </w:rPr>
    </w:pPr>
    <w:r w:rsidRPr="007D770B">
      <w:rPr>
        <w:rFonts w:ascii="Times New Roman" w:hAnsi="Times New Roman"/>
        <w:b/>
        <w:sz w:val="20"/>
        <w:szCs w:val="20"/>
        <w:lang w:val="en-US"/>
      </w:rPr>
      <w:t xml:space="preserve">CHAPTER 2. GENERAL ACCOUNTING POLICIES </w:t>
    </w:r>
  </w:p>
  <w:p w14:paraId="796A7B19" w14:textId="0B3167C5" w:rsidR="003A587C" w:rsidRPr="00794D46" w:rsidRDefault="003A587C" w:rsidP="0089594E">
    <w:pPr>
      <w:pStyle w:val="ae"/>
      <w:pBdr>
        <w:bottom w:val="single" w:sz="12" w:space="1" w:color="auto"/>
      </w:pBdr>
      <w:spacing w:after="240" w:line="240" w:lineRule="auto"/>
      <w:rPr>
        <w:rFonts w:ascii="Times New Roman" w:hAnsi="Times New Roman"/>
        <w:b/>
        <w:sz w:val="20"/>
        <w:szCs w:val="20"/>
      </w:rPr>
    </w:pPr>
    <w:r w:rsidRPr="007D770B">
      <w:rPr>
        <w:rFonts w:ascii="Times New Roman" w:hAnsi="Times New Roman"/>
        <w:b/>
        <w:sz w:val="20"/>
        <w:szCs w:val="20"/>
        <w:lang w:val="en-US"/>
      </w:rPr>
      <w:t xml:space="preserve">Section 14. </w:t>
    </w:r>
    <w:r>
      <w:rPr>
        <w:rFonts w:ascii="Times New Roman" w:hAnsi="Times New Roman"/>
        <w:b/>
        <w:sz w:val="20"/>
        <w:szCs w:val="20"/>
      </w:rPr>
      <w:t>Capital</w: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4FC3C" w14:textId="77777777" w:rsidR="003A587C" w:rsidRPr="007D770B" w:rsidRDefault="003A587C" w:rsidP="006816CF">
    <w:pPr>
      <w:pStyle w:val="ae"/>
      <w:rPr>
        <w:rFonts w:ascii="Times New Roman" w:hAnsi="Times New Roman"/>
        <w:b/>
        <w:sz w:val="20"/>
        <w:szCs w:val="20"/>
        <w:lang w:val="en-US"/>
      </w:rPr>
    </w:pPr>
    <w:r w:rsidRPr="007D770B">
      <w:rPr>
        <w:rFonts w:ascii="Times New Roman" w:hAnsi="Times New Roman"/>
        <w:b/>
        <w:sz w:val="20"/>
        <w:szCs w:val="20"/>
        <w:lang w:val="en-US"/>
      </w:rPr>
      <w:t xml:space="preserve">CHAPTER 2. GENERAL ACCOUNTING POLICIES </w:t>
    </w:r>
  </w:p>
  <w:p w14:paraId="6C0D5300" w14:textId="40C380D6" w:rsidR="003A587C" w:rsidRPr="008B77D1" w:rsidRDefault="003A587C" w:rsidP="006816CF">
    <w:pPr>
      <w:pStyle w:val="ae"/>
      <w:pBdr>
        <w:bottom w:val="single" w:sz="12" w:space="1" w:color="auto"/>
      </w:pBdr>
      <w:spacing w:after="240" w:line="240" w:lineRule="auto"/>
      <w:rPr>
        <w:rFonts w:ascii="Times New Roman" w:hAnsi="Times New Roman"/>
        <w:sz w:val="20"/>
        <w:szCs w:val="20"/>
      </w:rPr>
    </w:pPr>
    <w:r w:rsidRPr="007D770B">
      <w:rPr>
        <w:rFonts w:ascii="Times New Roman" w:hAnsi="Times New Roman"/>
        <w:b/>
        <w:sz w:val="20"/>
        <w:szCs w:val="20"/>
        <w:lang w:val="en-US"/>
      </w:rPr>
      <w:t xml:space="preserve">Section 14-1. </w:t>
    </w:r>
    <w:r w:rsidRPr="00CD26BD">
      <w:rPr>
        <w:rFonts w:ascii="Times New Roman" w:hAnsi="Times New Roman"/>
        <w:b/>
        <w:sz w:val="20"/>
        <w:szCs w:val="20"/>
      </w:rPr>
      <w:t>Government Grants (IAS 20)</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F54CC" w14:textId="77777777" w:rsidR="003A587C" w:rsidRPr="007D770B" w:rsidRDefault="003A587C" w:rsidP="00794D46">
    <w:pPr>
      <w:pStyle w:val="ae"/>
      <w:rPr>
        <w:rFonts w:ascii="Times New Roman" w:hAnsi="Times New Roman"/>
        <w:b/>
        <w:sz w:val="20"/>
        <w:szCs w:val="20"/>
        <w:lang w:val="en-US"/>
      </w:rPr>
    </w:pPr>
    <w:r w:rsidRPr="007D770B">
      <w:rPr>
        <w:rFonts w:ascii="Times New Roman" w:hAnsi="Times New Roman"/>
        <w:b/>
        <w:sz w:val="20"/>
        <w:szCs w:val="20"/>
        <w:lang w:val="en-US"/>
      </w:rPr>
      <w:t xml:space="preserve">CHAPTER 2. GENERAL ACCOUNTING POLICIES </w:t>
    </w:r>
  </w:p>
  <w:p w14:paraId="3CC4F7AB" w14:textId="4B83A827" w:rsidR="003A587C" w:rsidRPr="00794D46" w:rsidRDefault="003A587C" w:rsidP="0089594E">
    <w:pPr>
      <w:pStyle w:val="ae"/>
      <w:pBdr>
        <w:bottom w:val="single" w:sz="12" w:space="1" w:color="auto"/>
      </w:pBdr>
      <w:spacing w:after="240" w:line="240" w:lineRule="auto"/>
      <w:rPr>
        <w:rFonts w:ascii="Times New Roman" w:hAnsi="Times New Roman"/>
        <w:b/>
        <w:sz w:val="20"/>
        <w:szCs w:val="20"/>
      </w:rPr>
    </w:pPr>
    <w:r w:rsidRPr="007D770B">
      <w:rPr>
        <w:rFonts w:ascii="Times New Roman" w:hAnsi="Times New Roman"/>
        <w:b/>
        <w:sz w:val="20"/>
        <w:szCs w:val="20"/>
        <w:lang w:val="en-US"/>
      </w:rPr>
      <w:t xml:space="preserve">Section 14-1. </w:t>
    </w:r>
    <w:r w:rsidRPr="00CD26BD">
      <w:rPr>
        <w:rFonts w:ascii="Times New Roman" w:hAnsi="Times New Roman"/>
        <w:b/>
        <w:sz w:val="20"/>
        <w:szCs w:val="20"/>
      </w:rPr>
      <w:t>Government Grants (IAS 20)</w: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E0E2D" w14:textId="578D855B" w:rsidR="003A587C" w:rsidRDefault="003A587C">
    <w:pPr>
      <w:pStyle w:val="ae"/>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EB633" w14:textId="6B41C774" w:rsidR="003A587C" w:rsidRPr="007D770B" w:rsidRDefault="003A587C" w:rsidP="006816CF">
    <w:pPr>
      <w:pStyle w:val="ae"/>
      <w:pBdr>
        <w:bottom w:val="single" w:sz="12" w:space="1" w:color="auto"/>
      </w:pBdr>
      <w:spacing w:line="240" w:lineRule="auto"/>
      <w:rPr>
        <w:rFonts w:ascii="Times New Roman" w:hAnsi="Times New Roman"/>
        <w:b/>
        <w:sz w:val="20"/>
        <w:szCs w:val="20"/>
        <w:lang w:val="en-US"/>
      </w:rPr>
    </w:pPr>
    <w:r w:rsidRPr="007D770B">
      <w:rPr>
        <w:rFonts w:ascii="Times New Roman" w:hAnsi="Times New Roman"/>
        <w:b/>
        <w:sz w:val="20"/>
        <w:szCs w:val="20"/>
        <w:lang w:val="en-US"/>
      </w:rPr>
      <w:t>CHAPTER 3. OTHER AREAS OF ACCOUNTING</w:t>
    </w:r>
  </w:p>
  <w:p w14:paraId="6C40874F" w14:textId="77777777" w:rsidR="003A587C" w:rsidRPr="007D770B" w:rsidRDefault="003A587C" w:rsidP="006816CF">
    <w:pPr>
      <w:pStyle w:val="ae"/>
      <w:pBdr>
        <w:bottom w:val="single" w:sz="12" w:space="1" w:color="auto"/>
      </w:pBdr>
      <w:spacing w:after="240" w:line="240" w:lineRule="auto"/>
      <w:rPr>
        <w:rFonts w:ascii="Times New Roman" w:hAnsi="Times New Roman"/>
        <w:b/>
        <w:sz w:val="20"/>
        <w:szCs w:val="20"/>
        <w:lang w:val="en-US"/>
      </w:rPr>
    </w:pPr>
    <w:r w:rsidRPr="007D770B">
      <w:rPr>
        <w:rFonts w:ascii="Times New Roman" w:hAnsi="Times New Roman"/>
        <w:b/>
        <w:sz w:val="20"/>
        <w:szCs w:val="20"/>
        <w:lang w:val="en-US"/>
      </w:rPr>
      <w:t>Section 2: Related parties (IAS 24)</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87D79" w14:textId="2EFDBECD" w:rsidR="003A587C" w:rsidRPr="007D770B" w:rsidRDefault="003A587C" w:rsidP="006B0A56">
    <w:pPr>
      <w:pStyle w:val="ae"/>
      <w:pBdr>
        <w:bottom w:val="single" w:sz="12" w:space="1" w:color="auto"/>
      </w:pBdr>
      <w:spacing w:line="240" w:lineRule="auto"/>
      <w:rPr>
        <w:rFonts w:ascii="Times New Roman" w:hAnsi="Times New Roman"/>
        <w:b/>
        <w:sz w:val="20"/>
        <w:szCs w:val="20"/>
        <w:lang w:val="en-US"/>
      </w:rPr>
    </w:pPr>
    <w:r w:rsidRPr="007D770B">
      <w:rPr>
        <w:rFonts w:ascii="Times New Roman" w:hAnsi="Times New Roman"/>
        <w:b/>
        <w:sz w:val="20"/>
        <w:szCs w:val="20"/>
        <w:lang w:val="en-US"/>
      </w:rPr>
      <w:t>CHAPTER 3. OTHER AREAS OF ACCOUNTING</w:t>
    </w:r>
  </w:p>
  <w:p w14:paraId="18529056" w14:textId="77777777" w:rsidR="003A587C" w:rsidRPr="007D770B" w:rsidRDefault="003A587C" w:rsidP="006B0A56">
    <w:pPr>
      <w:pStyle w:val="ae"/>
      <w:pBdr>
        <w:bottom w:val="single" w:sz="12" w:space="1" w:color="auto"/>
      </w:pBdr>
      <w:spacing w:after="240" w:line="240" w:lineRule="auto"/>
      <w:rPr>
        <w:rFonts w:ascii="Times New Roman" w:hAnsi="Times New Roman"/>
        <w:b/>
        <w:sz w:val="20"/>
        <w:szCs w:val="20"/>
        <w:lang w:val="en-US"/>
      </w:rPr>
    </w:pPr>
    <w:r w:rsidRPr="007D770B">
      <w:rPr>
        <w:rFonts w:ascii="Times New Roman" w:hAnsi="Times New Roman"/>
        <w:b/>
        <w:sz w:val="20"/>
        <w:szCs w:val="20"/>
        <w:lang w:val="en-US"/>
      </w:rPr>
      <w:t>Section 1: Effects of Changes in Foreign Exchange Rates (IAS 21)</w: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FAD18" w14:textId="327471DD" w:rsidR="003A587C" w:rsidRDefault="003A587C">
    <w:pPr>
      <w:pStyle w:val="ae"/>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7F7B0" w14:textId="3840FFA8" w:rsidR="003A587C" w:rsidRPr="007D770B" w:rsidRDefault="003A587C" w:rsidP="006816CF">
    <w:pPr>
      <w:pStyle w:val="ae"/>
      <w:pBdr>
        <w:bottom w:val="single" w:sz="12" w:space="1" w:color="auto"/>
      </w:pBdr>
      <w:spacing w:line="240" w:lineRule="auto"/>
      <w:rPr>
        <w:rFonts w:ascii="Times New Roman" w:hAnsi="Times New Roman"/>
        <w:b/>
        <w:sz w:val="20"/>
        <w:szCs w:val="20"/>
        <w:lang w:val="en-US"/>
      </w:rPr>
    </w:pPr>
    <w:r w:rsidRPr="007D770B">
      <w:rPr>
        <w:rFonts w:ascii="Times New Roman" w:hAnsi="Times New Roman"/>
        <w:b/>
        <w:sz w:val="20"/>
        <w:szCs w:val="20"/>
        <w:lang w:val="en-US"/>
      </w:rPr>
      <w:t>CHAPTER 3. OTHER AREAS OF ACCOUNTING</w:t>
    </w:r>
  </w:p>
  <w:p w14:paraId="7B95FFB6" w14:textId="77777777" w:rsidR="003A587C" w:rsidRPr="007D770B" w:rsidRDefault="003A587C" w:rsidP="006816CF">
    <w:pPr>
      <w:pStyle w:val="ae"/>
      <w:pBdr>
        <w:bottom w:val="single" w:sz="12" w:space="1" w:color="auto"/>
      </w:pBdr>
      <w:spacing w:after="240" w:line="240" w:lineRule="auto"/>
      <w:rPr>
        <w:rFonts w:ascii="Times New Roman" w:hAnsi="Times New Roman"/>
        <w:b/>
        <w:sz w:val="20"/>
        <w:szCs w:val="20"/>
        <w:lang w:val="en-US"/>
      </w:rPr>
    </w:pPr>
    <w:r w:rsidRPr="007D770B">
      <w:rPr>
        <w:rFonts w:ascii="Times New Roman" w:hAnsi="Times New Roman"/>
        <w:b/>
        <w:sz w:val="20"/>
        <w:szCs w:val="20"/>
        <w:lang w:val="en-US"/>
      </w:rPr>
      <w:t>Section 2: Related parties (IAS 24)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D22E3" w14:textId="71114995" w:rsidR="003A587C" w:rsidRDefault="003A587C">
    <w:pPr>
      <w:pStyle w:val="ae"/>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A0C27" w14:textId="558D8D59" w:rsidR="003A587C" w:rsidRPr="007D770B" w:rsidRDefault="003A587C" w:rsidP="006B0A56">
    <w:pPr>
      <w:pStyle w:val="ae"/>
      <w:pBdr>
        <w:bottom w:val="single" w:sz="12" w:space="1" w:color="auto"/>
      </w:pBdr>
      <w:spacing w:line="240" w:lineRule="auto"/>
      <w:rPr>
        <w:rFonts w:ascii="Times New Roman" w:hAnsi="Times New Roman"/>
        <w:b/>
        <w:sz w:val="20"/>
        <w:szCs w:val="20"/>
        <w:lang w:val="en-US"/>
      </w:rPr>
    </w:pPr>
    <w:r w:rsidRPr="007D770B">
      <w:rPr>
        <w:rFonts w:ascii="Times New Roman" w:hAnsi="Times New Roman"/>
        <w:b/>
        <w:sz w:val="20"/>
        <w:szCs w:val="20"/>
        <w:lang w:val="en-US"/>
      </w:rPr>
      <w:t>CHAPTER 3. OTHER AREAS OF ACCOUNTING</w:t>
    </w:r>
  </w:p>
  <w:p w14:paraId="5CE13917" w14:textId="77777777" w:rsidR="003A587C" w:rsidRPr="007D770B" w:rsidRDefault="003A587C" w:rsidP="006B0A56">
    <w:pPr>
      <w:pStyle w:val="ae"/>
      <w:pBdr>
        <w:bottom w:val="single" w:sz="12" w:space="1" w:color="auto"/>
      </w:pBdr>
      <w:spacing w:after="240" w:line="240" w:lineRule="auto"/>
      <w:rPr>
        <w:rFonts w:ascii="Times New Roman" w:hAnsi="Times New Roman"/>
        <w:b/>
        <w:sz w:val="20"/>
        <w:szCs w:val="20"/>
        <w:lang w:val="en-US"/>
      </w:rPr>
    </w:pPr>
    <w:r w:rsidRPr="007D770B">
      <w:rPr>
        <w:rFonts w:ascii="Times New Roman" w:hAnsi="Times New Roman"/>
        <w:b/>
        <w:sz w:val="20"/>
        <w:szCs w:val="20"/>
        <w:lang w:val="en-US"/>
      </w:rPr>
      <w:t>Section 2: Related parties (IAS 24)</w:t>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044A3" w14:textId="027600FC" w:rsidR="003A587C" w:rsidRDefault="003A587C">
    <w:pPr>
      <w:pStyle w:val="ae"/>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B9D52" w14:textId="0410766D" w:rsidR="003A587C" w:rsidRPr="007D770B" w:rsidRDefault="003A587C" w:rsidP="00162CD7">
    <w:pPr>
      <w:pStyle w:val="ae"/>
      <w:pBdr>
        <w:bottom w:val="single" w:sz="12" w:space="1" w:color="auto"/>
      </w:pBdr>
      <w:spacing w:line="240" w:lineRule="auto"/>
      <w:rPr>
        <w:rFonts w:ascii="Times New Roman" w:hAnsi="Times New Roman"/>
        <w:b/>
        <w:sz w:val="20"/>
        <w:szCs w:val="20"/>
        <w:lang w:val="en-US"/>
      </w:rPr>
    </w:pPr>
    <w:r w:rsidRPr="007D770B">
      <w:rPr>
        <w:rFonts w:ascii="Times New Roman" w:hAnsi="Times New Roman"/>
        <w:b/>
        <w:sz w:val="20"/>
        <w:szCs w:val="20"/>
        <w:lang w:val="en-US"/>
      </w:rPr>
      <w:t>CHAPTER 3. OTHER AREAS OF ACCOUNTING</w:t>
    </w:r>
  </w:p>
  <w:p w14:paraId="621F0A02" w14:textId="2D040768" w:rsidR="003A587C" w:rsidRDefault="003A587C" w:rsidP="006816CF">
    <w:pPr>
      <w:pStyle w:val="ae"/>
      <w:pBdr>
        <w:bottom w:val="single" w:sz="12" w:space="1" w:color="auto"/>
      </w:pBdr>
      <w:spacing w:after="240" w:line="240" w:lineRule="auto"/>
      <w:rPr>
        <w:rFonts w:ascii="Times New Roman" w:hAnsi="Times New Roman"/>
        <w:b/>
        <w:sz w:val="20"/>
        <w:szCs w:val="20"/>
      </w:rPr>
    </w:pPr>
    <w:r w:rsidRPr="007D770B">
      <w:rPr>
        <w:rFonts w:ascii="Times New Roman" w:hAnsi="Times New Roman"/>
        <w:b/>
        <w:sz w:val="20"/>
        <w:szCs w:val="20"/>
        <w:lang w:val="en-US"/>
      </w:rPr>
      <w:t xml:space="preserve">Section 2-1. </w:t>
    </w:r>
    <w:r>
      <w:rPr>
        <w:rFonts w:ascii="Times New Roman" w:hAnsi="Times New Roman"/>
        <w:b/>
        <w:sz w:val="20"/>
        <w:szCs w:val="20"/>
      </w:rPr>
      <w:t xml:space="preserve">Operating segments </w:t>
    </w:r>
    <w:r w:rsidRPr="00EC12D7">
      <w:rPr>
        <w:rFonts w:ascii="Times New Roman" w:hAnsi="Times New Roman"/>
        <w:b/>
        <w:sz w:val="20"/>
        <w:szCs w:val="20"/>
      </w:rPr>
      <w:t>(</w:t>
    </w:r>
    <w:r>
      <w:rPr>
        <w:rFonts w:ascii="Times New Roman" w:hAnsi="Times New Roman"/>
        <w:b/>
        <w:sz w:val="20"/>
        <w:szCs w:val="20"/>
      </w:rPr>
      <w:t>IFRS 8</w:t>
    </w:r>
    <w:r w:rsidRPr="00EC12D7">
      <w:rPr>
        <w:rFonts w:ascii="Times New Roman" w:hAnsi="Times New Roman"/>
        <w:b/>
        <w:sz w:val="20"/>
        <w:szCs w:val="20"/>
      </w:rPr>
      <w:t>)</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D5ACC" w14:textId="309C97BD" w:rsidR="003A587C" w:rsidRPr="007D770B" w:rsidRDefault="003A587C" w:rsidP="006B0A56">
    <w:pPr>
      <w:pStyle w:val="ae"/>
      <w:pBdr>
        <w:bottom w:val="single" w:sz="12" w:space="1" w:color="auto"/>
      </w:pBdr>
      <w:spacing w:line="240" w:lineRule="auto"/>
      <w:rPr>
        <w:rFonts w:ascii="Times New Roman" w:hAnsi="Times New Roman"/>
        <w:b/>
        <w:sz w:val="20"/>
        <w:szCs w:val="20"/>
        <w:lang w:val="en-US"/>
      </w:rPr>
    </w:pPr>
    <w:r w:rsidRPr="007D770B">
      <w:rPr>
        <w:rFonts w:ascii="Times New Roman" w:hAnsi="Times New Roman"/>
        <w:b/>
        <w:sz w:val="20"/>
        <w:szCs w:val="20"/>
        <w:lang w:val="en-US"/>
      </w:rPr>
      <w:t>CHAPTER 3. OTHER AREAS OF ACCOUNTING</w:t>
    </w:r>
  </w:p>
  <w:p w14:paraId="7CA12510" w14:textId="62A512FD" w:rsidR="003A587C" w:rsidRPr="00794D46" w:rsidRDefault="003A587C" w:rsidP="006B0A56">
    <w:pPr>
      <w:pStyle w:val="ae"/>
      <w:pBdr>
        <w:bottom w:val="single" w:sz="12" w:space="1" w:color="auto"/>
      </w:pBdr>
      <w:spacing w:after="240" w:line="240" w:lineRule="auto"/>
      <w:rPr>
        <w:rFonts w:ascii="Times New Roman" w:hAnsi="Times New Roman"/>
        <w:b/>
        <w:sz w:val="20"/>
        <w:szCs w:val="20"/>
      </w:rPr>
    </w:pPr>
    <w:r w:rsidRPr="007D770B">
      <w:rPr>
        <w:rFonts w:ascii="Times New Roman" w:hAnsi="Times New Roman"/>
        <w:b/>
        <w:sz w:val="20"/>
        <w:szCs w:val="20"/>
        <w:lang w:val="en-US"/>
      </w:rPr>
      <w:t xml:space="preserve">Section 2-1. </w:t>
    </w:r>
    <w:r>
      <w:rPr>
        <w:rFonts w:ascii="Times New Roman" w:hAnsi="Times New Roman"/>
        <w:b/>
        <w:sz w:val="20"/>
        <w:szCs w:val="20"/>
      </w:rPr>
      <w:t xml:space="preserve">Operating segments </w:t>
    </w:r>
    <w:r w:rsidRPr="00EC12D7">
      <w:rPr>
        <w:rFonts w:ascii="Times New Roman" w:hAnsi="Times New Roman"/>
        <w:b/>
        <w:sz w:val="20"/>
        <w:szCs w:val="20"/>
      </w:rPr>
      <w:t>(</w:t>
    </w:r>
    <w:r>
      <w:rPr>
        <w:rFonts w:ascii="Times New Roman" w:hAnsi="Times New Roman"/>
        <w:b/>
        <w:sz w:val="20"/>
        <w:szCs w:val="20"/>
      </w:rPr>
      <w:t>IFRS 8</w:t>
    </w:r>
    <w:r w:rsidRPr="00EC12D7">
      <w:rPr>
        <w:rFonts w:ascii="Times New Roman" w:hAnsi="Times New Roman"/>
        <w:b/>
        <w:sz w:val="20"/>
        <w:szCs w:val="20"/>
      </w:rPr>
      <w:t>)</w:t>
    </w: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7EF30" w14:textId="27E83674" w:rsidR="003A587C" w:rsidRDefault="003A587C">
    <w:pPr>
      <w:pStyle w:val="ae"/>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E76C6" w14:textId="127DD969" w:rsidR="003A587C" w:rsidRPr="007D770B" w:rsidRDefault="003A587C" w:rsidP="00162CD7">
    <w:pPr>
      <w:pStyle w:val="ae"/>
      <w:pBdr>
        <w:bottom w:val="single" w:sz="12" w:space="1" w:color="auto"/>
      </w:pBdr>
      <w:spacing w:line="240" w:lineRule="auto"/>
      <w:rPr>
        <w:rFonts w:ascii="Times New Roman" w:hAnsi="Times New Roman"/>
        <w:b/>
        <w:sz w:val="20"/>
        <w:szCs w:val="20"/>
        <w:lang w:val="en-US"/>
      </w:rPr>
    </w:pPr>
    <w:r w:rsidRPr="007D770B">
      <w:rPr>
        <w:rFonts w:ascii="Times New Roman" w:hAnsi="Times New Roman"/>
        <w:b/>
        <w:sz w:val="20"/>
        <w:szCs w:val="20"/>
        <w:lang w:val="en-US"/>
      </w:rPr>
      <w:t>CHAPTER 3. OTHER AREAS OF ACCOUNTING</w:t>
    </w:r>
  </w:p>
  <w:p w14:paraId="4A6F717B" w14:textId="2050150C" w:rsidR="003A587C" w:rsidRPr="007D770B" w:rsidRDefault="003A587C" w:rsidP="006816CF">
    <w:pPr>
      <w:pStyle w:val="ae"/>
      <w:pBdr>
        <w:bottom w:val="single" w:sz="12" w:space="1" w:color="auto"/>
      </w:pBdr>
      <w:spacing w:after="240" w:line="240" w:lineRule="auto"/>
      <w:rPr>
        <w:rFonts w:ascii="Times New Roman" w:hAnsi="Times New Roman"/>
        <w:b/>
        <w:sz w:val="20"/>
        <w:szCs w:val="20"/>
        <w:lang w:val="en-US"/>
      </w:rPr>
    </w:pPr>
    <w:r w:rsidRPr="007D770B">
      <w:rPr>
        <w:rFonts w:ascii="Times New Roman" w:hAnsi="Times New Roman"/>
        <w:b/>
        <w:sz w:val="20"/>
        <w:szCs w:val="20"/>
        <w:lang w:val="en-US"/>
      </w:rPr>
      <w:t>Section 3: Events after the reporting date (IAS 10)</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64BB4" w14:textId="069BF3E4" w:rsidR="003A587C" w:rsidRPr="007D770B" w:rsidRDefault="003A587C" w:rsidP="006B0A56">
    <w:pPr>
      <w:pStyle w:val="ae"/>
      <w:pBdr>
        <w:bottom w:val="single" w:sz="12" w:space="1" w:color="auto"/>
      </w:pBdr>
      <w:spacing w:line="240" w:lineRule="auto"/>
      <w:rPr>
        <w:rFonts w:ascii="Times New Roman" w:hAnsi="Times New Roman"/>
        <w:b/>
        <w:sz w:val="20"/>
        <w:szCs w:val="20"/>
        <w:lang w:val="en-US"/>
      </w:rPr>
    </w:pPr>
    <w:r w:rsidRPr="007D770B">
      <w:rPr>
        <w:rFonts w:ascii="Times New Roman" w:hAnsi="Times New Roman"/>
        <w:b/>
        <w:sz w:val="20"/>
        <w:szCs w:val="20"/>
        <w:lang w:val="en-US"/>
      </w:rPr>
      <w:t>CHAPTER 3. OTHER AREAS OF ACCOUNTING</w:t>
    </w:r>
  </w:p>
  <w:p w14:paraId="23B2FD8D" w14:textId="1DFB6F87" w:rsidR="003A587C" w:rsidRPr="007D770B" w:rsidRDefault="003A587C" w:rsidP="006B0A56">
    <w:pPr>
      <w:pStyle w:val="ae"/>
      <w:pBdr>
        <w:bottom w:val="single" w:sz="12" w:space="1" w:color="auto"/>
      </w:pBdr>
      <w:spacing w:after="240" w:line="240" w:lineRule="auto"/>
      <w:rPr>
        <w:rFonts w:ascii="Times New Roman" w:hAnsi="Times New Roman"/>
        <w:b/>
        <w:sz w:val="20"/>
        <w:szCs w:val="20"/>
        <w:lang w:val="en-US"/>
      </w:rPr>
    </w:pPr>
    <w:r w:rsidRPr="007D770B">
      <w:rPr>
        <w:rFonts w:ascii="Times New Roman" w:hAnsi="Times New Roman"/>
        <w:b/>
        <w:sz w:val="20"/>
        <w:szCs w:val="20"/>
        <w:lang w:val="en-US"/>
      </w:rPr>
      <w:t>Section 3: Events after the reporting date (IAS 10)</w:t>
    </w: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6F23E" w14:textId="04FF7685" w:rsidR="003A587C" w:rsidRDefault="003A587C">
    <w:pPr>
      <w:pStyle w:val="ae"/>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FC35B" w14:textId="57727F31" w:rsidR="003A587C" w:rsidRPr="007D770B" w:rsidRDefault="003A587C" w:rsidP="00162CD7">
    <w:pPr>
      <w:pStyle w:val="ae"/>
      <w:pBdr>
        <w:bottom w:val="single" w:sz="12" w:space="1" w:color="auto"/>
      </w:pBdr>
      <w:spacing w:line="240" w:lineRule="auto"/>
      <w:rPr>
        <w:rFonts w:ascii="Times New Roman" w:hAnsi="Times New Roman"/>
        <w:b/>
        <w:sz w:val="20"/>
        <w:szCs w:val="20"/>
        <w:lang w:val="en-US"/>
      </w:rPr>
    </w:pPr>
    <w:r w:rsidRPr="007D770B">
      <w:rPr>
        <w:rFonts w:ascii="Times New Roman" w:hAnsi="Times New Roman"/>
        <w:b/>
        <w:sz w:val="20"/>
        <w:szCs w:val="20"/>
        <w:lang w:val="en-US"/>
      </w:rPr>
      <w:t>CHAPTER 3. OTHER AREAS OF ACCOUNTING</w:t>
    </w:r>
  </w:p>
  <w:p w14:paraId="71564C7A" w14:textId="77777777" w:rsidR="003A587C" w:rsidRDefault="003A587C" w:rsidP="004F05C7">
    <w:pPr>
      <w:pStyle w:val="ae"/>
      <w:pBdr>
        <w:bottom w:val="single" w:sz="12" w:space="1" w:color="auto"/>
      </w:pBdr>
      <w:spacing w:after="240" w:line="240" w:lineRule="auto"/>
      <w:rPr>
        <w:rFonts w:ascii="Times New Roman" w:hAnsi="Times New Roman"/>
        <w:b/>
        <w:sz w:val="20"/>
        <w:szCs w:val="20"/>
      </w:rPr>
    </w:pPr>
    <w:r w:rsidRPr="007D770B">
      <w:rPr>
        <w:rFonts w:ascii="Times New Roman" w:hAnsi="Times New Roman"/>
        <w:b/>
        <w:sz w:val="20"/>
        <w:szCs w:val="20"/>
        <w:lang w:val="en-US"/>
      </w:rPr>
      <w:t xml:space="preserve">Section 6. </w:t>
    </w:r>
    <w:r w:rsidRPr="00421D23">
      <w:rPr>
        <w:rFonts w:ascii="Times New Roman" w:hAnsi="Times New Roman"/>
        <w:b/>
        <w:sz w:val="20"/>
        <w:szCs w:val="20"/>
      </w:rPr>
      <w:t>Accounting of social sphere facilities</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C475B" w14:textId="010A58DB" w:rsidR="003A587C" w:rsidRPr="007D770B" w:rsidRDefault="003A587C" w:rsidP="006B0A56">
    <w:pPr>
      <w:pStyle w:val="ae"/>
      <w:pBdr>
        <w:bottom w:val="single" w:sz="12" w:space="1" w:color="auto"/>
      </w:pBdr>
      <w:spacing w:line="240" w:lineRule="auto"/>
      <w:rPr>
        <w:rFonts w:ascii="Times New Roman" w:hAnsi="Times New Roman"/>
        <w:b/>
        <w:sz w:val="20"/>
        <w:szCs w:val="20"/>
        <w:lang w:val="en-US"/>
      </w:rPr>
    </w:pPr>
    <w:r w:rsidRPr="007D770B">
      <w:rPr>
        <w:rFonts w:ascii="Times New Roman" w:hAnsi="Times New Roman"/>
        <w:b/>
        <w:sz w:val="20"/>
        <w:szCs w:val="20"/>
        <w:lang w:val="en-US"/>
      </w:rPr>
      <w:t>CHAPTER 3. OTHER AREAS OF ACCOUNTING</w:t>
    </w:r>
  </w:p>
  <w:p w14:paraId="267A6AE4" w14:textId="77777777" w:rsidR="003A587C" w:rsidRPr="007D770B" w:rsidRDefault="003A587C" w:rsidP="00421D23">
    <w:pPr>
      <w:pStyle w:val="ae"/>
      <w:pBdr>
        <w:bottom w:val="single" w:sz="12" w:space="1" w:color="auto"/>
      </w:pBdr>
      <w:spacing w:after="240" w:line="240" w:lineRule="auto"/>
      <w:rPr>
        <w:rFonts w:ascii="Times New Roman" w:hAnsi="Times New Roman"/>
        <w:b/>
        <w:sz w:val="20"/>
        <w:szCs w:val="20"/>
        <w:lang w:val="en-US"/>
      </w:rPr>
    </w:pPr>
    <w:r w:rsidRPr="007D770B">
      <w:rPr>
        <w:rFonts w:ascii="Times New Roman" w:hAnsi="Times New Roman"/>
        <w:b/>
        <w:sz w:val="20"/>
        <w:szCs w:val="20"/>
        <w:lang w:val="en-US"/>
      </w:rPr>
      <w:t>Section 4: Accounting for pledged property</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FFBCA" w14:textId="3673833B" w:rsidR="003A587C" w:rsidRDefault="003A587C">
    <w:pPr>
      <w:pStyle w:val="ae"/>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FFA60" w14:textId="660E8150" w:rsidR="003A587C" w:rsidRDefault="003A587C">
    <w:pPr>
      <w:pStyle w:val="ae"/>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EB925" w14:textId="5583CE80" w:rsidR="003A587C" w:rsidRPr="007D770B" w:rsidRDefault="003A587C" w:rsidP="00162CD7">
    <w:pPr>
      <w:pStyle w:val="ae"/>
      <w:pBdr>
        <w:bottom w:val="single" w:sz="12" w:space="1" w:color="auto"/>
      </w:pBdr>
      <w:spacing w:line="240" w:lineRule="auto"/>
      <w:rPr>
        <w:rFonts w:ascii="Times New Roman" w:hAnsi="Times New Roman"/>
        <w:b/>
        <w:sz w:val="20"/>
        <w:szCs w:val="20"/>
        <w:lang w:val="en-US"/>
      </w:rPr>
    </w:pPr>
    <w:r w:rsidRPr="007D770B">
      <w:rPr>
        <w:rFonts w:ascii="Times New Roman" w:hAnsi="Times New Roman"/>
        <w:b/>
        <w:sz w:val="20"/>
        <w:szCs w:val="20"/>
        <w:lang w:val="en-US"/>
      </w:rPr>
      <w:t>CHAPTER 3. OTHER AREAS OF ACCOUNTING</w:t>
    </w:r>
  </w:p>
  <w:p w14:paraId="0A117592" w14:textId="77777777" w:rsidR="003A587C" w:rsidRPr="007D770B" w:rsidRDefault="003A587C" w:rsidP="006816CF">
    <w:pPr>
      <w:pStyle w:val="ae"/>
      <w:pBdr>
        <w:bottom w:val="single" w:sz="12" w:space="1" w:color="auto"/>
      </w:pBdr>
      <w:spacing w:line="240" w:lineRule="auto"/>
      <w:rPr>
        <w:rFonts w:ascii="Times New Roman" w:hAnsi="Times New Roman"/>
        <w:b/>
        <w:sz w:val="20"/>
        <w:szCs w:val="20"/>
        <w:lang w:val="en-US"/>
      </w:rPr>
    </w:pPr>
    <w:r w:rsidRPr="007D770B">
      <w:rPr>
        <w:rFonts w:ascii="Times New Roman" w:hAnsi="Times New Roman"/>
        <w:b/>
        <w:sz w:val="20"/>
        <w:szCs w:val="20"/>
        <w:lang w:val="en-US"/>
      </w:rPr>
      <w:t>Section 5: Fair Value Measurement (IFRS 13)</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F28FB" w14:textId="5E866CF3" w:rsidR="003A587C" w:rsidRPr="007D770B" w:rsidRDefault="003A587C" w:rsidP="006B0A56">
    <w:pPr>
      <w:pStyle w:val="ae"/>
      <w:pBdr>
        <w:bottom w:val="single" w:sz="12" w:space="1" w:color="auto"/>
      </w:pBdr>
      <w:spacing w:line="240" w:lineRule="auto"/>
      <w:rPr>
        <w:rFonts w:ascii="Times New Roman" w:hAnsi="Times New Roman"/>
        <w:b/>
        <w:sz w:val="20"/>
        <w:szCs w:val="20"/>
        <w:lang w:val="en-US"/>
      </w:rPr>
    </w:pPr>
    <w:r w:rsidRPr="007D770B">
      <w:rPr>
        <w:rFonts w:ascii="Times New Roman" w:hAnsi="Times New Roman"/>
        <w:b/>
        <w:sz w:val="20"/>
        <w:szCs w:val="20"/>
        <w:lang w:val="en-US"/>
      </w:rPr>
      <w:t>CHAPTER 3. OTHER AREAS OF ACCOUNTING</w:t>
    </w:r>
  </w:p>
  <w:p w14:paraId="0253FBA8" w14:textId="77777777" w:rsidR="003A587C" w:rsidRPr="007D770B" w:rsidRDefault="003A587C" w:rsidP="00A35316">
    <w:pPr>
      <w:pStyle w:val="ae"/>
      <w:pBdr>
        <w:bottom w:val="single" w:sz="12" w:space="1" w:color="auto"/>
      </w:pBdr>
      <w:spacing w:line="240" w:lineRule="auto"/>
      <w:rPr>
        <w:rFonts w:ascii="Times New Roman" w:hAnsi="Times New Roman"/>
        <w:b/>
        <w:sz w:val="20"/>
        <w:szCs w:val="20"/>
        <w:lang w:val="en-US"/>
      </w:rPr>
    </w:pPr>
    <w:r w:rsidRPr="007D770B">
      <w:rPr>
        <w:rFonts w:ascii="Times New Roman" w:hAnsi="Times New Roman"/>
        <w:b/>
        <w:sz w:val="20"/>
        <w:szCs w:val="20"/>
        <w:lang w:val="en-US"/>
      </w:rPr>
      <w:t>Section 5: Fair Value Measurement (IFRS 13)</w:t>
    </w: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94424" w14:textId="5E0C2F6E" w:rsidR="003A587C" w:rsidRDefault="003A587C">
    <w:pPr>
      <w:pStyle w:val="ae"/>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89982" w14:textId="14846F19" w:rsidR="003A587C" w:rsidRPr="007D770B" w:rsidRDefault="003A587C" w:rsidP="006816CF">
    <w:pPr>
      <w:pStyle w:val="ae"/>
      <w:pBdr>
        <w:bottom w:val="single" w:sz="12" w:space="1" w:color="auto"/>
      </w:pBdr>
      <w:spacing w:line="240" w:lineRule="auto"/>
      <w:rPr>
        <w:rFonts w:ascii="Times New Roman" w:hAnsi="Times New Roman"/>
        <w:b/>
        <w:sz w:val="20"/>
        <w:szCs w:val="20"/>
        <w:lang w:val="en-US"/>
      </w:rPr>
    </w:pPr>
    <w:r w:rsidRPr="007D770B">
      <w:rPr>
        <w:rFonts w:ascii="Times New Roman" w:hAnsi="Times New Roman"/>
        <w:b/>
        <w:sz w:val="20"/>
        <w:szCs w:val="20"/>
        <w:lang w:val="en-US"/>
      </w:rPr>
      <w:t>CHAPTER 3. OTHER AREAS OF ACCOUNTING</w:t>
    </w:r>
  </w:p>
  <w:p w14:paraId="6695E4AB" w14:textId="77777777" w:rsidR="003A587C" w:rsidRPr="007D770B" w:rsidRDefault="003A587C" w:rsidP="006816CF">
    <w:pPr>
      <w:pStyle w:val="ae"/>
      <w:pBdr>
        <w:bottom w:val="single" w:sz="12" w:space="1" w:color="auto"/>
      </w:pBdr>
      <w:spacing w:line="240" w:lineRule="auto"/>
      <w:rPr>
        <w:rFonts w:ascii="Times New Roman" w:hAnsi="Times New Roman"/>
        <w:b/>
        <w:sz w:val="20"/>
        <w:szCs w:val="20"/>
        <w:lang w:val="en-US"/>
      </w:rPr>
    </w:pPr>
    <w:r w:rsidRPr="007D770B">
      <w:rPr>
        <w:rFonts w:ascii="Times New Roman" w:hAnsi="Times New Roman"/>
        <w:b/>
        <w:sz w:val="20"/>
        <w:szCs w:val="20"/>
        <w:lang w:val="en-US"/>
      </w:rPr>
      <w:t>Section 5: Fair Value Measurement (IFRS 13)</w:t>
    </w:r>
  </w:p>
  <w:p w14:paraId="1F726929" w14:textId="77777777" w:rsidR="003A587C" w:rsidRPr="007D770B" w:rsidRDefault="003A587C" w:rsidP="006816CF">
    <w:pPr>
      <w:pStyle w:val="ae"/>
      <w:pBdr>
        <w:bottom w:val="single" w:sz="12" w:space="1" w:color="auto"/>
      </w:pBdr>
      <w:spacing w:line="240" w:lineRule="auto"/>
      <w:rPr>
        <w:rFonts w:ascii="Times New Roman" w:hAnsi="Times New Roman"/>
        <w:b/>
        <w:sz w:val="20"/>
        <w:szCs w:val="20"/>
        <w:lang w:val="en-US"/>
      </w:rPr>
    </w:pPr>
    <w:r w:rsidRPr="007D770B">
      <w:rPr>
        <w:rFonts w:ascii="Times New Roman" w:hAnsi="Times New Roman"/>
        <w:b/>
        <w:sz w:val="20"/>
        <w:szCs w:val="20"/>
        <w:lang w:val="en-US"/>
      </w:rPr>
      <w:t>Appendix 1. Present value methods of valuation</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48755" w14:textId="3C95E8AE" w:rsidR="003A587C" w:rsidRPr="007D770B" w:rsidRDefault="003A587C" w:rsidP="006B0A56">
    <w:pPr>
      <w:pStyle w:val="ae"/>
      <w:pBdr>
        <w:bottom w:val="single" w:sz="12" w:space="1" w:color="auto"/>
      </w:pBdr>
      <w:spacing w:line="240" w:lineRule="auto"/>
      <w:rPr>
        <w:rFonts w:ascii="Times New Roman" w:hAnsi="Times New Roman"/>
        <w:b/>
        <w:sz w:val="20"/>
        <w:szCs w:val="20"/>
        <w:lang w:val="en-US"/>
      </w:rPr>
    </w:pPr>
    <w:r w:rsidRPr="007D770B">
      <w:rPr>
        <w:rFonts w:ascii="Times New Roman" w:hAnsi="Times New Roman"/>
        <w:b/>
        <w:sz w:val="20"/>
        <w:szCs w:val="20"/>
        <w:lang w:val="en-US"/>
      </w:rPr>
      <w:t>CHAPTER 3. OTHER AREAS OF ACCOUNTING</w:t>
    </w:r>
  </w:p>
  <w:p w14:paraId="3748AB03" w14:textId="77777777" w:rsidR="003A587C" w:rsidRPr="007D770B" w:rsidRDefault="003A587C" w:rsidP="00A35316">
    <w:pPr>
      <w:pStyle w:val="ae"/>
      <w:pBdr>
        <w:bottom w:val="single" w:sz="12" w:space="1" w:color="auto"/>
      </w:pBdr>
      <w:spacing w:line="240" w:lineRule="auto"/>
      <w:rPr>
        <w:rFonts w:ascii="Times New Roman" w:hAnsi="Times New Roman"/>
        <w:b/>
        <w:sz w:val="20"/>
        <w:szCs w:val="20"/>
        <w:lang w:val="en-US"/>
      </w:rPr>
    </w:pPr>
    <w:r w:rsidRPr="007D770B">
      <w:rPr>
        <w:rFonts w:ascii="Times New Roman" w:hAnsi="Times New Roman"/>
        <w:b/>
        <w:sz w:val="20"/>
        <w:szCs w:val="20"/>
        <w:lang w:val="en-US"/>
      </w:rPr>
      <w:t>Section 5: Fair Value Measurement (IFRS 13)</w:t>
    </w:r>
  </w:p>
  <w:p w14:paraId="79D5687B" w14:textId="77777777" w:rsidR="003A587C" w:rsidRPr="007D770B" w:rsidRDefault="003A587C" w:rsidP="00A35316">
    <w:pPr>
      <w:pStyle w:val="ae"/>
      <w:pBdr>
        <w:bottom w:val="single" w:sz="12" w:space="1" w:color="auto"/>
      </w:pBdr>
      <w:spacing w:line="240" w:lineRule="auto"/>
      <w:rPr>
        <w:rFonts w:ascii="Times New Roman" w:hAnsi="Times New Roman"/>
        <w:b/>
        <w:sz w:val="20"/>
        <w:szCs w:val="20"/>
        <w:lang w:val="en-US"/>
      </w:rPr>
    </w:pPr>
    <w:r w:rsidRPr="007D770B">
      <w:rPr>
        <w:rFonts w:ascii="Times New Roman" w:hAnsi="Times New Roman"/>
        <w:b/>
        <w:sz w:val="20"/>
        <w:szCs w:val="20"/>
        <w:lang w:val="en-US"/>
      </w:rPr>
      <w:t>Appendix 1. Present value methods of valuation</w:t>
    </w: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54969" w14:textId="1437EDA6" w:rsidR="003A587C" w:rsidRDefault="003A587C">
    <w:pPr>
      <w:pStyle w:val="ae"/>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00344" w14:textId="40A4C0A3" w:rsidR="003A587C" w:rsidRDefault="003A587C">
    <w:pPr>
      <w:pStyle w:val="ae"/>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FF9C5" w14:textId="37A6C748" w:rsidR="003A587C" w:rsidRPr="007D770B" w:rsidRDefault="003A587C" w:rsidP="006B0A56">
    <w:pPr>
      <w:pStyle w:val="ae"/>
      <w:pBdr>
        <w:bottom w:val="single" w:sz="12" w:space="1" w:color="auto"/>
      </w:pBdr>
      <w:spacing w:line="240" w:lineRule="auto"/>
      <w:rPr>
        <w:rFonts w:ascii="Times New Roman" w:hAnsi="Times New Roman"/>
        <w:b/>
        <w:sz w:val="20"/>
        <w:szCs w:val="20"/>
        <w:lang w:val="en-US"/>
      </w:rPr>
    </w:pPr>
    <w:r w:rsidRPr="007D770B">
      <w:rPr>
        <w:rFonts w:ascii="Times New Roman" w:hAnsi="Times New Roman"/>
        <w:b/>
        <w:sz w:val="20"/>
        <w:szCs w:val="20"/>
        <w:lang w:val="en-US"/>
      </w:rPr>
      <w:t>CHAPTER 3. OTHER AREAS OF ACCOUNTING</w:t>
    </w:r>
  </w:p>
  <w:p w14:paraId="791DDDEB" w14:textId="77777777" w:rsidR="003A587C" w:rsidRPr="00A35316" w:rsidRDefault="003A587C" w:rsidP="006816CF">
    <w:pPr>
      <w:pStyle w:val="ae"/>
      <w:pBdr>
        <w:bottom w:val="single" w:sz="12" w:space="1" w:color="auto"/>
      </w:pBdr>
      <w:spacing w:line="240" w:lineRule="auto"/>
      <w:rPr>
        <w:rFonts w:ascii="Times New Roman" w:hAnsi="Times New Roman"/>
        <w:b/>
        <w:sz w:val="20"/>
        <w:szCs w:val="20"/>
      </w:rPr>
    </w:pPr>
    <w:r w:rsidRPr="007D770B">
      <w:rPr>
        <w:rFonts w:ascii="Times New Roman" w:hAnsi="Times New Roman"/>
        <w:b/>
        <w:sz w:val="20"/>
        <w:szCs w:val="20"/>
        <w:lang w:val="en-US"/>
      </w:rPr>
      <w:t xml:space="preserve">Section 6. </w:t>
    </w:r>
    <w:r w:rsidRPr="006816CF">
      <w:rPr>
        <w:rFonts w:ascii="Times New Roman" w:hAnsi="Times New Roman"/>
        <w:b/>
        <w:sz w:val="20"/>
        <w:szCs w:val="20"/>
      </w:rPr>
      <w:t>General ledger of the Bank</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BD3F6" w14:textId="087E3C10" w:rsidR="003A587C" w:rsidRPr="007D770B" w:rsidRDefault="003A587C" w:rsidP="0009463D">
    <w:pPr>
      <w:pStyle w:val="ae"/>
      <w:rPr>
        <w:rFonts w:ascii="Times New Roman" w:hAnsi="Times New Roman"/>
        <w:b/>
        <w:sz w:val="20"/>
        <w:szCs w:val="20"/>
        <w:lang w:val="en-US"/>
      </w:rPr>
    </w:pPr>
    <w:r w:rsidRPr="007D770B">
      <w:rPr>
        <w:rFonts w:ascii="Times New Roman" w:hAnsi="Times New Roman"/>
        <w:b/>
        <w:sz w:val="20"/>
        <w:szCs w:val="20"/>
        <w:lang w:val="en-US"/>
      </w:rPr>
      <w:t>CHAPTER 1. GENERAL PROVISIONS</w:t>
    </w:r>
  </w:p>
  <w:p w14:paraId="4B2F4C39" w14:textId="77777777" w:rsidR="003A587C" w:rsidRPr="007D770B" w:rsidRDefault="003A587C" w:rsidP="006340D1">
    <w:pPr>
      <w:pStyle w:val="ae"/>
      <w:pBdr>
        <w:bottom w:val="single" w:sz="12" w:space="1" w:color="auto"/>
      </w:pBdr>
      <w:spacing w:after="240" w:line="240" w:lineRule="auto"/>
      <w:rPr>
        <w:rFonts w:ascii="Times New Roman" w:hAnsi="Times New Roman"/>
        <w:b/>
        <w:sz w:val="20"/>
        <w:szCs w:val="20"/>
        <w:lang w:val="en-US"/>
      </w:rPr>
    </w:pPr>
    <w:r w:rsidRPr="007D770B">
      <w:rPr>
        <w:rFonts w:ascii="Times New Roman" w:hAnsi="Times New Roman"/>
        <w:b/>
        <w:sz w:val="20"/>
        <w:szCs w:val="20"/>
        <w:lang w:val="en-US"/>
      </w:rPr>
      <w:t>Section 2: Changes in accounting policies, estimates and errors (IAS 8)</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75E44" w14:textId="3B869E4B" w:rsidR="003A587C" w:rsidRDefault="003A587C">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D130CDA4"/>
    <w:lvl w:ilvl="0">
      <w:start w:val="1"/>
      <w:numFmt w:val="decimal"/>
      <w:lvlText w:val="%1."/>
      <w:legacy w:legacy="1" w:legacySpace="144" w:legacyIndent="0"/>
      <w:lvlJc w:val="left"/>
      <w:rPr>
        <w:rFonts w:cs="Times New Roman"/>
        <w:b/>
      </w:rPr>
    </w:lvl>
    <w:lvl w:ilvl="1">
      <w:start w:val="1"/>
      <w:numFmt w:val="decimal"/>
      <w:lvlText w:val="%1.%2"/>
      <w:legacy w:legacy="1" w:legacySpace="144" w:legacyIndent="0"/>
      <w:lvlJc w:val="left"/>
      <w:rPr>
        <w:rFonts w:cs="Times New Roman"/>
        <w:b/>
        <w:i w:val="0"/>
      </w:rPr>
    </w:lvl>
    <w:lvl w:ilvl="2">
      <w:start w:val="1"/>
      <w:numFmt w:val="decimal"/>
      <w:lvlText w:val="%1.%2.%3"/>
      <w:legacy w:legacy="1" w:legacySpace="144" w:legacyIndent="0"/>
      <w:lvlJc w:val="left"/>
      <w:rPr>
        <w:rFonts w:cs="Times New Roman"/>
      </w:rPr>
    </w:lvl>
    <w:lvl w:ilvl="3">
      <w:start w:val="1"/>
      <w:numFmt w:val="decimal"/>
      <w:lvlText w:val="%1.%2.%3.%4"/>
      <w:legacy w:legacy="1" w:legacySpace="144" w:legacyIndent="0"/>
      <w:lvlJc w:val="left"/>
      <w:rPr>
        <w:rFonts w:cs="Times New Roman"/>
      </w:rPr>
    </w:lvl>
    <w:lvl w:ilvl="4">
      <w:start w:val="1"/>
      <w:numFmt w:val="decimal"/>
      <w:lvlText w:val="%1.%2.%3.%4.%5"/>
      <w:legacy w:legacy="1" w:legacySpace="144" w:legacyIndent="0"/>
      <w:lvlJc w:val="left"/>
      <w:rPr>
        <w:rFonts w:cs="Times New Roman"/>
      </w:rPr>
    </w:lvl>
    <w:lvl w:ilvl="5">
      <w:start w:val="1"/>
      <w:numFmt w:val="decimal"/>
      <w:pStyle w:val="6"/>
      <w:lvlText w:val="%1.%2.%3.%4.%5.%6"/>
      <w:legacy w:legacy="1" w:legacySpace="144" w:legacyIndent="0"/>
      <w:lvlJc w:val="left"/>
      <w:rPr>
        <w:rFonts w:cs="Times New Roman"/>
      </w:rPr>
    </w:lvl>
    <w:lvl w:ilvl="6">
      <w:start w:val="1"/>
      <w:numFmt w:val="decimal"/>
      <w:pStyle w:val="7"/>
      <w:lvlText w:val="%1.%2.%3.%4.%5.%6.%7"/>
      <w:legacy w:legacy="1" w:legacySpace="144" w:legacyIndent="0"/>
      <w:lvlJc w:val="left"/>
      <w:rPr>
        <w:rFonts w:cs="Times New Roman"/>
      </w:rPr>
    </w:lvl>
    <w:lvl w:ilvl="7">
      <w:start w:val="1"/>
      <w:numFmt w:val="decimal"/>
      <w:pStyle w:val="8"/>
      <w:lvlText w:val="%1.%2.%3.%4.%5.%6.%7.%8"/>
      <w:legacy w:legacy="1" w:legacySpace="144" w:legacyIndent="0"/>
      <w:lvlJc w:val="left"/>
      <w:rPr>
        <w:rFonts w:cs="Times New Roman"/>
      </w:rPr>
    </w:lvl>
    <w:lvl w:ilvl="8">
      <w:start w:val="1"/>
      <w:numFmt w:val="decimal"/>
      <w:pStyle w:val="9"/>
      <w:lvlText w:val="%1.%2.%3.%4.%5.%6.%7.%8.%9"/>
      <w:legacy w:legacy="1" w:legacySpace="144" w:legacyIndent="0"/>
      <w:lvlJc w:val="left"/>
      <w:rPr>
        <w:rFonts w:cs="Times New Roman"/>
      </w:rPr>
    </w:lvl>
  </w:abstractNum>
  <w:abstractNum w:abstractNumId="1" w15:restartNumberingAfterBreak="0">
    <w:nsid w:val="FFFFFFFE"/>
    <w:multiLevelType w:val="singleLevel"/>
    <w:tmpl w:val="2A22E668"/>
    <w:lvl w:ilvl="0">
      <w:numFmt w:val="bullet"/>
      <w:lvlText w:val="*"/>
      <w:lvlJc w:val="left"/>
    </w:lvl>
  </w:abstractNum>
  <w:abstractNum w:abstractNumId="2" w15:restartNumberingAfterBreak="0">
    <w:nsid w:val="00B07CE0"/>
    <w:multiLevelType w:val="hybridMultilevel"/>
    <w:tmpl w:val="F5DEF5B4"/>
    <w:lvl w:ilvl="0" w:tplc="C1FC75BC">
      <w:start w:val="1"/>
      <w:numFmt w:val="russianLow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1060CF"/>
    <w:multiLevelType w:val="hybridMultilevel"/>
    <w:tmpl w:val="7706812C"/>
    <w:lvl w:ilvl="0" w:tplc="04190019">
      <w:start w:val="1"/>
      <w:numFmt w:val="bullet"/>
      <w:lvlText w:val="-"/>
      <w:lvlJc w:val="left"/>
      <w:pPr>
        <w:tabs>
          <w:tab w:val="num" w:pos="720"/>
        </w:tabs>
        <w:ind w:left="720" w:hanging="360"/>
      </w:pPr>
      <w:rPr>
        <w:rFonts w:ascii="Courier New" w:hAnsi="Courier New" w:hint="default"/>
        <w:sz w:val="18"/>
      </w:rPr>
    </w:lvl>
    <w:lvl w:ilvl="1" w:tplc="04190003" w:tentative="1">
      <w:start w:val="1"/>
      <w:numFmt w:val="bullet"/>
      <w:lvlText w:val="o"/>
      <w:lvlJc w:val="left"/>
      <w:pPr>
        <w:tabs>
          <w:tab w:val="num" w:pos="900"/>
        </w:tabs>
        <w:ind w:left="900" w:hanging="360"/>
      </w:pPr>
      <w:rPr>
        <w:rFonts w:ascii="Courier New" w:hAnsi="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4" w15:restartNumberingAfterBreak="0">
    <w:nsid w:val="01164E64"/>
    <w:multiLevelType w:val="hybridMultilevel"/>
    <w:tmpl w:val="1018E20C"/>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2E74A3"/>
    <w:multiLevelType w:val="hybridMultilevel"/>
    <w:tmpl w:val="C84CA69A"/>
    <w:lvl w:ilvl="0" w:tplc="04190019">
      <w:start w:val="1"/>
      <w:numFmt w:val="bullet"/>
      <w:lvlText w:val="-"/>
      <w:lvlJc w:val="left"/>
      <w:pPr>
        <w:tabs>
          <w:tab w:val="num" w:pos="360"/>
        </w:tabs>
        <w:ind w:left="360" w:hanging="360"/>
      </w:pPr>
      <w:rPr>
        <w:rFonts w:ascii="Courier New" w:hAnsi="Courier New" w:hint="default"/>
        <w:sz w:val="1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01651B63"/>
    <w:multiLevelType w:val="hybridMultilevel"/>
    <w:tmpl w:val="9FFE5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196762A"/>
    <w:multiLevelType w:val="hybridMultilevel"/>
    <w:tmpl w:val="0BC4B422"/>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1AF526F"/>
    <w:multiLevelType w:val="hybridMultilevel"/>
    <w:tmpl w:val="71288F74"/>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1C75E1F"/>
    <w:multiLevelType w:val="hybridMultilevel"/>
    <w:tmpl w:val="5A248C74"/>
    <w:lvl w:ilvl="0" w:tplc="8806B086">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1ED0E68"/>
    <w:multiLevelType w:val="hybridMultilevel"/>
    <w:tmpl w:val="B1E41716"/>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3C5A60"/>
    <w:multiLevelType w:val="hybridMultilevel"/>
    <w:tmpl w:val="C158F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2BA3FEC"/>
    <w:multiLevelType w:val="hybridMultilevel"/>
    <w:tmpl w:val="F8743F1E"/>
    <w:lvl w:ilvl="0" w:tplc="04190011">
      <w:start w:val="1"/>
      <w:numFmt w:val="decimal"/>
      <w:lvlText w:val="%1)"/>
      <w:lvlJc w:val="left"/>
      <w:pPr>
        <w:tabs>
          <w:tab w:val="num" w:pos="360"/>
        </w:tabs>
        <w:ind w:left="360" w:hanging="360"/>
      </w:pPr>
      <w:rPr>
        <w:rFonts w:cs="Times New Roman"/>
      </w:rPr>
    </w:lvl>
    <w:lvl w:ilvl="1" w:tplc="B270FA08">
      <w:start w:val="1"/>
      <w:numFmt w:val="bullet"/>
      <w:lvlText w:val=""/>
      <w:lvlJc w:val="left"/>
      <w:pPr>
        <w:tabs>
          <w:tab w:val="num" w:pos="1080"/>
        </w:tabs>
        <w:ind w:left="1080" w:hanging="360"/>
      </w:pPr>
      <w:rPr>
        <w:rFonts w:ascii="Symbol" w:hAnsi="Symbol" w:hint="default"/>
        <w:sz w:val="18"/>
      </w:rPr>
    </w:lvl>
    <w:lvl w:ilvl="2" w:tplc="DD14EC2E">
      <w:start w:val="2"/>
      <w:numFmt w:val="decimal"/>
      <w:lvlText w:val="%3."/>
      <w:lvlJc w:val="left"/>
      <w:pPr>
        <w:ind w:left="1980" w:hanging="360"/>
      </w:pPr>
      <w:rPr>
        <w:rFonts w:cs="Times New Roman" w:hint="default"/>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034931BD"/>
    <w:multiLevelType w:val="hybridMultilevel"/>
    <w:tmpl w:val="182C9FB0"/>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36E4017"/>
    <w:multiLevelType w:val="hybridMultilevel"/>
    <w:tmpl w:val="09EE5BCA"/>
    <w:lvl w:ilvl="0" w:tplc="04190019">
      <w:start w:val="1"/>
      <w:numFmt w:val="bullet"/>
      <w:lvlText w:val="-"/>
      <w:lvlJc w:val="left"/>
      <w:pPr>
        <w:ind w:left="724" w:hanging="360"/>
      </w:pPr>
      <w:rPr>
        <w:rFonts w:ascii="Courier New" w:hAnsi="Courier New" w:hint="default"/>
        <w:sz w:val="18"/>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15" w15:restartNumberingAfterBreak="0">
    <w:nsid w:val="03AB5502"/>
    <w:multiLevelType w:val="hybridMultilevel"/>
    <w:tmpl w:val="FD5A2AE4"/>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52A5A45"/>
    <w:multiLevelType w:val="hybridMultilevel"/>
    <w:tmpl w:val="85707C20"/>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56404B6"/>
    <w:multiLevelType w:val="hybridMultilevel"/>
    <w:tmpl w:val="E304A220"/>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63A1F3A"/>
    <w:multiLevelType w:val="hybridMultilevel"/>
    <w:tmpl w:val="4E987A66"/>
    <w:lvl w:ilvl="0" w:tplc="0419001B">
      <w:start w:val="1"/>
      <w:numFmt w:val="lowerRoman"/>
      <w:lvlText w:val="%1."/>
      <w:lvlJc w:val="right"/>
      <w:pPr>
        <w:ind w:left="1080" w:hanging="360"/>
      </w:pPr>
      <w:rPr>
        <w:rFonts w:cs="Times New Roman"/>
      </w:rPr>
    </w:lvl>
    <w:lvl w:ilvl="1" w:tplc="238AD164">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6CB4E4E"/>
    <w:multiLevelType w:val="hybridMultilevel"/>
    <w:tmpl w:val="9EC2FEAC"/>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6F75A1E"/>
    <w:multiLevelType w:val="hybridMultilevel"/>
    <w:tmpl w:val="D05299A2"/>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803073E"/>
    <w:multiLevelType w:val="hybridMultilevel"/>
    <w:tmpl w:val="E7EE1C54"/>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8542B61"/>
    <w:multiLevelType w:val="hybridMultilevel"/>
    <w:tmpl w:val="DCC2A874"/>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86F4719"/>
    <w:multiLevelType w:val="hybridMultilevel"/>
    <w:tmpl w:val="AC7A77EC"/>
    <w:lvl w:ilvl="0" w:tplc="FFFFFFFF">
      <w:start w:val="1"/>
      <w:numFmt w:val="bullet"/>
      <w:lvlText w:val="-"/>
      <w:lvlJc w:val="left"/>
      <w:pPr>
        <w:tabs>
          <w:tab w:val="num" w:pos="360"/>
        </w:tabs>
        <w:ind w:left="360" w:hanging="360"/>
      </w:pPr>
      <w:rPr>
        <w:rFonts w:ascii="Courier New" w:hAnsi="Courier New" w:hint="default"/>
      </w:rPr>
    </w:lvl>
    <w:lvl w:ilvl="1" w:tplc="04190019" w:tentative="1">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08804246"/>
    <w:multiLevelType w:val="hybridMultilevel"/>
    <w:tmpl w:val="4EB836EC"/>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8C46EA5"/>
    <w:multiLevelType w:val="hybridMultilevel"/>
    <w:tmpl w:val="B49C6C4C"/>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8D45089"/>
    <w:multiLevelType w:val="hybridMultilevel"/>
    <w:tmpl w:val="E130AAD8"/>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9E973F9"/>
    <w:multiLevelType w:val="hybridMultilevel"/>
    <w:tmpl w:val="B49C6C4C"/>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A2A0D40"/>
    <w:multiLevelType w:val="hybridMultilevel"/>
    <w:tmpl w:val="EB98BCB6"/>
    <w:lvl w:ilvl="0" w:tplc="C1FC75BC">
      <w:start w:val="1"/>
      <w:numFmt w:val="russianLow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0A354551"/>
    <w:multiLevelType w:val="hybridMultilevel"/>
    <w:tmpl w:val="E74049F6"/>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B415C56"/>
    <w:multiLevelType w:val="hybridMultilevel"/>
    <w:tmpl w:val="0CAC7A02"/>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B947156"/>
    <w:multiLevelType w:val="hybridMultilevel"/>
    <w:tmpl w:val="7FD82244"/>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0BEF03D0"/>
    <w:multiLevelType w:val="hybridMultilevel"/>
    <w:tmpl w:val="E98C3162"/>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0BF025A6"/>
    <w:multiLevelType w:val="hybridMultilevel"/>
    <w:tmpl w:val="F0466A56"/>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0C043201"/>
    <w:multiLevelType w:val="hybridMultilevel"/>
    <w:tmpl w:val="38661CBE"/>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C2F12D8"/>
    <w:multiLevelType w:val="hybridMultilevel"/>
    <w:tmpl w:val="51360266"/>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CD33581"/>
    <w:multiLevelType w:val="hybridMultilevel"/>
    <w:tmpl w:val="A1D60BCA"/>
    <w:lvl w:ilvl="0" w:tplc="0409001B">
      <w:start w:val="1"/>
      <w:numFmt w:val="lowerRoman"/>
      <w:lvlText w:val="%1."/>
      <w:lvlJc w:val="right"/>
      <w:pPr>
        <w:ind w:left="1344" w:hanging="360"/>
      </w:pPr>
    </w:lvl>
    <w:lvl w:ilvl="1" w:tplc="04090019" w:tentative="1">
      <w:start w:val="1"/>
      <w:numFmt w:val="lowerLetter"/>
      <w:lvlText w:val="%2."/>
      <w:lvlJc w:val="left"/>
      <w:pPr>
        <w:ind w:left="2064" w:hanging="360"/>
      </w:pPr>
    </w:lvl>
    <w:lvl w:ilvl="2" w:tplc="0409001B" w:tentative="1">
      <w:start w:val="1"/>
      <w:numFmt w:val="lowerRoman"/>
      <w:lvlText w:val="%3."/>
      <w:lvlJc w:val="right"/>
      <w:pPr>
        <w:ind w:left="2784" w:hanging="180"/>
      </w:pPr>
    </w:lvl>
    <w:lvl w:ilvl="3" w:tplc="0409000F" w:tentative="1">
      <w:start w:val="1"/>
      <w:numFmt w:val="decimal"/>
      <w:lvlText w:val="%4."/>
      <w:lvlJc w:val="left"/>
      <w:pPr>
        <w:ind w:left="3504" w:hanging="360"/>
      </w:pPr>
    </w:lvl>
    <w:lvl w:ilvl="4" w:tplc="04090019" w:tentative="1">
      <w:start w:val="1"/>
      <w:numFmt w:val="lowerLetter"/>
      <w:lvlText w:val="%5."/>
      <w:lvlJc w:val="left"/>
      <w:pPr>
        <w:ind w:left="4224" w:hanging="360"/>
      </w:pPr>
    </w:lvl>
    <w:lvl w:ilvl="5" w:tplc="0409001B" w:tentative="1">
      <w:start w:val="1"/>
      <w:numFmt w:val="lowerRoman"/>
      <w:lvlText w:val="%6."/>
      <w:lvlJc w:val="right"/>
      <w:pPr>
        <w:ind w:left="4944" w:hanging="180"/>
      </w:pPr>
    </w:lvl>
    <w:lvl w:ilvl="6" w:tplc="0409000F" w:tentative="1">
      <w:start w:val="1"/>
      <w:numFmt w:val="decimal"/>
      <w:lvlText w:val="%7."/>
      <w:lvlJc w:val="left"/>
      <w:pPr>
        <w:ind w:left="5664" w:hanging="360"/>
      </w:pPr>
    </w:lvl>
    <w:lvl w:ilvl="7" w:tplc="04090019" w:tentative="1">
      <w:start w:val="1"/>
      <w:numFmt w:val="lowerLetter"/>
      <w:lvlText w:val="%8."/>
      <w:lvlJc w:val="left"/>
      <w:pPr>
        <w:ind w:left="6384" w:hanging="360"/>
      </w:pPr>
    </w:lvl>
    <w:lvl w:ilvl="8" w:tplc="0409001B" w:tentative="1">
      <w:start w:val="1"/>
      <w:numFmt w:val="lowerRoman"/>
      <w:lvlText w:val="%9."/>
      <w:lvlJc w:val="right"/>
      <w:pPr>
        <w:ind w:left="7104" w:hanging="180"/>
      </w:pPr>
    </w:lvl>
  </w:abstractNum>
  <w:abstractNum w:abstractNumId="37" w15:restartNumberingAfterBreak="0">
    <w:nsid w:val="0CDB6C70"/>
    <w:multiLevelType w:val="hybridMultilevel"/>
    <w:tmpl w:val="BC56B024"/>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0D3F5A84"/>
    <w:multiLevelType w:val="hybridMultilevel"/>
    <w:tmpl w:val="646CE1A8"/>
    <w:lvl w:ilvl="0" w:tplc="B270FA08">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900"/>
        </w:tabs>
        <w:ind w:left="900" w:hanging="360"/>
      </w:pPr>
      <w:rPr>
        <w:rFonts w:ascii="Courier New" w:hAnsi="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39" w15:restartNumberingAfterBreak="0">
    <w:nsid w:val="0D425ECD"/>
    <w:multiLevelType w:val="hybridMultilevel"/>
    <w:tmpl w:val="092C2B80"/>
    <w:lvl w:ilvl="0" w:tplc="171AAB62">
      <w:start w:val="1"/>
      <w:numFmt w:val="decimal"/>
      <w:pStyle w:val="1"/>
      <w:lvlText w:val="%1)"/>
      <w:lvlJc w:val="left"/>
      <w:pPr>
        <w:tabs>
          <w:tab w:val="num" w:pos="1247"/>
        </w:tabs>
        <w:ind w:firstLine="709"/>
      </w:pPr>
      <w:rPr>
        <w:rFonts w:ascii="Times New Roman" w:eastAsia="Times New Roman" w:hAnsi="Times New Roman" w:cs="Times New Roman"/>
        <w:b w:val="0"/>
        <w:i w:val="0"/>
        <w:caps w:val="0"/>
        <w:strike w:val="0"/>
        <w:dstrike w:val="0"/>
        <w:vanish w:val="0"/>
        <w:color w:val="auto"/>
        <w:spacing w:val="0"/>
        <w:w w:val="100"/>
        <w:kern w:val="28"/>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40" w15:restartNumberingAfterBreak="0">
    <w:nsid w:val="0D867810"/>
    <w:multiLevelType w:val="hybridMultilevel"/>
    <w:tmpl w:val="8C56621E"/>
    <w:lvl w:ilvl="0" w:tplc="0419001B">
      <w:start w:val="1"/>
      <w:numFmt w:val="bullet"/>
      <w:lvlText w:val="-"/>
      <w:lvlJc w:val="left"/>
      <w:pPr>
        <w:tabs>
          <w:tab w:val="num" w:pos="720"/>
        </w:tabs>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E086AB6"/>
    <w:multiLevelType w:val="hybridMultilevel"/>
    <w:tmpl w:val="42F62F1A"/>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E267190"/>
    <w:multiLevelType w:val="hybridMultilevel"/>
    <w:tmpl w:val="E91EE6EE"/>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0EBA1591"/>
    <w:multiLevelType w:val="hybridMultilevel"/>
    <w:tmpl w:val="2BBC3926"/>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0F654945"/>
    <w:multiLevelType w:val="hybridMultilevel"/>
    <w:tmpl w:val="5BA0A418"/>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0FE56781"/>
    <w:multiLevelType w:val="hybridMultilevel"/>
    <w:tmpl w:val="211E05F2"/>
    <w:lvl w:ilvl="0" w:tplc="C1FC75BC">
      <w:start w:val="1"/>
      <w:numFmt w:val="russianLow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100C4BF7"/>
    <w:multiLevelType w:val="hybridMultilevel"/>
    <w:tmpl w:val="F7369774"/>
    <w:lvl w:ilvl="0" w:tplc="04190019">
      <w:start w:val="1"/>
      <w:numFmt w:val="bullet"/>
      <w:lvlText w:val="-"/>
      <w:lvlJc w:val="left"/>
      <w:pPr>
        <w:ind w:left="216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15:restartNumberingAfterBreak="0">
    <w:nsid w:val="102E6379"/>
    <w:multiLevelType w:val="hybridMultilevel"/>
    <w:tmpl w:val="E3140088"/>
    <w:lvl w:ilvl="0" w:tplc="B270FA08">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900"/>
        </w:tabs>
        <w:ind w:left="900" w:hanging="360"/>
      </w:pPr>
      <w:rPr>
        <w:rFonts w:ascii="Courier New" w:hAnsi="Courier New" w:hint="default"/>
      </w:rPr>
    </w:lvl>
    <w:lvl w:ilvl="2" w:tplc="04190005">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48" w15:restartNumberingAfterBreak="0">
    <w:nsid w:val="105A0A50"/>
    <w:multiLevelType w:val="hybridMultilevel"/>
    <w:tmpl w:val="99640648"/>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09A19E1"/>
    <w:multiLevelType w:val="hybridMultilevel"/>
    <w:tmpl w:val="F552DE04"/>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0A95B1B"/>
    <w:multiLevelType w:val="hybridMultilevel"/>
    <w:tmpl w:val="0604238E"/>
    <w:lvl w:ilvl="0" w:tplc="FFFFFFFF">
      <w:start w:val="1"/>
      <w:numFmt w:val="decimal"/>
      <w:pStyle w:val="Criticalpathname"/>
      <w:lvlText w:val="%1."/>
      <w:lvlJc w:val="left"/>
      <w:pPr>
        <w:tabs>
          <w:tab w:val="num" w:pos="1152"/>
        </w:tabs>
        <w:ind w:left="1152" w:hanging="792"/>
      </w:pPr>
      <w:rPr>
        <w:rFonts w:cs="Times New Roman" w:hint="default"/>
      </w:rPr>
    </w:lvl>
    <w:lvl w:ilvl="1" w:tplc="FFFFFFFF">
      <w:start w:val="1"/>
      <w:numFmt w:val="bullet"/>
      <w:lvlText w:val=""/>
      <w:lvlJc w:val="left"/>
      <w:pPr>
        <w:tabs>
          <w:tab w:val="num" w:pos="1872"/>
        </w:tabs>
        <w:ind w:left="1872" w:hanging="360"/>
      </w:pPr>
      <w:rPr>
        <w:rFonts w:ascii="Symbol" w:hAnsi="Symbol" w:hint="default"/>
      </w:rPr>
    </w:lvl>
    <w:lvl w:ilvl="2" w:tplc="FFFFFFFF">
      <w:start w:val="1"/>
      <w:numFmt w:val="lowerRoman"/>
      <w:lvlText w:val="%3."/>
      <w:lvlJc w:val="right"/>
      <w:pPr>
        <w:tabs>
          <w:tab w:val="num" w:pos="2592"/>
        </w:tabs>
        <w:ind w:left="2592" w:hanging="180"/>
      </w:pPr>
      <w:rPr>
        <w:rFonts w:cs="Times New Roman"/>
      </w:rPr>
    </w:lvl>
    <w:lvl w:ilvl="3" w:tplc="FFFFFFFF">
      <w:start w:val="1"/>
      <w:numFmt w:val="decimal"/>
      <w:lvlText w:val="%4."/>
      <w:lvlJc w:val="left"/>
      <w:pPr>
        <w:tabs>
          <w:tab w:val="num" w:pos="3312"/>
        </w:tabs>
        <w:ind w:left="3312" w:hanging="360"/>
      </w:pPr>
      <w:rPr>
        <w:rFonts w:cs="Times New Roman"/>
      </w:rPr>
    </w:lvl>
    <w:lvl w:ilvl="4" w:tplc="FFFFFFFF" w:tentative="1">
      <w:start w:val="1"/>
      <w:numFmt w:val="lowerLetter"/>
      <w:lvlText w:val="%5."/>
      <w:lvlJc w:val="left"/>
      <w:pPr>
        <w:tabs>
          <w:tab w:val="num" w:pos="4032"/>
        </w:tabs>
        <w:ind w:left="4032" w:hanging="360"/>
      </w:pPr>
      <w:rPr>
        <w:rFonts w:cs="Times New Roman"/>
      </w:rPr>
    </w:lvl>
    <w:lvl w:ilvl="5" w:tplc="FFFFFFFF" w:tentative="1">
      <w:start w:val="1"/>
      <w:numFmt w:val="lowerRoman"/>
      <w:lvlText w:val="%6."/>
      <w:lvlJc w:val="right"/>
      <w:pPr>
        <w:tabs>
          <w:tab w:val="num" w:pos="4752"/>
        </w:tabs>
        <w:ind w:left="4752" w:hanging="180"/>
      </w:pPr>
      <w:rPr>
        <w:rFonts w:cs="Times New Roman"/>
      </w:rPr>
    </w:lvl>
    <w:lvl w:ilvl="6" w:tplc="FFFFFFFF" w:tentative="1">
      <w:start w:val="1"/>
      <w:numFmt w:val="decimal"/>
      <w:lvlText w:val="%7."/>
      <w:lvlJc w:val="left"/>
      <w:pPr>
        <w:tabs>
          <w:tab w:val="num" w:pos="5472"/>
        </w:tabs>
        <w:ind w:left="5472" w:hanging="360"/>
      </w:pPr>
      <w:rPr>
        <w:rFonts w:cs="Times New Roman"/>
      </w:rPr>
    </w:lvl>
    <w:lvl w:ilvl="7" w:tplc="FFFFFFFF" w:tentative="1">
      <w:start w:val="1"/>
      <w:numFmt w:val="lowerLetter"/>
      <w:lvlText w:val="%8."/>
      <w:lvlJc w:val="left"/>
      <w:pPr>
        <w:tabs>
          <w:tab w:val="num" w:pos="6192"/>
        </w:tabs>
        <w:ind w:left="6192" w:hanging="360"/>
      </w:pPr>
      <w:rPr>
        <w:rFonts w:cs="Times New Roman"/>
      </w:rPr>
    </w:lvl>
    <w:lvl w:ilvl="8" w:tplc="FFFFFFFF" w:tentative="1">
      <w:start w:val="1"/>
      <w:numFmt w:val="lowerRoman"/>
      <w:lvlText w:val="%9."/>
      <w:lvlJc w:val="right"/>
      <w:pPr>
        <w:tabs>
          <w:tab w:val="num" w:pos="6912"/>
        </w:tabs>
        <w:ind w:left="6912" w:hanging="180"/>
      </w:pPr>
      <w:rPr>
        <w:rFonts w:cs="Times New Roman"/>
      </w:rPr>
    </w:lvl>
  </w:abstractNum>
  <w:abstractNum w:abstractNumId="51" w15:restartNumberingAfterBreak="0">
    <w:nsid w:val="10AE1330"/>
    <w:multiLevelType w:val="hybridMultilevel"/>
    <w:tmpl w:val="AB1E1AD0"/>
    <w:lvl w:ilvl="0" w:tplc="04190019">
      <w:start w:val="1"/>
      <w:numFmt w:val="bullet"/>
      <w:lvlText w:val="-"/>
      <w:lvlJc w:val="left"/>
      <w:pPr>
        <w:ind w:left="696" w:hanging="360"/>
      </w:pPr>
      <w:rPr>
        <w:rFonts w:ascii="Courier New" w:hAnsi="Courier New" w:hint="default"/>
        <w:sz w:val="18"/>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52" w15:restartNumberingAfterBreak="0">
    <w:nsid w:val="1146552F"/>
    <w:multiLevelType w:val="hybridMultilevel"/>
    <w:tmpl w:val="4C98B666"/>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1199587B"/>
    <w:multiLevelType w:val="hybridMultilevel"/>
    <w:tmpl w:val="64FED8E0"/>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1C42FFC"/>
    <w:multiLevelType w:val="hybridMultilevel"/>
    <w:tmpl w:val="7FB25F9E"/>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11D131B0"/>
    <w:multiLevelType w:val="hybridMultilevel"/>
    <w:tmpl w:val="B04CBEC4"/>
    <w:lvl w:ilvl="0" w:tplc="0419001B">
      <w:start w:val="1"/>
      <w:numFmt w:val="lowerRoman"/>
      <w:lvlText w:val="%1."/>
      <w:lvlJc w:val="righ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6" w15:restartNumberingAfterBreak="0">
    <w:nsid w:val="122721E8"/>
    <w:multiLevelType w:val="hybridMultilevel"/>
    <w:tmpl w:val="E88E5490"/>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7" w15:restartNumberingAfterBreak="0">
    <w:nsid w:val="134A43C8"/>
    <w:multiLevelType w:val="hybridMultilevel"/>
    <w:tmpl w:val="458C73A6"/>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13584F1A"/>
    <w:multiLevelType w:val="hybridMultilevel"/>
    <w:tmpl w:val="BBAC3260"/>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138B736F"/>
    <w:multiLevelType w:val="hybridMultilevel"/>
    <w:tmpl w:val="8944777A"/>
    <w:lvl w:ilvl="0" w:tplc="B270FA08">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139E3DBD"/>
    <w:multiLevelType w:val="hybridMultilevel"/>
    <w:tmpl w:val="89D08DBC"/>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13DA4A10"/>
    <w:multiLevelType w:val="hybridMultilevel"/>
    <w:tmpl w:val="1A220728"/>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41F175A"/>
    <w:multiLevelType w:val="hybridMultilevel"/>
    <w:tmpl w:val="1BCEF21C"/>
    <w:lvl w:ilvl="0" w:tplc="C1FC75BC">
      <w:start w:val="1"/>
      <w:numFmt w:val="russianLow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4402183"/>
    <w:multiLevelType w:val="hybridMultilevel"/>
    <w:tmpl w:val="E116B162"/>
    <w:lvl w:ilvl="0" w:tplc="FFFFFFFF">
      <w:start w:val="4"/>
      <w:numFmt w:val="bullet"/>
      <w:pStyle w:val="Bullet"/>
      <w:lvlText w:val=""/>
      <w:lvlJc w:val="left"/>
      <w:pPr>
        <w:tabs>
          <w:tab w:val="num" w:pos="360"/>
        </w:tabs>
        <w:ind w:left="227" w:hanging="227"/>
      </w:pPr>
      <w:rPr>
        <w:rFonts w:ascii="Symbol" w:hAnsi="Symbol" w:hint="default"/>
        <w:color w:val="000000"/>
        <w:sz w:val="18"/>
      </w:rPr>
    </w:lvl>
    <w:lvl w:ilvl="1" w:tplc="FFFFFFFF">
      <w:numFmt w:val="bullet"/>
      <w:lvlText w:val="–"/>
      <w:lvlJc w:val="left"/>
      <w:pPr>
        <w:tabs>
          <w:tab w:val="num" w:pos="1440"/>
        </w:tabs>
        <w:ind w:left="1440" w:hanging="360"/>
      </w:pPr>
      <w:rPr>
        <w:rFonts w:ascii="Times" w:eastAsia="Times New Roman" w:hAnsi="Times"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w:hAnsi="Courier"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w:hAnsi="Courier"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64" w15:restartNumberingAfterBreak="0">
    <w:nsid w:val="147C1BCD"/>
    <w:multiLevelType w:val="hybridMultilevel"/>
    <w:tmpl w:val="98BA9D3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5" w15:restartNumberingAfterBreak="0">
    <w:nsid w:val="149D0170"/>
    <w:multiLevelType w:val="hybridMultilevel"/>
    <w:tmpl w:val="84AE935A"/>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14CC13F9"/>
    <w:multiLevelType w:val="hybridMultilevel"/>
    <w:tmpl w:val="C5A0FF48"/>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15B73514"/>
    <w:multiLevelType w:val="hybridMultilevel"/>
    <w:tmpl w:val="E51E3FC4"/>
    <w:lvl w:ilvl="0" w:tplc="0419001B">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16770D51"/>
    <w:multiLevelType w:val="hybridMultilevel"/>
    <w:tmpl w:val="F3000880"/>
    <w:lvl w:ilvl="0" w:tplc="C1FC75BC">
      <w:start w:val="1"/>
      <w:numFmt w:val="russianLow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6B12F49"/>
    <w:multiLevelType w:val="hybridMultilevel"/>
    <w:tmpl w:val="93E68D94"/>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16FC69FF"/>
    <w:multiLevelType w:val="hybridMultilevel"/>
    <w:tmpl w:val="0E8A3646"/>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17B521F1"/>
    <w:multiLevelType w:val="hybridMultilevel"/>
    <w:tmpl w:val="BFFA72C2"/>
    <w:lvl w:ilvl="0" w:tplc="0419001B">
      <w:start w:val="1"/>
      <w:numFmt w:val="bullet"/>
      <w:lvlText w:val="-"/>
      <w:lvlJc w:val="left"/>
      <w:pPr>
        <w:tabs>
          <w:tab w:val="num" w:pos="900"/>
        </w:tabs>
        <w:ind w:left="900" w:hanging="360"/>
      </w:pPr>
      <w:rPr>
        <w:rFonts w:ascii="Courier New" w:hAnsi="Courier New" w:hint="default"/>
        <w:sz w:val="18"/>
      </w:rPr>
    </w:lvl>
    <w:lvl w:ilvl="1" w:tplc="04190003">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2" w15:restartNumberingAfterBreak="0">
    <w:nsid w:val="186224BF"/>
    <w:multiLevelType w:val="hybridMultilevel"/>
    <w:tmpl w:val="E424C736"/>
    <w:lvl w:ilvl="0" w:tplc="0419001B">
      <w:start w:val="1"/>
      <w:numFmt w:val="bullet"/>
      <w:lvlText w:val="-"/>
      <w:lvlJc w:val="left"/>
      <w:pPr>
        <w:tabs>
          <w:tab w:val="num" w:pos="408"/>
        </w:tabs>
        <w:ind w:left="408" w:hanging="360"/>
      </w:pPr>
      <w:rPr>
        <w:rFonts w:ascii="Courier New" w:hAnsi="Courier New" w:hint="default"/>
      </w:rPr>
    </w:lvl>
    <w:lvl w:ilvl="1" w:tplc="04190003" w:tentative="1">
      <w:start w:val="1"/>
      <w:numFmt w:val="bullet"/>
      <w:lvlText w:val="o"/>
      <w:lvlJc w:val="left"/>
      <w:pPr>
        <w:tabs>
          <w:tab w:val="num" w:pos="1128"/>
        </w:tabs>
        <w:ind w:left="1128" w:hanging="360"/>
      </w:pPr>
      <w:rPr>
        <w:rFonts w:ascii="Courier New" w:hAnsi="Courier New" w:cs="Courier New" w:hint="default"/>
      </w:rPr>
    </w:lvl>
    <w:lvl w:ilvl="2" w:tplc="04190005" w:tentative="1">
      <w:start w:val="1"/>
      <w:numFmt w:val="bullet"/>
      <w:lvlText w:val=""/>
      <w:lvlJc w:val="left"/>
      <w:pPr>
        <w:tabs>
          <w:tab w:val="num" w:pos="1848"/>
        </w:tabs>
        <w:ind w:left="1848" w:hanging="360"/>
      </w:pPr>
      <w:rPr>
        <w:rFonts w:ascii="Wingdings" w:hAnsi="Wingdings" w:hint="default"/>
      </w:rPr>
    </w:lvl>
    <w:lvl w:ilvl="3" w:tplc="04190001" w:tentative="1">
      <w:start w:val="1"/>
      <w:numFmt w:val="bullet"/>
      <w:lvlText w:val=""/>
      <w:lvlJc w:val="left"/>
      <w:pPr>
        <w:tabs>
          <w:tab w:val="num" w:pos="2568"/>
        </w:tabs>
        <w:ind w:left="2568" w:hanging="360"/>
      </w:pPr>
      <w:rPr>
        <w:rFonts w:ascii="Symbol" w:hAnsi="Symbol" w:hint="default"/>
      </w:rPr>
    </w:lvl>
    <w:lvl w:ilvl="4" w:tplc="04190003" w:tentative="1">
      <w:start w:val="1"/>
      <w:numFmt w:val="bullet"/>
      <w:lvlText w:val="o"/>
      <w:lvlJc w:val="left"/>
      <w:pPr>
        <w:tabs>
          <w:tab w:val="num" w:pos="3288"/>
        </w:tabs>
        <w:ind w:left="3288" w:hanging="360"/>
      </w:pPr>
      <w:rPr>
        <w:rFonts w:ascii="Courier New" w:hAnsi="Courier New" w:cs="Courier New" w:hint="default"/>
      </w:rPr>
    </w:lvl>
    <w:lvl w:ilvl="5" w:tplc="04190005" w:tentative="1">
      <w:start w:val="1"/>
      <w:numFmt w:val="bullet"/>
      <w:lvlText w:val=""/>
      <w:lvlJc w:val="left"/>
      <w:pPr>
        <w:tabs>
          <w:tab w:val="num" w:pos="4008"/>
        </w:tabs>
        <w:ind w:left="4008" w:hanging="360"/>
      </w:pPr>
      <w:rPr>
        <w:rFonts w:ascii="Wingdings" w:hAnsi="Wingdings" w:hint="default"/>
      </w:rPr>
    </w:lvl>
    <w:lvl w:ilvl="6" w:tplc="04190001" w:tentative="1">
      <w:start w:val="1"/>
      <w:numFmt w:val="bullet"/>
      <w:lvlText w:val=""/>
      <w:lvlJc w:val="left"/>
      <w:pPr>
        <w:tabs>
          <w:tab w:val="num" w:pos="4728"/>
        </w:tabs>
        <w:ind w:left="4728" w:hanging="360"/>
      </w:pPr>
      <w:rPr>
        <w:rFonts w:ascii="Symbol" w:hAnsi="Symbol" w:hint="default"/>
      </w:rPr>
    </w:lvl>
    <w:lvl w:ilvl="7" w:tplc="04190003" w:tentative="1">
      <w:start w:val="1"/>
      <w:numFmt w:val="bullet"/>
      <w:lvlText w:val="o"/>
      <w:lvlJc w:val="left"/>
      <w:pPr>
        <w:tabs>
          <w:tab w:val="num" w:pos="5448"/>
        </w:tabs>
        <w:ind w:left="5448" w:hanging="360"/>
      </w:pPr>
      <w:rPr>
        <w:rFonts w:ascii="Courier New" w:hAnsi="Courier New" w:cs="Courier New" w:hint="default"/>
      </w:rPr>
    </w:lvl>
    <w:lvl w:ilvl="8" w:tplc="04190005" w:tentative="1">
      <w:start w:val="1"/>
      <w:numFmt w:val="bullet"/>
      <w:lvlText w:val=""/>
      <w:lvlJc w:val="left"/>
      <w:pPr>
        <w:tabs>
          <w:tab w:val="num" w:pos="6168"/>
        </w:tabs>
        <w:ind w:left="6168" w:hanging="360"/>
      </w:pPr>
      <w:rPr>
        <w:rFonts w:ascii="Wingdings" w:hAnsi="Wingdings" w:hint="default"/>
      </w:rPr>
    </w:lvl>
  </w:abstractNum>
  <w:abstractNum w:abstractNumId="73" w15:restartNumberingAfterBreak="0">
    <w:nsid w:val="188E46DD"/>
    <w:multiLevelType w:val="hybridMultilevel"/>
    <w:tmpl w:val="9D3A6360"/>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190F1A20"/>
    <w:multiLevelType w:val="hybridMultilevel"/>
    <w:tmpl w:val="7D3CDCC4"/>
    <w:lvl w:ilvl="0" w:tplc="04190001">
      <w:start w:val="1"/>
      <w:numFmt w:val="bullet"/>
      <w:pStyle w:val="a"/>
      <w:lvlText w:val="-"/>
      <w:lvlJc w:val="left"/>
      <w:pPr>
        <w:tabs>
          <w:tab w:val="num" w:pos="720"/>
        </w:tabs>
        <w:ind w:left="72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1A8C1287"/>
    <w:multiLevelType w:val="hybridMultilevel"/>
    <w:tmpl w:val="08F2695E"/>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1ABA00F9"/>
    <w:multiLevelType w:val="multilevel"/>
    <w:tmpl w:val="61EE5612"/>
    <w:lvl w:ilvl="0">
      <w:start w:val="4"/>
      <w:numFmt w:val="decimal"/>
      <w:pStyle w:val="Numbered0r"/>
      <w:lvlText w:val="%1"/>
      <w:lvlJc w:val="left"/>
      <w:pPr>
        <w:tabs>
          <w:tab w:val="num" w:pos="567"/>
        </w:tabs>
        <w:ind w:left="567" w:hanging="567"/>
      </w:pPr>
      <w:rPr>
        <w:rFonts w:cs="Times New Roman" w:hint="default"/>
      </w:rPr>
    </w:lvl>
    <w:lvl w:ilvl="1">
      <w:start w:val="6"/>
      <w:numFmt w:val="none"/>
      <w:pStyle w:val="Numberedr"/>
      <w:lvlText w:val="4.6"/>
      <w:lvlJc w:val="left"/>
      <w:pPr>
        <w:tabs>
          <w:tab w:val="num" w:pos="567"/>
        </w:tabs>
        <w:ind w:left="567" w:hanging="567"/>
      </w:pPr>
      <w:rPr>
        <w:rFonts w:cs="Times New Roman" w:hint="default"/>
      </w:rPr>
    </w:lvl>
    <w:lvl w:ilvl="2">
      <w:start w:val="1"/>
      <w:numFmt w:val="decimal"/>
      <w:pStyle w:val="Numbered2r"/>
      <w:lvlText w:val="%1.%2.%3"/>
      <w:lvlJc w:val="left"/>
      <w:pPr>
        <w:tabs>
          <w:tab w:val="num" w:pos="567"/>
        </w:tabs>
        <w:ind w:left="567" w:hanging="567"/>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7" w15:restartNumberingAfterBreak="0">
    <w:nsid w:val="1B4E243C"/>
    <w:multiLevelType w:val="hybridMultilevel"/>
    <w:tmpl w:val="4EAEE71A"/>
    <w:lvl w:ilvl="0" w:tplc="FFFFFFFF">
      <w:start w:val="1"/>
      <w:numFmt w:val="bullet"/>
      <w:lvlText w:val="-"/>
      <w:lvlJc w:val="left"/>
      <w:pPr>
        <w:ind w:left="1068" w:hanging="360"/>
      </w:pPr>
      <w:rPr>
        <w:rFonts w:ascii="Courier New" w:hAnsi="Courier New"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8" w15:restartNumberingAfterBreak="0">
    <w:nsid w:val="1B9B370E"/>
    <w:multiLevelType w:val="hybridMultilevel"/>
    <w:tmpl w:val="BB287304"/>
    <w:lvl w:ilvl="0" w:tplc="FFFFFFFF">
      <w:start w:val="1"/>
      <w:numFmt w:val="bullet"/>
      <w:lvlText w:val="-"/>
      <w:lvlJc w:val="left"/>
      <w:pPr>
        <w:tabs>
          <w:tab w:val="num" w:pos="720"/>
        </w:tabs>
        <w:ind w:left="720" w:hanging="360"/>
      </w:pPr>
      <w:rPr>
        <w:rFonts w:ascii="Courier New" w:hAnsi="Courier New" w:hint="default"/>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9" w15:restartNumberingAfterBreak="0">
    <w:nsid w:val="1C3306A9"/>
    <w:multiLevelType w:val="hybridMultilevel"/>
    <w:tmpl w:val="6608C564"/>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1C4F2EDE"/>
    <w:multiLevelType w:val="hybridMultilevel"/>
    <w:tmpl w:val="E32EDA42"/>
    <w:lvl w:ilvl="0" w:tplc="04190011">
      <w:start w:val="1"/>
      <w:numFmt w:val="decimal"/>
      <w:lvlText w:val="%1)"/>
      <w:lvlJc w:val="left"/>
      <w:pPr>
        <w:tabs>
          <w:tab w:val="num" w:pos="360"/>
        </w:tabs>
        <w:ind w:left="360" w:hanging="360"/>
      </w:pPr>
      <w:rPr>
        <w:rFonts w:cs="Times New Roman"/>
      </w:rPr>
    </w:lvl>
    <w:lvl w:ilvl="1" w:tplc="B270FA08">
      <w:start w:val="1"/>
      <w:numFmt w:val="bullet"/>
      <w:lvlText w:val=""/>
      <w:lvlJc w:val="left"/>
      <w:pPr>
        <w:tabs>
          <w:tab w:val="num" w:pos="1080"/>
        </w:tabs>
        <w:ind w:left="1080" w:hanging="360"/>
      </w:pPr>
      <w:rPr>
        <w:rFonts w:ascii="Symbol" w:hAnsi="Symbol" w:hint="default"/>
        <w:sz w:val="18"/>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81" w15:restartNumberingAfterBreak="0">
    <w:nsid w:val="1C86025F"/>
    <w:multiLevelType w:val="hybridMultilevel"/>
    <w:tmpl w:val="51F6E166"/>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1C953BF8"/>
    <w:multiLevelType w:val="hybridMultilevel"/>
    <w:tmpl w:val="C9649B10"/>
    <w:lvl w:ilvl="0" w:tplc="8806B086">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1D086AF5"/>
    <w:multiLevelType w:val="hybridMultilevel"/>
    <w:tmpl w:val="F3769AF4"/>
    <w:lvl w:ilvl="0" w:tplc="04190001">
      <w:start w:val="1"/>
      <w:numFmt w:val="bullet"/>
      <w:lvlText w:val=""/>
      <w:lvlJc w:val="left"/>
      <w:pPr>
        <w:tabs>
          <w:tab w:val="num" w:pos="408"/>
        </w:tabs>
        <w:ind w:left="408" w:hanging="360"/>
      </w:pPr>
      <w:rPr>
        <w:rFonts w:ascii="Symbol" w:hAnsi="Symbol" w:hint="default"/>
      </w:rPr>
    </w:lvl>
    <w:lvl w:ilvl="1" w:tplc="04190003" w:tentative="1">
      <w:start w:val="1"/>
      <w:numFmt w:val="bullet"/>
      <w:lvlText w:val="o"/>
      <w:lvlJc w:val="left"/>
      <w:pPr>
        <w:tabs>
          <w:tab w:val="num" w:pos="1128"/>
        </w:tabs>
        <w:ind w:left="1128" w:hanging="360"/>
      </w:pPr>
      <w:rPr>
        <w:rFonts w:ascii="Courier New" w:hAnsi="Courier New" w:cs="Courier New" w:hint="default"/>
      </w:rPr>
    </w:lvl>
    <w:lvl w:ilvl="2" w:tplc="04190005" w:tentative="1">
      <w:start w:val="1"/>
      <w:numFmt w:val="bullet"/>
      <w:lvlText w:val=""/>
      <w:lvlJc w:val="left"/>
      <w:pPr>
        <w:tabs>
          <w:tab w:val="num" w:pos="1848"/>
        </w:tabs>
        <w:ind w:left="1848" w:hanging="360"/>
      </w:pPr>
      <w:rPr>
        <w:rFonts w:ascii="Wingdings" w:hAnsi="Wingdings" w:hint="default"/>
      </w:rPr>
    </w:lvl>
    <w:lvl w:ilvl="3" w:tplc="04190001">
      <w:start w:val="1"/>
      <w:numFmt w:val="bullet"/>
      <w:lvlText w:val=""/>
      <w:lvlJc w:val="left"/>
      <w:pPr>
        <w:tabs>
          <w:tab w:val="num" w:pos="2568"/>
        </w:tabs>
        <w:ind w:left="2568" w:hanging="360"/>
      </w:pPr>
      <w:rPr>
        <w:rFonts w:ascii="Symbol" w:hAnsi="Symbol" w:hint="default"/>
      </w:rPr>
    </w:lvl>
    <w:lvl w:ilvl="4" w:tplc="04190003" w:tentative="1">
      <w:start w:val="1"/>
      <w:numFmt w:val="bullet"/>
      <w:lvlText w:val="o"/>
      <w:lvlJc w:val="left"/>
      <w:pPr>
        <w:tabs>
          <w:tab w:val="num" w:pos="3288"/>
        </w:tabs>
        <w:ind w:left="3288" w:hanging="360"/>
      </w:pPr>
      <w:rPr>
        <w:rFonts w:ascii="Courier New" w:hAnsi="Courier New" w:cs="Courier New" w:hint="default"/>
      </w:rPr>
    </w:lvl>
    <w:lvl w:ilvl="5" w:tplc="04190005" w:tentative="1">
      <w:start w:val="1"/>
      <w:numFmt w:val="bullet"/>
      <w:lvlText w:val=""/>
      <w:lvlJc w:val="left"/>
      <w:pPr>
        <w:tabs>
          <w:tab w:val="num" w:pos="4008"/>
        </w:tabs>
        <w:ind w:left="4008" w:hanging="360"/>
      </w:pPr>
      <w:rPr>
        <w:rFonts w:ascii="Wingdings" w:hAnsi="Wingdings" w:hint="default"/>
      </w:rPr>
    </w:lvl>
    <w:lvl w:ilvl="6" w:tplc="04190001" w:tentative="1">
      <w:start w:val="1"/>
      <w:numFmt w:val="bullet"/>
      <w:lvlText w:val=""/>
      <w:lvlJc w:val="left"/>
      <w:pPr>
        <w:tabs>
          <w:tab w:val="num" w:pos="4728"/>
        </w:tabs>
        <w:ind w:left="4728" w:hanging="360"/>
      </w:pPr>
      <w:rPr>
        <w:rFonts w:ascii="Symbol" w:hAnsi="Symbol" w:hint="default"/>
      </w:rPr>
    </w:lvl>
    <w:lvl w:ilvl="7" w:tplc="04190003" w:tentative="1">
      <w:start w:val="1"/>
      <w:numFmt w:val="bullet"/>
      <w:lvlText w:val="o"/>
      <w:lvlJc w:val="left"/>
      <w:pPr>
        <w:tabs>
          <w:tab w:val="num" w:pos="5448"/>
        </w:tabs>
        <w:ind w:left="5448" w:hanging="360"/>
      </w:pPr>
      <w:rPr>
        <w:rFonts w:ascii="Courier New" w:hAnsi="Courier New" w:cs="Courier New" w:hint="default"/>
      </w:rPr>
    </w:lvl>
    <w:lvl w:ilvl="8" w:tplc="04190005" w:tentative="1">
      <w:start w:val="1"/>
      <w:numFmt w:val="bullet"/>
      <w:lvlText w:val=""/>
      <w:lvlJc w:val="left"/>
      <w:pPr>
        <w:tabs>
          <w:tab w:val="num" w:pos="6168"/>
        </w:tabs>
        <w:ind w:left="6168" w:hanging="360"/>
      </w:pPr>
      <w:rPr>
        <w:rFonts w:ascii="Wingdings" w:hAnsi="Wingdings" w:hint="default"/>
      </w:rPr>
    </w:lvl>
  </w:abstractNum>
  <w:abstractNum w:abstractNumId="84" w15:restartNumberingAfterBreak="0">
    <w:nsid w:val="1D980526"/>
    <w:multiLevelType w:val="hybridMultilevel"/>
    <w:tmpl w:val="20BE6D28"/>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1DB43289"/>
    <w:multiLevelType w:val="hybridMultilevel"/>
    <w:tmpl w:val="F6EAF7BE"/>
    <w:lvl w:ilvl="0" w:tplc="04190019">
      <w:start w:val="1"/>
      <w:numFmt w:val="bullet"/>
      <w:lvlText w:val="-"/>
      <w:lvlJc w:val="left"/>
      <w:pPr>
        <w:ind w:left="1344"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86" w15:restartNumberingAfterBreak="0">
    <w:nsid w:val="1E030D23"/>
    <w:multiLevelType w:val="hybridMultilevel"/>
    <w:tmpl w:val="54825E86"/>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1E8C24EB"/>
    <w:multiLevelType w:val="hybridMultilevel"/>
    <w:tmpl w:val="C93E0478"/>
    <w:lvl w:ilvl="0" w:tplc="C1FC75BC">
      <w:start w:val="1"/>
      <w:numFmt w:val="russianLow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1F1C313A"/>
    <w:multiLevelType w:val="hybridMultilevel"/>
    <w:tmpl w:val="86FE5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1F5248AB"/>
    <w:multiLevelType w:val="hybridMultilevel"/>
    <w:tmpl w:val="14F2F418"/>
    <w:lvl w:ilvl="0" w:tplc="04090001">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1F75023B"/>
    <w:multiLevelType w:val="hybridMultilevel"/>
    <w:tmpl w:val="87DA5FDA"/>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1F8A279B"/>
    <w:multiLevelType w:val="hybridMultilevel"/>
    <w:tmpl w:val="4D681390"/>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20285D60"/>
    <w:multiLevelType w:val="hybridMultilevel"/>
    <w:tmpl w:val="D700AB06"/>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203F4180"/>
    <w:multiLevelType w:val="hybridMultilevel"/>
    <w:tmpl w:val="07AE11C2"/>
    <w:lvl w:ilvl="0" w:tplc="04190019">
      <w:start w:val="1"/>
      <w:numFmt w:val="bullet"/>
      <w:lvlText w:val="-"/>
      <w:lvlJc w:val="left"/>
      <w:pPr>
        <w:ind w:left="1080" w:hanging="360"/>
      </w:pPr>
      <w:rPr>
        <w:rFonts w:ascii="Courier New" w:hAnsi="Courier New" w:hint="default"/>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15:restartNumberingAfterBreak="0">
    <w:nsid w:val="208D7B24"/>
    <w:multiLevelType w:val="hybridMultilevel"/>
    <w:tmpl w:val="EF4A95C2"/>
    <w:lvl w:ilvl="0" w:tplc="04190019">
      <w:start w:val="1"/>
      <w:numFmt w:val="bullet"/>
      <w:lvlText w:val="-"/>
      <w:lvlJc w:val="left"/>
      <w:pPr>
        <w:ind w:left="1344" w:hanging="360"/>
      </w:pPr>
      <w:rPr>
        <w:rFonts w:ascii="Courier New" w:hAnsi="Courier New" w:hint="default"/>
        <w:sz w:val="18"/>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95" w15:restartNumberingAfterBreak="0">
    <w:nsid w:val="20C738E1"/>
    <w:multiLevelType w:val="hybridMultilevel"/>
    <w:tmpl w:val="86249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219036FB"/>
    <w:multiLevelType w:val="hybridMultilevel"/>
    <w:tmpl w:val="17662CCA"/>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21B543B1"/>
    <w:multiLevelType w:val="hybridMultilevel"/>
    <w:tmpl w:val="29A4053C"/>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21F97F12"/>
    <w:multiLevelType w:val="hybridMultilevel"/>
    <w:tmpl w:val="723A779A"/>
    <w:lvl w:ilvl="0" w:tplc="FFFFFFFF">
      <w:start w:val="1"/>
      <w:numFmt w:val="bullet"/>
      <w:lvlText w:val="-"/>
      <w:lvlJc w:val="left"/>
      <w:pPr>
        <w:tabs>
          <w:tab w:val="num" w:pos="720"/>
        </w:tabs>
        <w:ind w:left="720" w:hanging="360"/>
      </w:pPr>
      <w:rPr>
        <w:rFonts w:ascii="Courier New" w:hAnsi="Courier New" w:hint="default"/>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9" w15:restartNumberingAfterBreak="0">
    <w:nsid w:val="22106729"/>
    <w:multiLevelType w:val="hybridMultilevel"/>
    <w:tmpl w:val="C67ABAD0"/>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2212538C"/>
    <w:multiLevelType w:val="hybridMultilevel"/>
    <w:tmpl w:val="C1CEA47C"/>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228C091F"/>
    <w:multiLevelType w:val="hybridMultilevel"/>
    <w:tmpl w:val="5CAED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22A24D85"/>
    <w:multiLevelType w:val="hybridMultilevel"/>
    <w:tmpl w:val="741258EC"/>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22EA2324"/>
    <w:multiLevelType w:val="hybridMultilevel"/>
    <w:tmpl w:val="B59E0BDE"/>
    <w:lvl w:ilvl="0" w:tplc="0419001B">
      <w:start w:val="1"/>
      <w:numFmt w:val="bullet"/>
      <w:lvlText w:val="-"/>
      <w:lvlJc w:val="left"/>
      <w:pPr>
        <w:tabs>
          <w:tab w:val="num" w:pos="360"/>
        </w:tabs>
        <w:ind w:left="360" w:hanging="360"/>
      </w:pPr>
      <w:rPr>
        <w:rFonts w:ascii="Courier New" w:hAnsi="Courier New" w:hint="default"/>
        <w:sz w:val="18"/>
      </w:rPr>
    </w:lvl>
    <w:lvl w:ilvl="1" w:tplc="04190003">
      <w:start w:val="1"/>
      <w:numFmt w:val="bullet"/>
      <w:lvlText w:val="o"/>
      <w:lvlJc w:val="left"/>
      <w:pPr>
        <w:tabs>
          <w:tab w:val="num" w:pos="540"/>
        </w:tabs>
        <w:ind w:left="540" w:hanging="360"/>
      </w:pPr>
      <w:rPr>
        <w:rFonts w:ascii="Courier New" w:hAnsi="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104" w15:restartNumberingAfterBreak="0">
    <w:nsid w:val="238D1F97"/>
    <w:multiLevelType w:val="hybridMultilevel"/>
    <w:tmpl w:val="396688F6"/>
    <w:lvl w:ilvl="0" w:tplc="0419001B">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5" w15:restartNumberingAfterBreak="0">
    <w:nsid w:val="24464372"/>
    <w:multiLevelType w:val="hybridMultilevel"/>
    <w:tmpl w:val="47005F14"/>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24673B6D"/>
    <w:multiLevelType w:val="hybridMultilevel"/>
    <w:tmpl w:val="8F204FCE"/>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25624AC7"/>
    <w:multiLevelType w:val="hybridMultilevel"/>
    <w:tmpl w:val="10005394"/>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256A198C"/>
    <w:multiLevelType w:val="hybridMultilevel"/>
    <w:tmpl w:val="A3CE7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258D3CC9"/>
    <w:multiLevelType w:val="hybridMultilevel"/>
    <w:tmpl w:val="6AF009A8"/>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261063FD"/>
    <w:multiLevelType w:val="hybridMultilevel"/>
    <w:tmpl w:val="89E0DFF2"/>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26E7322E"/>
    <w:multiLevelType w:val="hybridMultilevel"/>
    <w:tmpl w:val="8BC8182A"/>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26F53CAD"/>
    <w:multiLevelType w:val="hybridMultilevel"/>
    <w:tmpl w:val="069ABA34"/>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271D40A0"/>
    <w:multiLevelType w:val="hybridMultilevel"/>
    <w:tmpl w:val="960CF14C"/>
    <w:lvl w:ilvl="0" w:tplc="C1FC75BC">
      <w:start w:val="1"/>
      <w:numFmt w:val="russianLow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4" w15:restartNumberingAfterBreak="0">
    <w:nsid w:val="27482403"/>
    <w:multiLevelType w:val="hybridMultilevel"/>
    <w:tmpl w:val="9A1A5B1A"/>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27A05FFF"/>
    <w:multiLevelType w:val="hybridMultilevel"/>
    <w:tmpl w:val="E9423946"/>
    <w:lvl w:ilvl="0" w:tplc="0419001B">
      <w:start w:val="1"/>
      <w:numFmt w:val="bullet"/>
      <w:lvlText w:val="-"/>
      <w:lvlJc w:val="left"/>
      <w:pPr>
        <w:tabs>
          <w:tab w:val="num" w:pos="900"/>
        </w:tabs>
        <w:ind w:left="900" w:hanging="360"/>
      </w:pPr>
      <w:rPr>
        <w:rFonts w:ascii="Courier New" w:hAnsi="Courier New" w:hint="default"/>
        <w:sz w:val="18"/>
      </w:rPr>
    </w:lvl>
    <w:lvl w:ilvl="1" w:tplc="04190003">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6" w15:restartNumberingAfterBreak="0">
    <w:nsid w:val="281E540F"/>
    <w:multiLevelType w:val="hybridMultilevel"/>
    <w:tmpl w:val="26FAC0CC"/>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289A4EFC"/>
    <w:multiLevelType w:val="hybridMultilevel"/>
    <w:tmpl w:val="A992C534"/>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28F45177"/>
    <w:multiLevelType w:val="hybridMultilevel"/>
    <w:tmpl w:val="30FEE67E"/>
    <w:lvl w:ilvl="0" w:tplc="0419001B">
      <w:start w:val="1"/>
      <w:numFmt w:val="bullet"/>
      <w:lvlText w:val="-"/>
      <w:lvlJc w:val="left"/>
      <w:pPr>
        <w:tabs>
          <w:tab w:val="num" w:pos="1080"/>
        </w:tabs>
        <w:ind w:left="1080" w:hanging="360"/>
      </w:pPr>
      <w:rPr>
        <w:rFonts w:ascii="Courier New" w:hAnsi="Courier New" w:hint="default"/>
        <w:sz w:val="18"/>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9" w15:restartNumberingAfterBreak="0">
    <w:nsid w:val="29D05391"/>
    <w:multiLevelType w:val="hybridMultilevel"/>
    <w:tmpl w:val="3530F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29F5476E"/>
    <w:multiLevelType w:val="hybridMultilevel"/>
    <w:tmpl w:val="3AD6A228"/>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2A356125"/>
    <w:multiLevelType w:val="hybridMultilevel"/>
    <w:tmpl w:val="0EA051CC"/>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2ADC07FF"/>
    <w:multiLevelType w:val="hybridMultilevel"/>
    <w:tmpl w:val="DE0E7882"/>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2B66309A"/>
    <w:multiLevelType w:val="hybridMultilevel"/>
    <w:tmpl w:val="A41A246A"/>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2BF76718"/>
    <w:multiLevelType w:val="hybridMultilevel"/>
    <w:tmpl w:val="B0CAB9A2"/>
    <w:lvl w:ilvl="0" w:tplc="FFFFFFFF">
      <w:start w:val="1"/>
      <w:numFmt w:val="bullet"/>
      <w:lvlText w:val="-"/>
      <w:lvlJc w:val="left"/>
      <w:pPr>
        <w:tabs>
          <w:tab w:val="num" w:pos="360"/>
        </w:tabs>
        <w:ind w:left="360" w:hanging="360"/>
      </w:pPr>
      <w:rPr>
        <w:rFonts w:ascii="Courier New" w:hAnsi="Courier New"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25" w15:restartNumberingAfterBreak="0">
    <w:nsid w:val="2C6C72B7"/>
    <w:multiLevelType w:val="hybridMultilevel"/>
    <w:tmpl w:val="1EAC0714"/>
    <w:lvl w:ilvl="0" w:tplc="0419000F">
      <w:start w:val="1"/>
      <w:numFmt w:val="decimal"/>
      <w:pStyle w:val="BodyTextNumbered"/>
      <w:lvlText w:val="%1."/>
      <w:lvlJc w:val="left"/>
      <w:pPr>
        <w:tabs>
          <w:tab w:val="num" w:pos="1649"/>
        </w:tabs>
        <w:ind w:left="1649" w:hanging="360"/>
      </w:pPr>
      <w:rPr>
        <w:rFonts w:cs="Times New Roman" w:hint="default"/>
      </w:rPr>
    </w:lvl>
    <w:lvl w:ilvl="1" w:tplc="04190019" w:tentative="1">
      <w:start w:val="1"/>
      <w:numFmt w:val="lowerLetter"/>
      <w:lvlText w:val="%2."/>
      <w:lvlJc w:val="left"/>
      <w:pPr>
        <w:tabs>
          <w:tab w:val="num" w:pos="2369"/>
        </w:tabs>
        <w:ind w:left="2369" w:hanging="360"/>
      </w:pPr>
      <w:rPr>
        <w:rFonts w:cs="Times New Roman"/>
      </w:rPr>
    </w:lvl>
    <w:lvl w:ilvl="2" w:tplc="0419001B" w:tentative="1">
      <w:start w:val="1"/>
      <w:numFmt w:val="lowerRoman"/>
      <w:lvlText w:val="%3."/>
      <w:lvlJc w:val="right"/>
      <w:pPr>
        <w:tabs>
          <w:tab w:val="num" w:pos="3089"/>
        </w:tabs>
        <w:ind w:left="3089" w:hanging="180"/>
      </w:pPr>
      <w:rPr>
        <w:rFonts w:cs="Times New Roman"/>
      </w:rPr>
    </w:lvl>
    <w:lvl w:ilvl="3" w:tplc="0419000F" w:tentative="1">
      <w:start w:val="1"/>
      <w:numFmt w:val="decimal"/>
      <w:lvlText w:val="%4."/>
      <w:lvlJc w:val="left"/>
      <w:pPr>
        <w:tabs>
          <w:tab w:val="num" w:pos="3809"/>
        </w:tabs>
        <w:ind w:left="3809" w:hanging="360"/>
      </w:pPr>
      <w:rPr>
        <w:rFonts w:cs="Times New Roman"/>
      </w:rPr>
    </w:lvl>
    <w:lvl w:ilvl="4" w:tplc="04190019" w:tentative="1">
      <w:start w:val="1"/>
      <w:numFmt w:val="lowerLetter"/>
      <w:lvlText w:val="%5."/>
      <w:lvlJc w:val="left"/>
      <w:pPr>
        <w:tabs>
          <w:tab w:val="num" w:pos="4529"/>
        </w:tabs>
        <w:ind w:left="4529" w:hanging="360"/>
      </w:pPr>
      <w:rPr>
        <w:rFonts w:cs="Times New Roman"/>
      </w:rPr>
    </w:lvl>
    <w:lvl w:ilvl="5" w:tplc="0419001B" w:tentative="1">
      <w:start w:val="1"/>
      <w:numFmt w:val="lowerRoman"/>
      <w:lvlText w:val="%6."/>
      <w:lvlJc w:val="right"/>
      <w:pPr>
        <w:tabs>
          <w:tab w:val="num" w:pos="5249"/>
        </w:tabs>
        <w:ind w:left="5249" w:hanging="180"/>
      </w:pPr>
      <w:rPr>
        <w:rFonts w:cs="Times New Roman"/>
      </w:rPr>
    </w:lvl>
    <w:lvl w:ilvl="6" w:tplc="0419000F" w:tentative="1">
      <w:start w:val="1"/>
      <w:numFmt w:val="decimal"/>
      <w:lvlText w:val="%7."/>
      <w:lvlJc w:val="left"/>
      <w:pPr>
        <w:tabs>
          <w:tab w:val="num" w:pos="5969"/>
        </w:tabs>
        <w:ind w:left="5969" w:hanging="360"/>
      </w:pPr>
      <w:rPr>
        <w:rFonts w:cs="Times New Roman"/>
      </w:rPr>
    </w:lvl>
    <w:lvl w:ilvl="7" w:tplc="04190019" w:tentative="1">
      <w:start w:val="1"/>
      <w:numFmt w:val="lowerLetter"/>
      <w:lvlText w:val="%8."/>
      <w:lvlJc w:val="left"/>
      <w:pPr>
        <w:tabs>
          <w:tab w:val="num" w:pos="6689"/>
        </w:tabs>
        <w:ind w:left="6689" w:hanging="360"/>
      </w:pPr>
      <w:rPr>
        <w:rFonts w:cs="Times New Roman"/>
      </w:rPr>
    </w:lvl>
    <w:lvl w:ilvl="8" w:tplc="0419001B" w:tentative="1">
      <w:start w:val="1"/>
      <w:numFmt w:val="lowerRoman"/>
      <w:lvlText w:val="%9."/>
      <w:lvlJc w:val="right"/>
      <w:pPr>
        <w:tabs>
          <w:tab w:val="num" w:pos="7409"/>
        </w:tabs>
        <w:ind w:left="7409" w:hanging="180"/>
      </w:pPr>
      <w:rPr>
        <w:rFonts w:cs="Times New Roman"/>
      </w:rPr>
    </w:lvl>
  </w:abstractNum>
  <w:abstractNum w:abstractNumId="126" w15:restartNumberingAfterBreak="0">
    <w:nsid w:val="2C7545FB"/>
    <w:multiLevelType w:val="hybridMultilevel"/>
    <w:tmpl w:val="03C2A854"/>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2D490A9D"/>
    <w:multiLevelType w:val="hybridMultilevel"/>
    <w:tmpl w:val="AC50287C"/>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2D5000B4"/>
    <w:multiLevelType w:val="hybridMultilevel"/>
    <w:tmpl w:val="311435AA"/>
    <w:lvl w:ilvl="0" w:tplc="0419001B">
      <w:start w:val="1"/>
      <w:numFmt w:val="bullet"/>
      <w:lvlText w:val="-"/>
      <w:lvlJc w:val="left"/>
      <w:pPr>
        <w:tabs>
          <w:tab w:val="num" w:pos="768"/>
        </w:tabs>
        <w:ind w:left="768" w:hanging="360"/>
      </w:pPr>
      <w:rPr>
        <w:rFonts w:ascii="Courier New" w:hAnsi="Courier New" w:hint="default"/>
      </w:rPr>
    </w:lvl>
    <w:lvl w:ilvl="1" w:tplc="04190019" w:tentative="1">
      <w:start w:val="1"/>
      <w:numFmt w:val="bullet"/>
      <w:lvlText w:val="o"/>
      <w:lvlJc w:val="left"/>
      <w:pPr>
        <w:tabs>
          <w:tab w:val="num" w:pos="1488"/>
        </w:tabs>
        <w:ind w:left="1488" w:hanging="360"/>
      </w:pPr>
      <w:rPr>
        <w:rFonts w:ascii="Courier New" w:hAnsi="Courier New" w:cs="Courier New" w:hint="default"/>
      </w:rPr>
    </w:lvl>
    <w:lvl w:ilvl="2" w:tplc="0419001B" w:tentative="1">
      <w:start w:val="1"/>
      <w:numFmt w:val="bullet"/>
      <w:lvlText w:val=""/>
      <w:lvlJc w:val="left"/>
      <w:pPr>
        <w:tabs>
          <w:tab w:val="num" w:pos="2208"/>
        </w:tabs>
        <w:ind w:left="2208" w:hanging="360"/>
      </w:pPr>
      <w:rPr>
        <w:rFonts w:ascii="Wingdings" w:hAnsi="Wingdings" w:hint="default"/>
      </w:rPr>
    </w:lvl>
    <w:lvl w:ilvl="3" w:tplc="0419000F" w:tentative="1">
      <w:start w:val="1"/>
      <w:numFmt w:val="bullet"/>
      <w:lvlText w:val=""/>
      <w:lvlJc w:val="left"/>
      <w:pPr>
        <w:tabs>
          <w:tab w:val="num" w:pos="2928"/>
        </w:tabs>
        <w:ind w:left="2928" w:hanging="360"/>
      </w:pPr>
      <w:rPr>
        <w:rFonts w:ascii="Symbol" w:hAnsi="Symbol" w:hint="default"/>
      </w:rPr>
    </w:lvl>
    <w:lvl w:ilvl="4" w:tplc="04190019" w:tentative="1">
      <w:start w:val="1"/>
      <w:numFmt w:val="bullet"/>
      <w:lvlText w:val="o"/>
      <w:lvlJc w:val="left"/>
      <w:pPr>
        <w:tabs>
          <w:tab w:val="num" w:pos="3648"/>
        </w:tabs>
        <w:ind w:left="3648" w:hanging="360"/>
      </w:pPr>
      <w:rPr>
        <w:rFonts w:ascii="Courier New" w:hAnsi="Courier New" w:cs="Courier New" w:hint="default"/>
      </w:rPr>
    </w:lvl>
    <w:lvl w:ilvl="5" w:tplc="0419001B" w:tentative="1">
      <w:start w:val="1"/>
      <w:numFmt w:val="bullet"/>
      <w:lvlText w:val=""/>
      <w:lvlJc w:val="left"/>
      <w:pPr>
        <w:tabs>
          <w:tab w:val="num" w:pos="4368"/>
        </w:tabs>
        <w:ind w:left="4368" w:hanging="360"/>
      </w:pPr>
      <w:rPr>
        <w:rFonts w:ascii="Wingdings" w:hAnsi="Wingdings" w:hint="default"/>
      </w:rPr>
    </w:lvl>
    <w:lvl w:ilvl="6" w:tplc="0419000F" w:tentative="1">
      <w:start w:val="1"/>
      <w:numFmt w:val="bullet"/>
      <w:lvlText w:val=""/>
      <w:lvlJc w:val="left"/>
      <w:pPr>
        <w:tabs>
          <w:tab w:val="num" w:pos="5088"/>
        </w:tabs>
        <w:ind w:left="5088" w:hanging="360"/>
      </w:pPr>
      <w:rPr>
        <w:rFonts w:ascii="Symbol" w:hAnsi="Symbol" w:hint="default"/>
      </w:rPr>
    </w:lvl>
    <w:lvl w:ilvl="7" w:tplc="04190019" w:tentative="1">
      <w:start w:val="1"/>
      <w:numFmt w:val="bullet"/>
      <w:lvlText w:val="o"/>
      <w:lvlJc w:val="left"/>
      <w:pPr>
        <w:tabs>
          <w:tab w:val="num" w:pos="5808"/>
        </w:tabs>
        <w:ind w:left="5808" w:hanging="360"/>
      </w:pPr>
      <w:rPr>
        <w:rFonts w:ascii="Courier New" w:hAnsi="Courier New" w:cs="Courier New" w:hint="default"/>
      </w:rPr>
    </w:lvl>
    <w:lvl w:ilvl="8" w:tplc="0419001B" w:tentative="1">
      <w:start w:val="1"/>
      <w:numFmt w:val="bullet"/>
      <w:lvlText w:val=""/>
      <w:lvlJc w:val="left"/>
      <w:pPr>
        <w:tabs>
          <w:tab w:val="num" w:pos="6528"/>
        </w:tabs>
        <w:ind w:left="6528" w:hanging="360"/>
      </w:pPr>
      <w:rPr>
        <w:rFonts w:ascii="Wingdings" w:hAnsi="Wingdings" w:hint="default"/>
      </w:rPr>
    </w:lvl>
  </w:abstractNum>
  <w:abstractNum w:abstractNumId="129" w15:restartNumberingAfterBreak="0">
    <w:nsid w:val="2D6E1E81"/>
    <w:multiLevelType w:val="hybridMultilevel"/>
    <w:tmpl w:val="E7845088"/>
    <w:lvl w:ilvl="0" w:tplc="B270FA08">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900"/>
        </w:tabs>
        <w:ind w:left="900" w:hanging="360"/>
      </w:pPr>
      <w:rPr>
        <w:rFonts w:ascii="Courier New" w:hAnsi="Courier New" w:hint="default"/>
      </w:rPr>
    </w:lvl>
    <w:lvl w:ilvl="2" w:tplc="04190005">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hint="default"/>
      </w:rPr>
    </w:lvl>
    <w:lvl w:ilvl="5" w:tplc="04190005">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130" w15:restartNumberingAfterBreak="0">
    <w:nsid w:val="2D752F74"/>
    <w:multiLevelType w:val="hybridMultilevel"/>
    <w:tmpl w:val="4A3E8550"/>
    <w:lvl w:ilvl="0" w:tplc="0419001B">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1" w15:restartNumberingAfterBreak="0">
    <w:nsid w:val="2DEC600E"/>
    <w:multiLevelType w:val="hybridMultilevel"/>
    <w:tmpl w:val="6C7C2ED8"/>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2E10638D"/>
    <w:multiLevelType w:val="hybridMultilevel"/>
    <w:tmpl w:val="AEA4546C"/>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2EAC2BAD"/>
    <w:multiLevelType w:val="hybridMultilevel"/>
    <w:tmpl w:val="A5320838"/>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2EB47C57"/>
    <w:multiLevelType w:val="hybridMultilevel"/>
    <w:tmpl w:val="D54435E6"/>
    <w:lvl w:ilvl="0" w:tplc="04190019">
      <w:start w:val="1"/>
      <w:numFmt w:val="bullet"/>
      <w:lvlText w:val="-"/>
      <w:lvlJc w:val="left"/>
      <w:pPr>
        <w:ind w:left="1344" w:hanging="360"/>
      </w:pPr>
      <w:rPr>
        <w:rFonts w:ascii="Courier New" w:hAnsi="Courier New" w:hint="default"/>
        <w:sz w:val="18"/>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135" w15:restartNumberingAfterBreak="0">
    <w:nsid w:val="2FC42A9D"/>
    <w:multiLevelType w:val="hybridMultilevel"/>
    <w:tmpl w:val="EA66C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2FE7731C"/>
    <w:multiLevelType w:val="hybridMultilevel"/>
    <w:tmpl w:val="6FA8DF62"/>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318B64EC"/>
    <w:multiLevelType w:val="hybridMultilevel"/>
    <w:tmpl w:val="1F36A582"/>
    <w:lvl w:ilvl="0" w:tplc="04190001">
      <w:start w:val="1"/>
      <w:numFmt w:val="bullet"/>
      <w:pStyle w:val="a0"/>
      <w:lvlText w:val="-"/>
      <w:lvlJc w:val="left"/>
      <w:pPr>
        <w:tabs>
          <w:tab w:val="num" w:pos="227"/>
        </w:tabs>
        <w:ind w:left="227" w:hanging="114"/>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31B22669"/>
    <w:multiLevelType w:val="hybridMultilevel"/>
    <w:tmpl w:val="6E50962A"/>
    <w:lvl w:ilvl="0" w:tplc="04190019">
      <w:start w:val="1"/>
      <w:numFmt w:val="bullet"/>
      <w:lvlText w:val="-"/>
      <w:lvlJc w:val="left"/>
      <w:pPr>
        <w:tabs>
          <w:tab w:val="num" w:pos="360"/>
        </w:tabs>
        <w:ind w:left="360" w:hanging="360"/>
      </w:pPr>
      <w:rPr>
        <w:rFonts w:ascii="Courier New" w:hAnsi="Courier New" w:hint="default"/>
        <w:sz w:val="18"/>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9" w15:restartNumberingAfterBreak="0">
    <w:nsid w:val="3297184E"/>
    <w:multiLevelType w:val="hybridMultilevel"/>
    <w:tmpl w:val="472CE59C"/>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330C1D45"/>
    <w:multiLevelType w:val="hybridMultilevel"/>
    <w:tmpl w:val="2B1C5E3C"/>
    <w:lvl w:ilvl="0" w:tplc="FFFFFFFF">
      <w:start w:val="1"/>
      <w:numFmt w:val="bullet"/>
      <w:lvlText w:val="-"/>
      <w:lvlJc w:val="left"/>
      <w:pPr>
        <w:tabs>
          <w:tab w:val="num" w:pos="720"/>
        </w:tabs>
        <w:ind w:left="720" w:hanging="360"/>
      </w:pPr>
      <w:rPr>
        <w:rFonts w:ascii="Courier New" w:hAnsi="Courier New" w:hint="default"/>
        <w:sz w:val="18"/>
      </w:rPr>
    </w:lvl>
    <w:lvl w:ilvl="1" w:tplc="04190003" w:tentative="1">
      <w:start w:val="1"/>
      <w:numFmt w:val="bullet"/>
      <w:lvlText w:val="o"/>
      <w:lvlJc w:val="left"/>
      <w:pPr>
        <w:tabs>
          <w:tab w:val="num" w:pos="900"/>
        </w:tabs>
        <w:ind w:left="900" w:hanging="360"/>
      </w:pPr>
      <w:rPr>
        <w:rFonts w:ascii="Courier New" w:hAnsi="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141" w15:restartNumberingAfterBreak="0">
    <w:nsid w:val="33632602"/>
    <w:multiLevelType w:val="hybridMultilevel"/>
    <w:tmpl w:val="CBA4F87C"/>
    <w:lvl w:ilvl="0" w:tplc="04190019">
      <w:start w:val="1"/>
      <w:numFmt w:val="bullet"/>
      <w:lvlText w:val="-"/>
      <w:lvlJc w:val="left"/>
      <w:pPr>
        <w:ind w:left="786" w:hanging="360"/>
      </w:pPr>
      <w:rPr>
        <w:rFonts w:ascii="Courier New" w:hAnsi="Courier New"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42" w15:restartNumberingAfterBreak="0">
    <w:nsid w:val="33B037CE"/>
    <w:multiLevelType w:val="hybridMultilevel"/>
    <w:tmpl w:val="190E9E9E"/>
    <w:lvl w:ilvl="0" w:tplc="B270FA08">
      <w:start w:val="1"/>
      <w:numFmt w:val="bullet"/>
      <w:lvlText w:val=""/>
      <w:lvlJc w:val="left"/>
      <w:pPr>
        <w:tabs>
          <w:tab w:val="num" w:pos="1260"/>
        </w:tabs>
        <w:ind w:left="1260" w:hanging="360"/>
      </w:pPr>
      <w:rPr>
        <w:rFonts w:ascii="Symbol" w:hAnsi="Symbol" w:hint="default"/>
        <w:sz w:val="18"/>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3" w15:restartNumberingAfterBreak="0">
    <w:nsid w:val="33D5331A"/>
    <w:multiLevelType w:val="hybridMultilevel"/>
    <w:tmpl w:val="649C45E8"/>
    <w:lvl w:ilvl="0" w:tplc="0419001B">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15:restartNumberingAfterBreak="0">
    <w:nsid w:val="34B71A08"/>
    <w:multiLevelType w:val="hybridMultilevel"/>
    <w:tmpl w:val="AAA400EE"/>
    <w:lvl w:ilvl="0" w:tplc="04190019">
      <w:start w:val="1"/>
      <w:numFmt w:val="bullet"/>
      <w:lvlText w:val="-"/>
      <w:lvlJc w:val="left"/>
      <w:pPr>
        <w:ind w:left="984" w:hanging="360"/>
      </w:pPr>
      <w:rPr>
        <w:rFonts w:ascii="Courier New" w:hAnsi="Courier New" w:hint="default"/>
        <w:sz w:val="18"/>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145" w15:restartNumberingAfterBreak="0">
    <w:nsid w:val="351A584E"/>
    <w:multiLevelType w:val="hybridMultilevel"/>
    <w:tmpl w:val="BD12EC22"/>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3568275C"/>
    <w:multiLevelType w:val="hybridMultilevel"/>
    <w:tmpl w:val="7122A456"/>
    <w:lvl w:ilvl="0" w:tplc="04190019">
      <w:start w:val="1"/>
      <w:numFmt w:val="bullet"/>
      <w:lvlText w:val="-"/>
      <w:lvlJc w:val="left"/>
      <w:pPr>
        <w:ind w:left="720" w:hanging="360"/>
      </w:pPr>
      <w:rPr>
        <w:rFonts w:ascii="Courier New" w:hAnsi="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35A70CF4"/>
    <w:multiLevelType w:val="multilevel"/>
    <w:tmpl w:val="BAF859CA"/>
    <w:lvl w:ilvl="0">
      <w:start w:val="1"/>
      <w:numFmt w:val="bullet"/>
      <w:pStyle w:val="bullet0"/>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927"/>
        </w:tabs>
        <w:ind w:left="851" w:hanging="284"/>
      </w:pPr>
      <w:rPr>
        <w:rFonts w:ascii="Times New Roman" w:hAnsi="Times New Roman"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Arial" w:hAnsi="Arial" w:cs="Times New Roman" w:hint="default"/>
      </w:rPr>
    </w:lvl>
    <w:lvl w:ilvl="3">
      <w:start w:val="1"/>
      <w:numFmt w:val="decimal"/>
      <w:lvlText w:val="%1.%2.%3.%4"/>
      <w:lvlJc w:val="left"/>
      <w:pPr>
        <w:tabs>
          <w:tab w:val="num" w:pos="720"/>
        </w:tabs>
        <w:ind w:left="720" w:hanging="720"/>
      </w:pPr>
      <w:rPr>
        <w:rFonts w:ascii="Arial" w:hAnsi="Arial" w:cs="Times New Roman" w:hint="default"/>
      </w:rPr>
    </w:lvl>
    <w:lvl w:ilvl="4">
      <w:start w:val="1"/>
      <w:numFmt w:val="decimal"/>
      <w:lvlText w:val="%1.%2.%3.%4.%5"/>
      <w:lvlJc w:val="left"/>
      <w:pPr>
        <w:tabs>
          <w:tab w:val="num" w:pos="720"/>
        </w:tabs>
        <w:ind w:left="720" w:hanging="720"/>
      </w:pPr>
      <w:rPr>
        <w:rFonts w:ascii="Arial" w:hAnsi="Arial" w:cs="Times New Roman" w:hint="default"/>
      </w:rPr>
    </w:lvl>
    <w:lvl w:ilvl="5">
      <w:start w:val="1"/>
      <w:numFmt w:val="decimal"/>
      <w:lvlText w:val="%1.%2.%3.%4.%5.%6"/>
      <w:lvlJc w:val="left"/>
      <w:pPr>
        <w:tabs>
          <w:tab w:val="num" w:pos="1080"/>
        </w:tabs>
        <w:ind w:left="1080" w:hanging="1080"/>
      </w:pPr>
      <w:rPr>
        <w:rFonts w:ascii="Arial" w:hAnsi="Arial" w:cs="Times New Roman" w:hint="default"/>
      </w:rPr>
    </w:lvl>
    <w:lvl w:ilvl="6">
      <w:start w:val="1"/>
      <w:numFmt w:val="decimal"/>
      <w:lvlText w:val="%1.%2.%3.%4.%5.%6.%7"/>
      <w:lvlJc w:val="left"/>
      <w:pPr>
        <w:tabs>
          <w:tab w:val="num" w:pos="1080"/>
        </w:tabs>
        <w:ind w:left="1080" w:hanging="1080"/>
      </w:pPr>
      <w:rPr>
        <w:rFonts w:ascii="Arial" w:hAnsi="Arial" w:cs="Times New Roman" w:hint="default"/>
      </w:rPr>
    </w:lvl>
    <w:lvl w:ilvl="7">
      <w:start w:val="1"/>
      <w:numFmt w:val="decimal"/>
      <w:lvlText w:val="%1.%2.%3.%4.%5.%6.%7.%8"/>
      <w:lvlJc w:val="left"/>
      <w:pPr>
        <w:tabs>
          <w:tab w:val="num" w:pos="1440"/>
        </w:tabs>
        <w:ind w:left="1440" w:hanging="1440"/>
      </w:pPr>
      <w:rPr>
        <w:rFonts w:ascii="Arial" w:hAnsi="Arial" w:cs="Times New Roman" w:hint="default"/>
      </w:rPr>
    </w:lvl>
    <w:lvl w:ilvl="8">
      <w:start w:val="1"/>
      <w:numFmt w:val="decimal"/>
      <w:lvlText w:val="%1.%2.%3.%4.%5.%6.%7.%8.%9"/>
      <w:lvlJc w:val="left"/>
      <w:pPr>
        <w:tabs>
          <w:tab w:val="num" w:pos="1440"/>
        </w:tabs>
        <w:ind w:left="1440" w:hanging="1440"/>
      </w:pPr>
      <w:rPr>
        <w:rFonts w:ascii="Arial" w:hAnsi="Arial" w:cs="Times New Roman" w:hint="default"/>
      </w:rPr>
    </w:lvl>
  </w:abstractNum>
  <w:abstractNum w:abstractNumId="148" w15:restartNumberingAfterBreak="0">
    <w:nsid w:val="364B1238"/>
    <w:multiLevelType w:val="hybridMultilevel"/>
    <w:tmpl w:val="5C28F104"/>
    <w:lvl w:ilvl="0" w:tplc="0419001B">
      <w:start w:val="1"/>
      <w:numFmt w:val="bullet"/>
      <w:lvlText w:val="-"/>
      <w:lvlJc w:val="left"/>
      <w:pPr>
        <w:tabs>
          <w:tab w:val="num" w:pos="900"/>
        </w:tabs>
        <w:ind w:left="900" w:hanging="360"/>
      </w:pPr>
      <w:rPr>
        <w:rFonts w:ascii="Courier New" w:hAnsi="Courier New" w:hint="default"/>
        <w:sz w:val="18"/>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9" w15:restartNumberingAfterBreak="0">
    <w:nsid w:val="36F64AE5"/>
    <w:multiLevelType w:val="hybridMultilevel"/>
    <w:tmpl w:val="DDEE75DA"/>
    <w:lvl w:ilvl="0" w:tplc="B270FA08">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900"/>
        </w:tabs>
        <w:ind w:left="900" w:hanging="360"/>
      </w:pPr>
      <w:rPr>
        <w:rFonts w:ascii="Courier New" w:hAnsi="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150" w15:restartNumberingAfterBreak="0">
    <w:nsid w:val="37284206"/>
    <w:multiLevelType w:val="hybridMultilevel"/>
    <w:tmpl w:val="35323468"/>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3730585C"/>
    <w:multiLevelType w:val="hybridMultilevel"/>
    <w:tmpl w:val="FA3C6B30"/>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37311590"/>
    <w:multiLevelType w:val="hybridMultilevel"/>
    <w:tmpl w:val="F816FE2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3" w15:restartNumberingAfterBreak="0">
    <w:nsid w:val="37446233"/>
    <w:multiLevelType w:val="hybridMultilevel"/>
    <w:tmpl w:val="E2EC13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4" w15:restartNumberingAfterBreak="0">
    <w:nsid w:val="37476DCA"/>
    <w:multiLevelType w:val="hybridMultilevel"/>
    <w:tmpl w:val="7222DC10"/>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37671E57"/>
    <w:multiLevelType w:val="hybridMultilevel"/>
    <w:tmpl w:val="42D658FA"/>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379C232E"/>
    <w:multiLevelType w:val="hybridMultilevel"/>
    <w:tmpl w:val="BFAA6FDC"/>
    <w:lvl w:ilvl="0" w:tplc="8806B086">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37FF6871"/>
    <w:multiLevelType w:val="hybridMultilevel"/>
    <w:tmpl w:val="03B0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3844435F"/>
    <w:multiLevelType w:val="hybridMultilevel"/>
    <w:tmpl w:val="647A111E"/>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384A24EB"/>
    <w:multiLevelType w:val="hybridMultilevel"/>
    <w:tmpl w:val="04DCB932"/>
    <w:lvl w:ilvl="0" w:tplc="C1FC75BC">
      <w:start w:val="1"/>
      <w:numFmt w:val="russianLower"/>
      <w:lvlText w:val="%1)"/>
      <w:lvlJc w:val="left"/>
      <w:pPr>
        <w:ind w:left="1980" w:hanging="360"/>
      </w:pPr>
      <w:rPr>
        <w:rFont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60" w15:restartNumberingAfterBreak="0">
    <w:nsid w:val="3876481C"/>
    <w:multiLevelType w:val="hybridMultilevel"/>
    <w:tmpl w:val="4DE80BDE"/>
    <w:lvl w:ilvl="0" w:tplc="C1FC75BC">
      <w:start w:val="1"/>
      <w:numFmt w:val="russianLow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38C347B9"/>
    <w:multiLevelType w:val="hybridMultilevel"/>
    <w:tmpl w:val="8DAC8B28"/>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39302CE3"/>
    <w:multiLevelType w:val="hybridMultilevel"/>
    <w:tmpl w:val="5AFA84FE"/>
    <w:lvl w:ilvl="0" w:tplc="04190019">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19">
      <w:start w:val="1"/>
      <w:numFmt w:val="bullet"/>
      <w:lvlText w:val="-"/>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15:restartNumberingAfterBreak="0">
    <w:nsid w:val="39761E95"/>
    <w:multiLevelType w:val="hybridMultilevel"/>
    <w:tmpl w:val="C94C24DE"/>
    <w:lvl w:ilvl="0" w:tplc="B270FA08">
      <w:start w:val="1"/>
      <w:numFmt w:val="bullet"/>
      <w:lvlText w:val=""/>
      <w:lvlJc w:val="left"/>
      <w:pPr>
        <w:tabs>
          <w:tab w:val="num" w:pos="900"/>
        </w:tabs>
        <w:ind w:left="90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4" w15:restartNumberingAfterBreak="0">
    <w:nsid w:val="3A4D53D5"/>
    <w:multiLevelType w:val="hybridMultilevel"/>
    <w:tmpl w:val="D7DE0F5C"/>
    <w:lvl w:ilvl="0" w:tplc="B270FA08">
      <w:start w:val="1"/>
      <w:numFmt w:val="bullet"/>
      <w:lvlText w:val=""/>
      <w:lvlJc w:val="left"/>
      <w:pPr>
        <w:tabs>
          <w:tab w:val="num" w:pos="900"/>
        </w:tabs>
        <w:ind w:left="900" w:hanging="360"/>
      </w:pPr>
      <w:rPr>
        <w:rFonts w:ascii="Symbol" w:hAnsi="Symbol" w:hint="default"/>
        <w:sz w:val="18"/>
      </w:rPr>
    </w:lvl>
    <w:lvl w:ilvl="1" w:tplc="B270FA08">
      <w:start w:val="1"/>
      <w:numFmt w:val="bullet"/>
      <w:lvlText w:val=""/>
      <w:lvlJc w:val="left"/>
      <w:pPr>
        <w:tabs>
          <w:tab w:val="num" w:pos="1080"/>
        </w:tabs>
        <w:ind w:left="1080" w:hanging="360"/>
      </w:pPr>
      <w:rPr>
        <w:rFonts w:ascii="Symbol" w:hAnsi="Symbol" w:hint="default"/>
        <w:sz w:val="18"/>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5" w15:restartNumberingAfterBreak="0">
    <w:nsid w:val="3AD9589F"/>
    <w:multiLevelType w:val="hybridMultilevel"/>
    <w:tmpl w:val="10D05A64"/>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3B305BC6"/>
    <w:multiLevelType w:val="hybridMultilevel"/>
    <w:tmpl w:val="0CF2EF50"/>
    <w:lvl w:ilvl="0" w:tplc="FFFFFFFF">
      <w:start w:val="1"/>
      <w:numFmt w:val="bullet"/>
      <w:lvlText w:val="-"/>
      <w:lvlJc w:val="left"/>
      <w:pPr>
        <w:tabs>
          <w:tab w:val="num" w:pos="1080"/>
        </w:tabs>
        <w:ind w:left="1080" w:hanging="360"/>
      </w:pPr>
      <w:rPr>
        <w:rFonts w:ascii="Courier New" w:hAnsi="Courier New" w:hint="default"/>
      </w:rPr>
    </w:lvl>
    <w:lvl w:ilvl="1" w:tplc="B270FA08">
      <w:start w:val="1"/>
      <w:numFmt w:val="bullet"/>
      <w:lvlText w:val=""/>
      <w:lvlJc w:val="left"/>
      <w:pPr>
        <w:tabs>
          <w:tab w:val="num" w:pos="1800"/>
        </w:tabs>
        <w:ind w:left="1800" w:hanging="360"/>
      </w:pPr>
      <w:rPr>
        <w:rFonts w:ascii="Symbol" w:hAnsi="Symbol" w:hint="default"/>
        <w:sz w:val="18"/>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67" w15:restartNumberingAfterBreak="0">
    <w:nsid w:val="3B5A3B9F"/>
    <w:multiLevelType w:val="hybridMultilevel"/>
    <w:tmpl w:val="FCB4213C"/>
    <w:lvl w:ilvl="0" w:tplc="8806B086">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3BA61164"/>
    <w:multiLevelType w:val="hybridMultilevel"/>
    <w:tmpl w:val="CCA08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3C431E13"/>
    <w:multiLevelType w:val="hybridMultilevel"/>
    <w:tmpl w:val="E2649B92"/>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3C8A4ABA"/>
    <w:multiLevelType w:val="hybridMultilevel"/>
    <w:tmpl w:val="13EA495E"/>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3D8550B1"/>
    <w:multiLevelType w:val="hybridMultilevel"/>
    <w:tmpl w:val="55E81BD6"/>
    <w:lvl w:ilvl="0" w:tplc="04190019">
      <w:start w:val="1"/>
      <w:numFmt w:val="bullet"/>
      <w:lvlText w:val="-"/>
      <w:lvlJc w:val="left"/>
      <w:pPr>
        <w:ind w:left="144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19">
      <w:start w:val="1"/>
      <w:numFmt w:val="bullet"/>
      <w:lvlText w:val="-"/>
      <w:lvlJc w:val="left"/>
      <w:pPr>
        <w:ind w:left="216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2" w15:restartNumberingAfterBreak="0">
    <w:nsid w:val="3D860B99"/>
    <w:multiLevelType w:val="hybridMultilevel"/>
    <w:tmpl w:val="4636F2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3" w15:restartNumberingAfterBreak="0">
    <w:nsid w:val="3DB342E7"/>
    <w:multiLevelType w:val="hybridMultilevel"/>
    <w:tmpl w:val="D39EDD46"/>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3DC153C0"/>
    <w:multiLevelType w:val="hybridMultilevel"/>
    <w:tmpl w:val="4D0C4B1C"/>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3DE0024D"/>
    <w:multiLevelType w:val="hybridMultilevel"/>
    <w:tmpl w:val="C76C0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3FC8156B"/>
    <w:multiLevelType w:val="hybridMultilevel"/>
    <w:tmpl w:val="A8B0D902"/>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3FF6789B"/>
    <w:multiLevelType w:val="hybridMultilevel"/>
    <w:tmpl w:val="5FD6F95A"/>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403F6AF6"/>
    <w:multiLevelType w:val="hybridMultilevel"/>
    <w:tmpl w:val="503433B8"/>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40584104"/>
    <w:multiLevelType w:val="hybridMultilevel"/>
    <w:tmpl w:val="DDF8242E"/>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4076392E"/>
    <w:multiLevelType w:val="hybridMultilevel"/>
    <w:tmpl w:val="D4CAFCB6"/>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40942CA5"/>
    <w:multiLevelType w:val="hybridMultilevel"/>
    <w:tmpl w:val="C992909C"/>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40A11C32"/>
    <w:multiLevelType w:val="hybridMultilevel"/>
    <w:tmpl w:val="E3303852"/>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411E613E"/>
    <w:multiLevelType w:val="hybridMultilevel"/>
    <w:tmpl w:val="B816DAA8"/>
    <w:lvl w:ilvl="0" w:tplc="8806B086">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41604DF2"/>
    <w:multiLevelType w:val="hybridMultilevel"/>
    <w:tmpl w:val="EF36ADD4"/>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41EA642D"/>
    <w:multiLevelType w:val="hybridMultilevel"/>
    <w:tmpl w:val="D62ABA56"/>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420A352E"/>
    <w:multiLevelType w:val="hybridMultilevel"/>
    <w:tmpl w:val="D37E08D2"/>
    <w:lvl w:ilvl="0" w:tplc="0419001B">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7" w15:restartNumberingAfterBreak="0">
    <w:nsid w:val="4243409D"/>
    <w:multiLevelType w:val="hybridMultilevel"/>
    <w:tmpl w:val="00D2BA88"/>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42447E24"/>
    <w:multiLevelType w:val="hybridMultilevel"/>
    <w:tmpl w:val="D84EA438"/>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424E70CE"/>
    <w:multiLevelType w:val="hybridMultilevel"/>
    <w:tmpl w:val="BDE46CB6"/>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426E28E0"/>
    <w:multiLevelType w:val="hybridMultilevel"/>
    <w:tmpl w:val="A9D02A18"/>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42CD7FDD"/>
    <w:multiLevelType w:val="hybridMultilevel"/>
    <w:tmpl w:val="0BB0DF58"/>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43221FA4"/>
    <w:multiLevelType w:val="hybridMultilevel"/>
    <w:tmpl w:val="2DC89716"/>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43391B21"/>
    <w:multiLevelType w:val="hybridMultilevel"/>
    <w:tmpl w:val="FEA0EC26"/>
    <w:lvl w:ilvl="0" w:tplc="04190019">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43C4788C"/>
    <w:multiLevelType w:val="hybridMultilevel"/>
    <w:tmpl w:val="B94056AC"/>
    <w:lvl w:ilvl="0" w:tplc="04190019">
      <w:start w:val="1"/>
      <w:numFmt w:val="bullet"/>
      <w:lvlText w:val="-"/>
      <w:lvlJc w:val="left"/>
      <w:pPr>
        <w:tabs>
          <w:tab w:val="num" w:pos="720"/>
        </w:tabs>
        <w:ind w:left="720" w:hanging="360"/>
      </w:pPr>
      <w:rPr>
        <w:rFonts w:ascii="Courier New" w:hAnsi="Courier New" w:hint="default"/>
        <w:sz w:val="18"/>
      </w:rPr>
    </w:lvl>
    <w:lvl w:ilvl="1" w:tplc="04190003" w:tentative="1">
      <w:start w:val="1"/>
      <w:numFmt w:val="bullet"/>
      <w:lvlText w:val="o"/>
      <w:lvlJc w:val="left"/>
      <w:pPr>
        <w:tabs>
          <w:tab w:val="num" w:pos="900"/>
        </w:tabs>
        <w:ind w:left="900" w:hanging="360"/>
      </w:pPr>
      <w:rPr>
        <w:rFonts w:ascii="Courier New" w:hAnsi="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195" w15:restartNumberingAfterBreak="0">
    <w:nsid w:val="441F1495"/>
    <w:multiLevelType w:val="hybridMultilevel"/>
    <w:tmpl w:val="985ED412"/>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44954C02"/>
    <w:multiLevelType w:val="hybridMultilevel"/>
    <w:tmpl w:val="7CCAE72E"/>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44DA2A0E"/>
    <w:multiLevelType w:val="hybridMultilevel"/>
    <w:tmpl w:val="4F2A9896"/>
    <w:lvl w:ilvl="0" w:tplc="8806B086">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450800D4"/>
    <w:multiLevelType w:val="hybridMultilevel"/>
    <w:tmpl w:val="CABE98D0"/>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466F454E"/>
    <w:multiLevelType w:val="hybridMultilevel"/>
    <w:tmpl w:val="29504BE4"/>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468408E6"/>
    <w:multiLevelType w:val="hybridMultilevel"/>
    <w:tmpl w:val="3B942560"/>
    <w:lvl w:ilvl="0" w:tplc="8806B086">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469219BD"/>
    <w:multiLevelType w:val="hybridMultilevel"/>
    <w:tmpl w:val="3BEACEBE"/>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47177305"/>
    <w:multiLevelType w:val="hybridMultilevel"/>
    <w:tmpl w:val="8D380D44"/>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478B50DF"/>
    <w:multiLevelType w:val="hybridMultilevel"/>
    <w:tmpl w:val="EF623070"/>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47C21CA8"/>
    <w:multiLevelType w:val="hybridMultilevel"/>
    <w:tmpl w:val="251C007C"/>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48150483"/>
    <w:multiLevelType w:val="hybridMultilevel"/>
    <w:tmpl w:val="8780B584"/>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486B026D"/>
    <w:multiLevelType w:val="hybridMultilevel"/>
    <w:tmpl w:val="692AF166"/>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48A40580"/>
    <w:multiLevelType w:val="hybridMultilevel"/>
    <w:tmpl w:val="6AF83CF8"/>
    <w:lvl w:ilvl="0" w:tplc="0419001B">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8" w15:restartNumberingAfterBreak="0">
    <w:nsid w:val="48CB54B7"/>
    <w:multiLevelType w:val="hybridMultilevel"/>
    <w:tmpl w:val="6E0E954E"/>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492A138D"/>
    <w:multiLevelType w:val="hybridMultilevel"/>
    <w:tmpl w:val="8376D53E"/>
    <w:lvl w:ilvl="0" w:tplc="0419001B">
      <w:start w:val="1"/>
      <w:numFmt w:val="bullet"/>
      <w:lvlText w:val="-"/>
      <w:lvlJc w:val="left"/>
      <w:pPr>
        <w:tabs>
          <w:tab w:val="num" w:pos="900"/>
        </w:tabs>
        <w:ind w:left="900" w:hanging="360"/>
      </w:pPr>
      <w:rPr>
        <w:rFonts w:ascii="Courier New" w:hAnsi="Courier New" w:hint="default"/>
        <w:sz w:val="18"/>
      </w:rPr>
    </w:lvl>
    <w:lvl w:ilvl="1" w:tplc="04190003">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10" w15:restartNumberingAfterBreak="0">
    <w:nsid w:val="499C2EBB"/>
    <w:multiLevelType w:val="hybridMultilevel"/>
    <w:tmpl w:val="0BFC39DC"/>
    <w:lvl w:ilvl="0" w:tplc="04190019">
      <w:start w:val="1"/>
      <w:numFmt w:val="bullet"/>
      <w:lvlText w:val="-"/>
      <w:lvlJc w:val="left"/>
      <w:pPr>
        <w:tabs>
          <w:tab w:val="num" w:pos="720"/>
        </w:tabs>
        <w:ind w:left="720" w:hanging="360"/>
      </w:pPr>
      <w:rPr>
        <w:rFonts w:ascii="Courier New" w:hAnsi="Courier New" w:hint="default"/>
        <w:sz w:val="18"/>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11" w15:restartNumberingAfterBreak="0">
    <w:nsid w:val="49DF40D3"/>
    <w:multiLevelType w:val="hybridMultilevel"/>
    <w:tmpl w:val="41941C2A"/>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4A25231A"/>
    <w:multiLevelType w:val="hybridMultilevel"/>
    <w:tmpl w:val="CDAA7F64"/>
    <w:lvl w:ilvl="0" w:tplc="0419001B">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3" w15:restartNumberingAfterBreak="0">
    <w:nsid w:val="4A2F282A"/>
    <w:multiLevelType w:val="hybridMultilevel"/>
    <w:tmpl w:val="3ECEEAC0"/>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4B05469B"/>
    <w:multiLevelType w:val="hybridMultilevel"/>
    <w:tmpl w:val="D86C6772"/>
    <w:lvl w:ilvl="0" w:tplc="0419000F">
      <w:start w:val="1"/>
      <w:numFmt w:val="decimal"/>
      <w:pStyle w:val="APPENDIX2"/>
      <w:lvlText w:val="Приложение %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5" w15:restartNumberingAfterBreak="0">
    <w:nsid w:val="4B82711A"/>
    <w:multiLevelType w:val="hybridMultilevel"/>
    <w:tmpl w:val="8F02AE78"/>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4B941FDE"/>
    <w:multiLevelType w:val="multilevel"/>
    <w:tmpl w:val="956CCFA4"/>
    <w:lvl w:ilvl="0">
      <w:start w:val="1"/>
      <w:numFmt w:val="decimal"/>
      <w:pStyle w:val="TextHedgefirst"/>
      <w:lvlText w:val="%1."/>
      <w:lvlJc w:val="left"/>
      <w:pPr>
        <w:tabs>
          <w:tab w:val="num" w:pos="0"/>
        </w:tabs>
        <w:ind w:left="-207" w:firstLine="207"/>
      </w:pPr>
      <w:rPr>
        <w:rFonts w:cs="Times New Roman" w:hint="default"/>
      </w:rPr>
    </w:lvl>
    <w:lvl w:ilvl="1">
      <w:start w:val="1"/>
      <w:numFmt w:val="decimal"/>
      <w:lvlText w:val="%1.%2."/>
      <w:lvlJc w:val="left"/>
      <w:pPr>
        <w:tabs>
          <w:tab w:val="num" w:pos="1511"/>
        </w:tabs>
        <w:ind w:left="3780"/>
      </w:pPr>
      <w:rPr>
        <w:rFonts w:cs="Times New Roman" w:hint="default"/>
      </w:rPr>
    </w:lvl>
    <w:lvl w:ilvl="2">
      <w:start w:val="2"/>
      <w:numFmt w:val="decimal"/>
      <w:lvlText w:val="%1.%2.%3."/>
      <w:lvlJc w:val="left"/>
      <w:pPr>
        <w:tabs>
          <w:tab w:val="num" w:pos="4437"/>
        </w:tabs>
        <w:ind w:left="4437" w:hanging="504"/>
      </w:pPr>
      <w:rPr>
        <w:rFonts w:cs="Times New Roman" w:hint="default"/>
      </w:rPr>
    </w:lvl>
    <w:lvl w:ilvl="3">
      <w:start w:val="1"/>
      <w:numFmt w:val="decimal"/>
      <w:lvlText w:val="%1.%2.%3.%4."/>
      <w:lvlJc w:val="left"/>
      <w:pPr>
        <w:tabs>
          <w:tab w:val="num" w:pos="5013"/>
        </w:tabs>
        <w:ind w:left="4941" w:hanging="648"/>
      </w:pPr>
      <w:rPr>
        <w:rFonts w:cs="Times New Roman" w:hint="default"/>
      </w:rPr>
    </w:lvl>
    <w:lvl w:ilvl="4">
      <w:start w:val="1"/>
      <w:numFmt w:val="decimal"/>
      <w:lvlText w:val="%1.%2.%3.%4.%5."/>
      <w:lvlJc w:val="left"/>
      <w:pPr>
        <w:tabs>
          <w:tab w:val="num" w:pos="5733"/>
        </w:tabs>
        <w:ind w:left="5445" w:hanging="792"/>
      </w:pPr>
      <w:rPr>
        <w:rFonts w:cs="Times New Roman" w:hint="default"/>
      </w:rPr>
    </w:lvl>
    <w:lvl w:ilvl="5">
      <w:start w:val="1"/>
      <w:numFmt w:val="decimal"/>
      <w:lvlText w:val="%1.%2.%3.%4.%5.%6."/>
      <w:lvlJc w:val="left"/>
      <w:pPr>
        <w:tabs>
          <w:tab w:val="num" w:pos="6093"/>
        </w:tabs>
        <w:ind w:left="5949" w:hanging="936"/>
      </w:pPr>
      <w:rPr>
        <w:rFonts w:cs="Times New Roman" w:hint="default"/>
      </w:rPr>
    </w:lvl>
    <w:lvl w:ilvl="6">
      <w:start w:val="1"/>
      <w:numFmt w:val="decimal"/>
      <w:lvlText w:val="%1.%2.%3.%4.%5.%6.%7."/>
      <w:lvlJc w:val="left"/>
      <w:pPr>
        <w:tabs>
          <w:tab w:val="num" w:pos="6813"/>
        </w:tabs>
        <w:ind w:left="6453" w:hanging="1080"/>
      </w:pPr>
      <w:rPr>
        <w:rFonts w:cs="Times New Roman" w:hint="default"/>
      </w:rPr>
    </w:lvl>
    <w:lvl w:ilvl="7">
      <w:start w:val="1"/>
      <w:numFmt w:val="decimal"/>
      <w:lvlText w:val="%1.%2.%3.%4.%5.%6.%7.%8."/>
      <w:lvlJc w:val="left"/>
      <w:pPr>
        <w:tabs>
          <w:tab w:val="num" w:pos="7173"/>
        </w:tabs>
        <w:ind w:left="6957" w:hanging="1224"/>
      </w:pPr>
      <w:rPr>
        <w:rFonts w:cs="Times New Roman" w:hint="default"/>
      </w:rPr>
    </w:lvl>
    <w:lvl w:ilvl="8">
      <w:start w:val="1"/>
      <w:numFmt w:val="decimal"/>
      <w:lvlText w:val="%1.%2.%3.%4.%5.%6.%7.%8.%9."/>
      <w:lvlJc w:val="left"/>
      <w:pPr>
        <w:tabs>
          <w:tab w:val="num" w:pos="7893"/>
        </w:tabs>
        <w:ind w:left="7533" w:hanging="1440"/>
      </w:pPr>
      <w:rPr>
        <w:rFonts w:cs="Times New Roman" w:hint="default"/>
      </w:rPr>
    </w:lvl>
  </w:abstractNum>
  <w:abstractNum w:abstractNumId="217" w15:restartNumberingAfterBreak="0">
    <w:nsid w:val="4B9E3DAE"/>
    <w:multiLevelType w:val="hybridMultilevel"/>
    <w:tmpl w:val="04C8A6EE"/>
    <w:lvl w:ilvl="0" w:tplc="8806B086">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15:restartNumberingAfterBreak="0">
    <w:nsid w:val="4BA954D4"/>
    <w:multiLevelType w:val="hybridMultilevel"/>
    <w:tmpl w:val="3994583C"/>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4BBC2A3A"/>
    <w:multiLevelType w:val="hybridMultilevel"/>
    <w:tmpl w:val="4D4AA54C"/>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4C0105E2"/>
    <w:multiLevelType w:val="hybridMultilevel"/>
    <w:tmpl w:val="BA4C6ABE"/>
    <w:lvl w:ilvl="0" w:tplc="8806B086">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15:restartNumberingAfterBreak="0">
    <w:nsid w:val="4C9374A4"/>
    <w:multiLevelType w:val="hybridMultilevel"/>
    <w:tmpl w:val="8C2627CA"/>
    <w:lvl w:ilvl="0" w:tplc="43581D4A">
      <w:start w:val="1"/>
      <w:numFmt w:val="decimal"/>
      <w:lvlText w:val="%1."/>
      <w:lvlJc w:val="left"/>
      <w:pPr>
        <w:ind w:left="3621" w:hanging="360"/>
      </w:pPr>
      <w:rPr>
        <w:rFonts w:ascii="Times New Roman" w:hAnsi="Times New Roman" w:cs="Times New Roman" w:hint="default"/>
        <w:b w:val="0"/>
        <w:color w:val="auto"/>
        <w:sz w:val="24"/>
        <w:szCs w:val="24"/>
      </w:r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22" w15:restartNumberingAfterBreak="0">
    <w:nsid w:val="4CE40D35"/>
    <w:multiLevelType w:val="hybridMultilevel"/>
    <w:tmpl w:val="C6986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15:restartNumberingAfterBreak="0">
    <w:nsid w:val="4D626920"/>
    <w:multiLevelType w:val="hybridMultilevel"/>
    <w:tmpl w:val="665C5946"/>
    <w:lvl w:ilvl="0" w:tplc="C1FC75BC">
      <w:start w:val="1"/>
      <w:numFmt w:val="russianLow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4D7F3616"/>
    <w:multiLevelType w:val="hybridMultilevel"/>
    <w:tmpl w:val="5102231C"/>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15:restartNumberingAfterBreak="0">
    <w:nsid w:val="4D921699"/>
    <w:multiLevelType w:val="hybridMultilevel"/>
    <w:tmpl w:val="5A2003F8"/>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15:restartNumberingAfterBreak="0">
    <w:nsid w:val="4E1E2B83"/>
    <w:multiLevelType w:val="hybridMultilevel"/>
    <w:tmpl w:val="E1DC6BC8"/>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15:restartNumberingAfterBreak="0">
    <w:nsid w:val="4E6A7173"/>
    <w:multiLevelType w:val="hybridMultilevel"/>
    <w:tmpl w:val="2A10229E"/>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15:restartNumberingAfterBreak="0">
    <w:nsid w:val="4E7F1378"/>
    <w:multiLevelType w:val="hybridMultilevel"/>
    <w:tmpl w:val="36221FAC"/>
    <w:lvl w:ilvl="0" w:tplc="04190019">
      <w:start w:val="1"/>
      <w:numFmt w:val="bullet"/>
      <w:lvlText w:val="-"/>
      <w:lvlJc w:val="left"/>
      <w:pPr>
        <w:ind w:left="144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9" w15:restartNumberingAfterBreak="0">
    <w:nsid w:val="4E846C4D"/>
    <w:multiLevelType w:val="hybridMultilevel"/>
    <w:tmpl w:val="1818C2C8"/>
    <w:lvl w:ilvl="0" w:tplc="C1FC75BC">
      <w:start w:val="1"/>
      <w:numFmt w:val="russianLow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4E9B61A2"/>
    <w:multiLevelType w:val="hybridMultilevel"/>
    <w:tmpl w:val="ACBE8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15:restartNumberingAfterBreak="0">
    <w:nsid w:val="4EC809E0"/>
    <w:multiLevelType w:val="hybridMultilevel"/>
    <w:tmpl w:val="2B5AAAD2"/>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4F634047"/>
    <w:multiLevelType w:val="hybridMultilevel"/>
    <w:tmpl w:val="6E9E391C"/>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3" w15:restartNumberingAfterBreak="0">
    <w:nsid w:val="4F6A60AE"/>
    <w:multiLevelType w:val="hybridMultilevel"/>
    <w:tmpl w:val="8C82DE70"/>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4" w15:restartNumberingAfterBreak="0">
    <w:nsid w:val="4F815DCB"/>
    <w:multiLevelType w:val="hybridMultilevel"/>
    <w:tmpl w:val="05724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15:restartNumberingAfterBreak="0">
    <w:nsid w:val="4FE7080A"/>
    <w:multiLevelType w:val="hybridMultilevel"/>
    <w:tmpl w:val="6D467976"/>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15:restartNumberingAfterBreak="0">
    <w:nsid w:val="50342D72"/>
    <w:multiLevelType w:val="hybridMultilevel"/>
    <w:tmpl w:val="749E540C"/>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15:restartNumberingAfterBreak="0">
    <w:nsid w:val="503C65A3"/>
    <w:multiLevelType w:val="hybridMultilevel"/>
    <w:tmpl w:val="DD2C6F4A"/>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8" w15:restartNumberingAfterBreak="0">
    <w:nsid w:val="505B685C"/>
    <w:multiLevelType w:val="hybridMultilevel"/>
    <w:tmpl w:val="DB6073F0"/>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9" w15:restartNumberingAfterBreak="0">
    <w:nsid w:val="50730D4E"/>
    <w:multiLevelType w:val="hybridMultilevel"/>
    <w:tmpl w:val="1EC8499A"/>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0" w15:restartNumberingAfterBreak="0">
    <w:nsid w:val="516E1F14"/>
    <w:multiLevelType w:val="hybridMultilevel"/>
    <w:tmpl w:val="F86CD792"/>
    <w:lvl w:ilvl="0" w:tplc="EDA0B70A">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1" w15:restartNumberingAfterBreak="0">
    <w:nsid w:val="51AD20E9"/>
    <w:multiLevelType w:val="hybridMultilevel"/>
    <w:tmpl w:val="907419BA"/>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2" w15:restartNumberingAfterBreak="0">
    <w:nsid w:val="51C5414D"/>
    <w:multiLevelType w:val="hybridMultilevel"/>
    <w:tmpl w:val="C2FE377E"/>
    <w:lvl w:ilvl="0" w:tplc="04190019">
      <w:start w:val="1"/>
      <w:numFmt w:val="bullet"/>
      <w:lvlText w:val="-"/>
      <w:lvlJc w:val="left"/>
      <w:pPr>
        <w:ind w:left="786" w:hanging="360"/>
      </w:pPr>
      <w:rPr>
        <w:rFonts w:ascii="Courier New" w:hAnsi="Courier New" w:hint="default"/>
        <w:sz w:val="18"/>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43" w15:restartNumberingAfterBreak="0">
    <w:nsid w:val="52426FC0"/>
    <w:multiLevelType w:val="hybridMultilevel"/>
    <w:tmpl w:val="E2EAB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15:restartNumberingAfterBreak="0">
    <w:nsid w:val="52490C11"/>
    <w:multiLevelType w:val="hybridMultilevel"/>
    <w:tmpl w:val="40FA17EE"/>
    <w:lvl w:ilvl="0" w:tplc="8806B086">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5" w15:restartNumberingAfterBreak="0">
    <w:nsid w:val="525014AE"/>
    <w:multiLevelType w:val="hybridMultilevel"/>
    <w:tmpl w:val="01B83EA0"/>
    <w:lvl w:ilvl="0" w:tplc="04090001">
      <w:start w:val="1"/>
      <w:numFmt w:val="bullet"/>
      <w:lvlText w:val=""/>
      <w:lvlJc w:val="left"/>
      <w:pPr>
        <w:ind w:left="720" w:hanging="360"/>
      </w:pPr>
      <w:rPr>
        <w:rFonts w:ascii="Symbol" w:hAnsi="Symbol"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6" w15:restartNumberingAfterBreak="0">
    <w:nsid w:val="5291436C"/>
    <w:multiLevelType w:val="hybridMultilevel"/>
    <w:tmpl w:val="933286F6"/>
    <w:lvl w:ilvl="0" w:tplc="C1FC75BC">
      <w:start w:val="1"/>
      <w:numFmt w:val="russianLow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52B36255"/>
    <w:multiLevelType w:val="hybridMultilevel"/>
    <w:tmpl w:val="5A9EFD0E"/>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15:restartNumberingAfterBreak="0">
    <w:nsid w:val="53D727BC"/>
    <w:multiLevelType w:val="hybridMultilevel"/>
    <w:tmpl w:val="435202AE"/>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9" w15:restartNumberingAfterBreak="0">
    <w:nsid w:val="540A4472"/>
    <w:multiLevelType w:val="hybridMultilevel"/>
    <w:tmpl w:val="1400B1E6"/>
    <w:lvl w:ilvl="0" w:tplc="C1FC75BC">
      <w:start w:val="1"/>
      <w:numFmt w:val="russianLow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540F0E44"/>
    <w:multiLevelType w:val="hybridMultilevel"/>
    <w:tmpl w:val="EEBE7ED8"/>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1" w15:restartNumberingAfterBreak="0">
    <w:nsid w:val="542014DC"/>
    <w:multiLevelType w:val="hybridMultilevel"/>
    <w:tmpl w:val="F1E6BBFA"/>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2" w15:restartNumberingAfterBreak="0">
    <w:nsid w:val="552F23D3"/>
    <w:multiLevelType w:val="hybridMultilevel"/>
    <w:tmpl w:val="0A5CEC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55833DC8"/>
    <w:multiLevelType w:val="hybridMultilevel"/>
    <w:tmpl w:val="FE2470CA"/>
    <w:lvl w:ilvl="0" w:tplc="FFFFFFFF">
      <w:start w:val="1"/>
      <w:numFmt w:val="bullet"/>
      <w:lvlText w:val="-"/>
      <w:lvlJc w:val="left"/>
      <w:pPr>
        <w:ind w:left="786" w:hanging="360"/>
      </w:pPr>
      <w:rPr>
        <w:rFonts w:ascii="Courier New" w:hAnsi="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56246DA5"/>
    <w:multiLevelType w:val="hybridMultilevel"/>
    <w:tmpl w:val="287EC6FA"/>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15:restartNumberingAfterBreak="0">
    <w:nsid w:val="56762BCC"/>
    <w:multiLevelType w:val="hybridMultilevel"/>
    <w:tmpl w:val="EC225422"/>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15:restartNumberingAfterBreak="0">
    <w:nsid w:val="57122242"/>
    <w:multiLevelType w:val="hybridMultilevel"/>
    <w:tmpl w:val="CE1CA6D2"/>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7" w15:restartNumberingAfterBreak="0">
    <w:nsid w:val="575D5935"/>
    <w:multiLevelType w:val="hybridMultilevel"/>
    <w:tmpl w:val="0128D602"/>
    <w:lvl w:ilvl="0" w:tplc="8806B086">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8" w15:restartNumberingAfterBreak="0">
    <w:nsid w:val="577E4E5B"/>
    <w:multiLevelType w:val="hybridMultilevel"/>
    <w:tmpl w:val="7A6C0398"/>
    <w:lvl w:ilvl="0" w:tplc="04190019">
      <w:start w:val="1"/>
      <w:numFmt w:val="bullet"/>
      <w:lvlText w:val="-"/>
      <w:lvlJc w:val="left"/>
      <w:pPr>
        <w:ind w:left="360" w:hanging="360"/>
      </w:pPr>
      <w:rPr>
        <w:rFonts w:ascii="Courier New" w:hAnsi="Courier New"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9" w15:restartNumberingAfterBreak="0">
    <w:nsid w:val="57D24B61"/>
    <w:multiLevelType w:val="hybridMultilevel"/>
    <w:tmpl w:val="3FE0FDB4"/>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0" w15:restartNumberingAfterBreak="0">
    <w:nsid w:val="57D2599D"/>
    <w:multiLevelType w:val="hybridMultilevel"/>
    <w:tmpl w:val="6AC8DF70"/>
    <w:lvl w:ilvl="0" w:tplc="0419001B">
      <w:start w:val="1"/>
      <w:numFmt w:val="bullet"/>
      <w:lvlText w:val="-"/>
      <w:lvlJc w:val="left"/>
      <w:pPr>
        <w:tabs>
          <w:tab w:val="num" w:pos="408"/>
        </w:tabs>
        <w:ind w:left="408" w:hanging="360"/>
      </w:pPr>
      <w:rPr>
        <w:rFonts w:ascii="Courier New" w:hAnsi="Courier New" w:hint="default"/>
      </w:rPr>
    </w:lvl>
    <w:lvl w:ilvl="1" w:tplc="04190003" w:tentative="1">
      <w:start w:val="1"/>
      <w:numFmt w:val="bullet"/>
      <w:lvlText w:val="o"/>
      <w:lvlJc w:val="left"/>
      <w:pPr>
        <w:tabs>
          <w:tab w:val="num" w:pos="1128"/>
        </w:tabs>
        <w:ind w:left="1128" w:hanging="360"/>
      </w:pPr>
      <w:rPr>
        <w:rFonts w:ascii="Courier New" w:hAnsi="Courier New" w:cs="Courier New" w:hint="default"/>
      </w:rPr>
    </w:lvl>
    <w:lvl w:ilvl="2" w:tplc="04190005" w:tentative="1">
      <w:start w:val="1"/>
      <w:numFmt w:val="bullet"/>
      <w:lvlText w:val=""/>
      <w:lvlJc w:val="left"/>
      <w:pPr>
        <w:tabs>
          <w:tab w:val="num" w:pos="1848"/>
        </w:tabs>
        <w:ind w:left="1848" w:hanging="360"/>
      </w:pPr>
      <w:rPr>
        <w:rFonts w:ascii="Wingdings" w:hAnsi="Wingdings" w:hint="default"/>
      </w:rPr>
    </w:lvl>
    <w:lvl w:ilvl="3" w:tplc="04190001">
      <w:start w:val="1"/>
      <w:numFmt w:val="bullet"/>
      <w:lvlText w:val=""/>
      <w:lvlJc w:val="left"/>
      <w:pPr>
        <w:tabs>
          <w:tab w:val="num" w:pos="2568"/>
        </w:tabs>
        <w:ind w:left="2568" w:hanging="360"/>
      </w:pPr>
      <w:rPr>
        <w:rFonts w:ascii="Symbol" w:hAnsi="Symbol" w:hint="default"/>
      </w:rPr>
    </w:lvl>
    <w:lvl w:ilvl="4" w:tplc="04190003" w:tentative="1">
      <w:start w:val="1"/>
      <w:numFmt w:val="bullet"/>
      <w:lvlText w:val="o"/>
      <w:lvlJc w:val="left"/>
      <w:pPr>
        <w:tabs>
          <w:tab w:val="num" w:pos="3288"/>
        </w:tabs>
        <w:ind w:left="3288" w:hanging="360"/>
      </w:pPr>
      <w:rPr>
        <w:rFonts w:ascii="Courier New" w:hAnsi="Courier New" w:cs="Courier New" w:hint="default"/>
      </w:rPr>
    </w:lvl>
    <w:lvl w:ilvl="5" w:tplc="04190005" w:tentative="1">
      <w:start w:val="1"/>
      <w:numFmt w:val="bullet"/>
      <w:lvlText w:val=""/>
      <w:lvlJc w:val="left"/>
      <w:pPr>
        <w:tabs>
          <w:tab w:val="num" w:pos="4008"/>
        </w:tabs>
        <w:ind w:left="4008" w:hanging="360"/>
      </w:pPr>
      <w:rPr>
        <w:rFonts w:ascii="Wingdings" w:hAnsi="Wingdings" w:hint="default"/>
      </w:rPr>
    </w:lvl>
    <w:lvl w:ilvl="6" w:tplc="04190001" w:tentative="1">
      <w:start w:val="1"/>
      <w:numFmt w:val="bullet"/>
      <w:lvlText w:val=""/>
      <w:lvlJc w:val="left"/>
      <w:pPr>
        <w:tabs>
          <w:tab w:val="num" w:pos="4728"/>
        </w:tabs>
        <w:ind w:left="4728" w:hanging="360"/>
      </w:pPr>
      <w:rPr>
        <w:rFonts w:ascii="Symbol" w:hAnsi="Symbol" w:hint="default"/>
      </w:rPr>
    </w:lvl>
    <w:lvl w:ilvl="7" w:tplc="04190003" w:tentative="1">
      <w:start w:val="1"/>
      <w:numFmt w:val="bullet"/>
      <w:lvlText w:val="o"/>
      <w:lvlJc w:val="left"/>
      <w:pPr>
        <w:tabs>
          <w:tab w:val="num" w:pos="5448"/>
        </w:tabs>
        <w:ind w:left="5448" w:hanging="360"/>
      </w:pPr>
      <w:rPr>
        <w:rFonts w:ascii="Courier New" w:hAnsi="Courier New" w:cs="Courier New" w:hint="default"/>
      </w:rPr>
    </w:lvl>
    <w:lvl w:ilvl="8" w:tplc="04190005" w:tentative="1">
      <w:start w:val="1"/>
      <w:numFmt w:val="bullet"/>
      <w:lvlText w:val=""/>
      <w:lvlJc w:val="left"/>
      <w:pPr>
        <w:tabs>
          <w:tab w:val="num" w:pos="6168"/>
        </w:tabs>
        <w:ind w:left="6168" w:hanging="360"/>
      </w:pPr>
      <w:rPr>
        <w:rFonts w:ascii="Wingdings" w:hAnsi="Wingdings" w:hint="default"/>
      </w:rPr>
    </w:lvl>
  </w:abstractNum>
  <w:abstractNum w:abstractNumId="261" w15:restartNumberingAfterBreak="0">
    <w:nsid w:val="58062FF0"/>
    <w:multiLevelType w:val="hybridMultilevel"/>
    <w:tmpl w:val="AB8C924C"/>
    <w:lvl w:ilvl="0" w:tplc="04190011">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62" w15:restartNumberingAfterBreak="0">
    <w:nsid w:val="580D2E8E"/>
    <w:multiLevelType w:val="hybridMultilevel"/>
    <w:tmpl w:val="7C9CF18E"/>
    <w:lvl w:ilvl="0" w:tplc="0419001B">
      <w:start w:val="1"/>
      <w:numFmt w:val="bullet"/>
      <w:lvlText w:val="-"/>
      <w:lvlJc w:val="left"/>
      <w:pPr>
        <w:tabs>
          <w:tab w:val="num" w:pos="720"/>
        </w:tabs>
        <w:ind w:left="720" w:hanging="360"/>
      </w:pPr>
      <w:rPr>
        <w:rFonts w:ascii="Courier New" w:hAnsi="Courier New" w:hint="default"/>
        <w:sz w:val="18"/>
      </w:rPr>
    </w:lvl>
    <w:lvl w:ilvl="1" w:tplc="04190003" w:tentative="1">
      <w:start w:val="1"/>
      <w:numFmt w:val="bullet"/>
      <w:lvlText w:val="o"/>
      <w:lvlJc w:val="left"/>
      <w:pPr>
        <w:tabs>
          <w:tab w:val="num" w:pos="900"/>
        </w:tabs>
        <w:ind w:left="900" w:hanging="360"/>
      </w:pPr>
      <w:rPr>
        <w:rFonts w:ascii="Courier New" w:hAnsi="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263" w15:restartNumberingAfterBreak="0">
    <w:nsid w:val="586D1930"/>
    <w:multiLevelType w:val="hybridMultilevel"/>
    <w:tmpl w:val="097641B6"/>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4" w15:restartNumberingAfterBreak="0">
    <w:nsid w:val="587414A6"/>
    <w:multiLevelType w:val="hybridMultilevel"/>
    <w:tmpl w:val="8AEC29F4"/>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15:restartNumberingAfterBreak="0">
    <w:nsid w:val="58C00572"/>
    <w:multiLevelType w:val="hybridMultilevel"/>
    <w:tmpl w:val="143E16EE"/>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15:restartNumberingAfterBreak="0">
    <w:nsid w:val="58D5222E"/>
    <w:multiLevelType w:val="hybridMultilevel"/>
    <w:tmpl w:val="1DAA89E4"/>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15:restartNumberingAfterBreak="0">
    <w:nsid w:val="58D64BBF"/>
    <w:multiLevelType w:val="hybridMultilevel"/>
    <w:tmpl w:val="26C4ABD0"/>
    <w:lvl w:ilvl="0" w:tplc="04190019">
      <w:start w:val="1"/>
      <w:numFmt w:val="bullet"/>
      <w:lvlText w:val="-"/>
      <w:lvlJc w:val="left"/>
      <w:pPr>
        <w:ind w:left="724" w:hanging="360"/>
      </w:pPr>
      <w:rPr>
        <w:rFonts w:ascii="Courier New" w:hAnsi="Courier New" w:hint="default"/>
        <w:sz w:val="18"/>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268" w15:restartNumberingAfterBreak="0">
    <w:nsid w:val="594F7CA2"/>
    <w:multiLevelType w:val="hybridMultilevel"/>
    <w:tmpl w:val="49A0E62A"/>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9" w15:restartNumberingAfterBreak="0">
    <w:nsid w:val="59501228"/>
    <w:multiLevelType w:val="hybridMultilevel"/>
    <w:tmpl w:val="85BCFD8C"/>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15:restartNumberingAfterBreak="0">
    <w:nsid w:val="598D4564"/>
    <w:multiLevelType w:val="hybridMultilevel"/>
    <w:tmpl w:val="91C82BF8"/>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1" w15:restartNumberingAfterBreak="0">
    <w:nsid w:val="599C0030"/>
    <w:multiLevelType w:val="hybridMultilevel"/>
    <w:tmpl w:val="B11AE548"/>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59C822B2"/>
    <w:multiLevelType w:val="hybridMultilevel"/>
    <w:tmpl w:val="6552835A"/>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15:restartNumberingAfterBreak="0">
    <w:nsid w:val="5A040FB6"/>
    <w:multiLevelType w:val="hybridMultilevel"/>
    <w:tmpl w:val="DE86802E"/>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4" w15:restartNumberingAfterBreak="0">
    <w:nsid w:val="5A0B1303"/>
    <w:multiLevelType w:val="hybridMultilevel"/>
    <w:tmpl w:val="CF2C7DF6"/>
    <w:lvl w:ilvl="0" w:tplc="041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5" w15:restartNumberingAfterBreak="0">
    <w:nsid w:val="5ADF6FB3"/>
    <w:multiLevelType w:val="hybridMultilevel"/>
    <w:tmpl w:val="0E6E0ED6"/>
    <w:lvl w:ilvl="0" w:tplc="041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15:restartNumberingAfterBreak="0">
    <w:nsid w:val="5AED7A3B"/>
    <w:multiLevelType w:val="hybridMultilevel"/>
    <w:tmpl w:val="EE7219A8"/>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7" w15:restartNumberingAfterBreak="0">
    <w:nsid w:val="5AFF4240"/>
    <w:multiLevelType w:val="hybridMultilevel"/>
    <w:tmpl w:val="93025F46"/>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8" w15:restartNumberingAfterBreak="0">
    <w:nsid w:val="5B50601E"/>
    <w:multiLevelType w:val="hybridMultilevel"/>
    <w:tmpl w:val="C27C9222"/>
    <w:lvl w:ilvl="0" w:tplc="0419001B">
      <w:start w:val="1"/>
      <w:numFmt w:val="lowerRoman"/>
      <w:lvlText w:val="%1."/>
      <w:lvlJc w:val="righ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79" w15:restartNumberingAfterBreak="0">
    <w:nsid w:val="5B551274"/>
    <w:multiLevelType w:val="hybridMultilevel"/>
    <w:tmpl w:val="40D47980"/>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0" w15:restartNumberingAfterBreak="0">
    <w:nsid w:val="5D833881"/>
    <w:multiLevelType w:val="hybridMultilevel"/>
    <w:tmpl w:val="D2B40374"/>
    <w:lvl w:ilvl="0" w:tplc="156C50B8">
      <w:start w:val="1"/>
      <w:numFmt w:val="decimal"/>
      <w:lvlText w:val="%1)"/>
      <w:lvlJc w:val="left"/>
      <w:pPr>
        <w:tabs>
          <w:tab w:val="num" w:pos="720"/>
        </w:tabs>
        <w:ind w:left="720" w:hanging="360"/>
      </w:pPr>
      <w:rPr>
        <w:rFonts w:hint="default"/>
        <w:b w:val="0"/>
        <w:bCs w:val="0"/>
        <w:i w:val="0"/>
        <w:iCs w:val="0"/>
        <w:caps w:val="0"/>
        <w:smallCaps w:val="0"/>
        <w:strike w:val="0"/>
        <w:dstrike w:val="0"/>
        <w:noProof w:val="0"/>
        <w:vanish w:val="0"/>
        <w:color w:val="000000"/>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81" w15:restartNumberingAfterBreak="0">
    <w:nsid w:val="5D927674"/>
    <w:multiLevelType w:val="hybridMultilevel"/>
    <w:tmpl w:val="3634DF04"/>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2" w15:restartNumberingAfterBreak="0">
    <w:nsid w:val="5DAC4D75"/>
    <w:multiLevelType w:val="hybridMultilevel"/>
    <w:tmpl w:val="9E0E23F4"/>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3" w15:restartNumberingAfterBreak="0">
    <w:nsid w:val="5E076F63"/>
    <w:multiLevelType w:val="hybridMultilevel"/>
    <w:tmpl w:val="E3D4C586"/>
    <w:lvl w:ilvl="0" w:tplc="04190019">
      <w:start w:val="1"/>
      <w:numFmt w:val="bullet"/>
      <w:lvlText w:val="-"/>
      <w:lvlJc w:val="left"/>
      <w:pPr>
        <w:ind w:left="810" w:hanging="360"/>
      </w:pPr>
      <w:rPr>
        <w:rFonts w:ascii="Courier New" w:hAnsi="Courier New" w:hint="default"/>
        <w:sz w:val="18"/>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84" w15:restartNumberingAfterBreak="0">
    <w:nsid w:val="5E55387B"/>
    <w:multiLevelType w:val="hybridMultilevel"/>
    <w:tmpl w:val="192AA8DE"/>
    <w:lvl w:ilvl="0" w:tplc="FFFFFFFF">
      <w:start w:val="1"/>
      <w:numFmt w:val="bullet"/>
      <w:lvlText w:val="-"/>
      <w:lvlJc w:val="left"/>
      <w:pPr>
        <w:tabs>
          <w:tab w:val="num" w:pos="720"/>
        </w:tabs>
        <w:ind w:left="720" w:hanging="360"/>
      </w:pPr>
      <w:rPr>
        <w:rFonts w:ascii="Courier New" w:hAnsi="Courier New" w:hint="default"/>
        <w:sz w:val="18"/>
      </w:rPr>
    </w:lvl>
    <w:lvl w:ilvl="1" w:tplc="04190003" w:tentative="1">
      <w:start w:val="1"/>
      <w:numFmt w:val="bullet"/>
      <w:lvlText w:val="o"/>
      <w:lvlJc w:val="left"/>
      <w:pPr>
        <w:tabs>
          <w:tab w:val="num" w:pos="900"/>
        </w:tabs>
        <w:ind w:left="900" w:hanging="360"/>
      </w:pPr>
      <w:rPr>
        <w:rFonts w:ascii="Courier New" w:hAnsi="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285" w15:restartNumberingAfterBreak="0">
    <w:nsid w:val="5EB91D1D"/>
    <w:multiLevelType w:val="hybridMultilevel"/>
    <w:tmpl w:val="3752C096"/>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6" w15:restartNumberingAfterBreak="0">
    <w:nsid w:val="5ECB6AC8"/>
    <w:multiLevelType w:val="hybridMultilevel"/>
    <w:tmpl w:val="9124B9C6"/>
    <w:lvl w:ilvl="0" w:tplc="B270FA08">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7" w15:restartNumberingAfterBreak="0">
    <w:nsid w:val="604E62C1"/>
    <w:multiLevelType w:val="hybridMultilevel"/>
    <w:tmpl w:val="FFBC54B0"/>
    <w:lvl w:ilvl="0" w:tplc="04190019">
      <w:start w:val="1"/>
      <w:numFmt w:val="bullet"/>
      <w:lvlText w:val="-"/>
      <w:lvlJc w:val="left"/>
      <w:pPr>
        <w:ind w:left="1068"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88" w15:restartNumberingAfterBreak="0">
    <w:nsid w:val="614973C2"/>
    <w:multiLevelType w:val="hybridMultilevel"/>
    <w:tmpl w:val="71C03D4A"/>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9" w15:restartNumberingAfterBreak="0">
    <w:nsid w:val="616654C1"/>
    <w:multiLevelType w:val="hybridMultilevel"/>
    <w:tmpl w:val="74985B68"/>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0" w15:restartNumberingAfterBreak="0">
    <w:nsid w:val="616C44B4"/>
    <w:multiLevelType w:val="hybridMultilevel"/>
    <w:tmpl w:val="034857B2"/>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1" w15:restartNumberingAfterBreak="0">
    <w:nsid w:val="61DE45EA"/>
    <w:multiLevelType w:val="hybridMultilevel"/>
    <w:tmpl w:val="AB1E3680"/>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2" w15:restartNumberingAfterBreak="0">
    <w:nsid w:val="61EB4567"/>
    <w:multiLevelType w:val="hybridMultilevel"/>
    <w:tmpl w:val="A190B57E"/>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3" w15:restartNumberingAfterBreak="0">
    <w:nsid w:val="62312CF3"/>
    <w:multiLevelType w:val="hybridMultilevel"/>
    <w:tmpl w:val="68C6FB82"/>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4" w15:restartNumberingAfterBreak="0">
    <w:nsid w:val="623F53F2"/>
    <w:multiLevelType w:val="hybridMultilevel"/>
    <w:tmpl w:val="4336B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5" w15:restartNumberingAfterBreak="0">
    <w:nsid w:val="62774BF4"/>
    <w:multiLevelType w:val="hybridMultilevel"/>
    <w:tmpl w:val="37DE995A"/>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6" w15:restartNumberingAfterBreak="0">
    <w:nsid w:val="628E2498"/>
    <w:multiLevelType w:val="hybridMultilevel"/>
    <w:tmpl w:val="276E267A"/>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7" w15:restartNumberingAfterBreak="0">
    <w:nsid w:val="62B619FC"/>
    <w:multiLevelType w:val="hybridMultilevel"/>
    <w:tmpl w:val="410E0638"/>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8" w15:restartNumberingAfterBreak="0">
    <w:nsid w:val="62BC202E"/>
    <w:multiLevelType w:val="hybridMultilevel"/>
    <w:tmpl w:val="25BE4844"/>
    <w:lvl w:ilvl="0" w:tplc="04090001">
      <w:start w:val="1"/>
      <w:numFmt w:val="bullet"/>
      <w:lvlText w:val=""/>
      <w:lvlJc w:val="left"/>
      <w:pPr>
        <w:ind w:left="1704" w:hanging="360"/>
      </w:pPr>
      <w:rPr>
        <w:rFonts w:ascii="Symbol" w:hAnsi="Symbol" w:hint="default"/>
      </w:rPr>
    </w:lvl>
    <w:lvl w:ilvl="1" w:tplc="04090003" w:tentative="1">
      <w:start w:val="1"/>
      <w:numFmt w:val="bullet"/>
      <w:lvlText w:val="o"/>
      <w:lvlJc w:val="left"/>
      <w:pPr>
        <w:ind w:left="2424" w:hanging="360"/>
      </w:pPr>
      <w:rPr>
        <w:rFonts w:ascii="Courier New" w:hAnsi="Courier New" w:cs="Courier New" w:hint="default"/>
      </w:rPr>
    </w:lvl>
    <w:lvl w:ilvl="2" w:tplc="04090005" w:tentative="1">
      <w:start w:val="1"/>
      <w:numFmt w:val="bullet"/>
      <w:lvlText w:val=""/>
      <w:lvlJc w:val="left"/>
      <w:pPr>
        <w:ind w:left="3144" w:hanging="360"/>
      </w:pPr>
      <w:rPr>
        <w:rFonts w:ascii="Wingdings" w:hAnsi="Wingdings" w:hint="default"/>
      </w:rPr>
    </w:lvl>
    <w:lvl w:ilvl="3" w:tplc="04090001" w:tentative="1">
      <w:start w:val="1"/>
      <w:numFmt w:val="bullet"/>
      <w:lvlText w:val=""/>
      <w:lvlJc w:val="left"/>
      <w:pPr>
        <w:ind w:left="3864" w:hanging="360"/>
      </w:pPr>
      <w:rPr>
        <w:rFonts w:ascii="Symbol" w:hAnsi="Symbol" w:hint="default"/>
      </w:rPr>
    </w:lvl>
    <w:lvl w:ilvl="4" w:tplc="04090003" w:tentative="1">
      <w:start w:val="1"/>
      <w:numFmt w:val="bullet"/>
      <w:lvlText w:val="o"/>
      <w:lvlJc w:val="left"/>
      <w:pPr>
        <w:ind w:left="4584" w:hanging="360"/>
      </w:pPr>
      <w:rPr>
        <w:rFonts w:ascii="Courier New" w:hAnsi="Courier New" w:cs="Courier New" w:hint="default"/>
      </w:rPr>
    </w:lvl>
    <w:lvl w:ilvl="5" w:tplc="04090005" w:tentative="1">
      <w:start w:val="1"/>
      <w:numFmt w:val="bullet"/>
      <w:lvlText w:val=""/>
      <w:lvlJc w:val="left"/>
      <w:pPr>
        <w:ind w:left="5304" w:hanging="360"/>
      </w:pPr>
      <w:rPr>
        <w:rFonts w:ascii="Wingdings" w:hAnsi="Wingdings" w:hint="default"/>
      </w:rPr>
    </w:lvl>
    <w:lvl w:ilvl="6" w:tplc="04090001" w:tentative="1">
      <w:start w:val="1"/>
      <w:numFmt w:val="bullet"/>
      <w:lvlText w:val=""/>
      <w:lvlJc w:val="left"/>
      <w:pPr>
        <w:ind w:left="6024" w:hanging="360"/>
      </w:pPr>
      <w:rPr>
        <w:rFonts w:ascii="Symbol" w:hAnsi="Symbol" w:hint="default"/>
      </w:rPr>
    </w:lvl>
    <w:lvl w:ilvl="7" w:tplc="04090003" w:tentative="1">
      <w:start w:val="1"/>
      <w:numFmt w:val="bullet"/>
      <w:lvlText w:val="o"/>
      <w:lvlJc w:val="left"/>
      <w:pPr>
        <w:ind w:left="6744" w:hanging="360"/>
      </w:pPr>
      <w:rPr>
        <w:rFonts w:ascii="Courier New" w:hAnsi="Courier New" w:cs="Courier New" w:hint="default"/>
      </w:rPr>
    </w:lvl>
    <w:lvl w:ilvl="8" w:tplc="04090005" w:tentative="1">
      <w:start w:val="1"/>
      <w:numFmt w:val="bullet"/>
      <w:lvlText w:val=""/>
      <w:lvlJc w:val="left"/>
      <w:pPr>
        <w:ind w:left="7464" w:hanging="360"/>
      </w:pPr>
      <w:rPr>
        <w:rFonts w:ascii="Wingdings" w:hAnsi="Wingdings" w:hint="default"/>
      </w:rPr>
    </w:lvl>
  </w:abstractNum>
  <w:abstractNum w:abstractNumId="299" w15:restartNumberingAfterBreak="0">
    <w:nsid w:val="62DE3CE1"/>
    <w:multiLevelType w:val="hybridMultilevel"/>
    <w:tmpl w:val="07AE14A6"/>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0" w15:restartNumberingAfterBreak="0">
    <w:nsid w:val="62FB0968"/>
    <w:multiLevelType w:val="hybridMultilevel"/>
    <w:tmpl w:val="14D0ADAA"/>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1" w15:restartNumberingAfterBreak="0">
    <w:nsid w:val="63404F97"/>
    <w:multiLevelType w:val="hybridMultilevel"/>
    <w:tmpl w:val="1FCADEE6"/>
    <w:lvl w:ilvl="0" w:tplc="8806B086">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2" w15:restartNumberingAfterBreak="0">
    <w:nsid w:val="6351756F"/>
    <w:multiLevelType w:val="hybridMultilevel"/>
    <w:tmpl w:val="0BBC8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3" w15:restartNumberingAfterBreak="0">
    <w:nsid w:val="6361583E"/>
    <w:multiLevelType w:val="hybridMultilevel"/>
    <w:tmpl w:val="01F8F3F2"/>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4" w15:restartNumberingAfterBreak="0">
    <w:nsid w:val="63643EA0"/>
    <w:multiLevelType w:val="hybridMultilevel"/>
    <w:tmpl w:val="84A06432"/>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5" w15:restartNumberingAfterBreak="0">
    <w:nsid w:val="64155866"/>
    <w:multiLevelType w:val="hybridMultilevel"/>
    <w:tmpl w:val="299EE1F4"/>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6" w15:restartNumberingAfterBreak="0">
    <w:nsid w:val="64264E54"/>
    <w:multiLevelType w:val="hybridMultilevel"/>
    <w:tmpl w:val="733E71C4"/>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7" w15:restartNumberingAfterBreak="0">
    <w:nsid w:val="6483340D"/>
    <w:multiLevelType w:val="hybridMultilevel"/>
    <w:tmpl w:val="2A22DD58"/>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8" w15:restartNumberingAfterBreak="0">
    <w:nsid w:val="649B6353"/>
    <w:multiLevelType w:val="hybridMultilevel"/>
    <w:tmpl w:val="899EE788"/>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9" w15:restartNumberingAfterBreak="0">
    <w:nsid w:val="64F3067F"/>
    <w:multiLevelType w:val="hybridMultilevel"/>
    <w:tmpl w:val="948A0E24"/>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0" w15:restartNumberingAfterBreak="0">
    <w:nsid w:val="65651F67"/>
    <w:multiLevelType w:val="hybridMultilevel"/>
    <w:tmpl w:val="E7C2830E"/>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15:restartNumberingAfterBreak="0">
    <w:nsid w:val="6597267B"/>
    <w:multiLevelType w:val="hybridMultilevel"/>
    <w:tmpl w:val="DC04282A"/>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2" w15:restartNumberingAfterBreak="0">
    <w:nsid w:val="661C7AD1"/>
    <w:multiLevelType w:val="hybridMultilevel"/>
    <w:tmpl w:val="CBF62960"/>
    <w:lvl w:ilvl="0" w:tplc="B270FA08">
      <w:start w:val="1"/>
      <w:numFmt w:val="bullet"/>
      <w:lvlText w:val=""/>
      <w:lvlJc w:val="left"/>
      <w:pPr>
        <w:tabs>
          <w:tab w:val="num" w:pos="1080"/>
        </w:tabs>
        <w:ind w:left="1080" w:hanging="360"/>
      </w:pPr>
      <w:rPr>
        <w:rFonts w:ascii="Symbol" w:hAnsi="Symbol" w:hint="default"/>
        <w:sz w:val="18"/>
      </w:rPr>
    </w:lvl>
    <w:lvl w:ilvl="1" w:tplc="B270FA08">
      <w:start w:val="1"/>
      <w:numFmt w:val="bullet"/>
      <w:lvlText w:val=""/>
      <w:lvlJc w:val="left"/>
      <w:pPr>
        <w:tabs>
          <w:tab w:val="num" w:pos="1800"/>
        </w:tabs>
        <w:ind w:left="1800" w:hanging="360"/>
      </w:pPr>
      <w:rPr>
        <w:rFonts w:ascii="Symbol" w:hAnsi="Symbol" w:hint="default"/>
        <w:sz w:val="18"/>
      </w:rPr>
    </w:lvl>
    <w:lvl w:ilvl="2" w:tplc="04190011">
      <w:start w:val="1"/>
      <w:numFmt w:val="decimal"/>
      <w:lvlText w:val="%3)"/>
      <w:lvlJc w:val="left"/>
      <w:pPr>
        <w:tabs>
          <w:tab w:val="num" w:pos="2700"/>
        </w:tabs>
        <w:ind w:left="2700" w:hanging="360"/>
      </w:pPr>
      <w:rPr>
        <w:rFonts w:cs="Times New Roman"/>
      </w:rPr>
    </w:lvl>
    <w:lvl w:ilvl="3" w:tplc="B270FA08">
      <w:start w:val="1"/>
      <w:numFmt w:val="bullet"/>
      <w:lvlText w:val=""/>
      <w:lvlJc w:val="left"/>
      <w:pPr>
        <w:tabs>
          <w:tab w:val="num" w:pos="3240"/>
        </w:tabs>
        <w:ind w:left="3240" w:hanging="360"/>
      </w:pPr>
      <w:rPr>
        <w:rFonts w:ascii="Symbol" w:hAnsi="Symbol" w:hint="default"/>
        <w:sz w:val="18"/>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13" w15:restartNumberingAfterBreak="0">
    <w:nsid w:val="66D83F57"/>
    <w:multiLevelType w:val="hybridMultilevel"/>
    <w:tmpl w:val="813ECA4E"/>
    <w:lvl w:ilvl="0" w:tplc="B270FA08">
      <w:start w:val="1"/>
      <w:numFmt w:val="bullet"/>
      <w:lvlText w:val=""/>
      <w:lvlJc w:val="left"/>
      <w:pPr>
        <w:tabs>
          <w:tab w:val="num" w:pos="1080"/>
        </w:tabs>
        <w:ind w:left="1080" w:hanging="360"/>
      </w:pPr>
      <w:rPr>
        <w:rFonts w:ascii="Symbol" w:hAnsi="Symbol" w:hint="default"/>
        <w:sz w:val="18"/>
      </w:rPr>
    </w:lvl>
    <w:lvl w:ilvl="1" w:tplc="04190003" w:tentative="1">
      <w:start w:val="1"/>
      <w:numFmt w:val="bullet"/>
      <w:lvlText w:val="o"/>
      <w:lvlJc w:val="left"/>
      <w:pPr>
        <w:tabs>
          <w:tab w:val="num" w:pos="1260"/>
        </w:tabs>
        <w:ind w:left="1260" w:hanging="360"/>
      </w:pPr>
      <w:rPr>
        <w:rFonts w:ascii="Courier New" w:hAnsi="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314" w15:restartNumberingAfterBreak="0">
    <w:nsid w:val="67351EF2"/>
    <w:multiLevelType w:val="hybridMultilevel"/>
    <w:tmpl w:val="E6AC0754"/>
    <w:lvl w:ilvl="0" w:tplc="04190019">
      <w:start w:val="1"/>
      <w:numFmt w:val="bullet"/>
      <w:lvlText w:val="-"/>
      <w:lvlJc w:val="left"/>
      <w:pPr>
        <w:ind w:left="1344" w:hanging="360"/>
      </w:pPr>
      <w:rPr>
        <w:rFonts w:ascii="Courier New" w:hAnsi="Courier New" w:hint="default"/>
        <w:sz w:val="18"/>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315" w15:restartNumberingAfterBreak="0">
    <w:nsid w:val="67CD60F3"/>
    <w:multiLevelType w:val="hybridMultilevel"/>
    <w:tmpl w:val="1E6437B0"/>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6" w15:restartNumberingAfterBreak="0">
    <w:nsid w:val="684560F0"/>
    <w:multiLevelType w:val="hybridMultilevel"/>
    <w:tmpl w:val="28AE1EF4"/>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7" w15:restartNumberingAfterBreak="0">
    <w:nsid w:val="68892F4C"/>
    <w:multiLevelType w:val="hybridMultilevel"/>
    <w:tmpl w:val="67824CBC"/>
    <w:lvl w:ilvl="0" w:tplc="156C50B8">
      <w:start w:val="1"/>
      <w:numFmt w:val="decimal"/>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156C50B8">
      <w:start w:val="1"/>
      <w:numFmt w:val="decimal"/>
      <w:lvlText w:val="%2)"/>
      <w:lvlJc w:val="left"/>
      <w:pPr>
        <w:ind w:left="1440" w:hanging="360"/>
      </w:pPr>
      <w:rPr>
        <w:rFonts w:hint="default"/>
        <w:b w:val="0"/>
        <w:bCs w:val="0"/>
        <w:i w:val="0"/>
        <w:iCs w:val="0"/>
        <w:caps w:val="0"/>
        <w:smallCaps w:val="0"/>
        <w:strike w:val="0"/>
        <w:dstrike w:val="0"/>
        <w:noProof w:val="0"/>
        <w:vanish w:val="0"/>
        <w:color w:val="000000"/>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8" w15:restartNumberingAfterBreak="0">
    <w:nsid w:val="68BA71E9"/>
    <w:multiLevelType w:val="hybridMultilevel"/>
    <w:tmpl w:val="B2F86C48"/>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9" w15:restartNumberingAfterBreak="0">
    <w:nsid w:val="691D413C"/>
    <w:multiLevelType w:val="hybridMultilevel"/>
    <w:tmpl w:val="B8FE8178"/>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0" w15:restartNumberingAfterBreak="0">
    <w:nsid w:val="695A6D07"/>
    <w:multiLevelType w:val="hybridMultilevel"/>
    <w:tmpl w:val="7B1EBD4A"/>
    <w:lvl w:ilvl="0" w:tplc="C1FC75BC">
      <w:start w:val="1"/>
      <w:numFmt w:val="russianLower"/>
      <w:lvlText w:val="%1)"/>
      <w:lvlJc w:val="left"/>
      <w:pPr>
        <w:ind w:left="720" w:hanging="360"/>
      </w:pPr>
      <w:rPr>
        <w:rFonts w:hint="default"/>
      </w:rPr>
    </w:lvl>
    <w:lvl w:ilvl="1" w:tplc="0958C62A">
      <w:start w:val="1"/>
      <w:numFmt w:val="lowerLetter"/>
      <w:lvlText w:val="(%2)"/>
      <w:lvlJc w:val="left"/>
      <w:pPr>
        <w:ind w:left="1440" w:hanging="360"/>
      </w:pPr>
      <w:rPr>
        <w:rFonts w:hint="default"/>
      </w:rPr>
    </w:lvl>
    <w:lvl w:ilvl="2" w:tplc="6AEA2F4A">
      <w:start w:val="1"/>
      <w:numFmt w:val="bullet"/>
      <w:lvlText w:val="•"/>
      <w:lvlJc w:val="left"/>
      <w:pPr>
        <w:ind w:left="2685" w:hanging="705"/>
      </w:pPr>
      <w:rPr>
        <w:rFonts w:ascii="Times New Roman" w:eastAsia="Calibr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1" w15:restartNumberingAfterBreak="0">
    <w:nsid w:val="695A754E"/>
    <w:multiLevelType w:val="hybridMultilevel"/>
    <w:tmpl w:val="13D097F8"/>
    <w:lvl w:ilvl="0" w:tplc="8806B086">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2" w15:restartNumberingAfterBreak="0">
    <w:nsid w:val="698569CC"/>
    <w:multiLevelType w:val="hybridMultilevel"/>
    <w:tmpl w:val="176E3B86"/>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3" w15:restartNumberingAfterBreak="0">
    <w:nsid w:val="69886761"/>
    <w:multiLevelType w:val="hybridMultilevel"/>
    <w:tmpl w:val="71B230B8"/>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4" w15:restartNumberingAfterBreak="0">
    <w:nsid w:val="69B50A65"/>
    <w:multiLevelType w:val="hybridMultilevel"/>
    <w:tmpl w:val="0A606CEE"/>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5" w15:restartNumberingAfterBreak="0">
    <w:nsid w:val="6A325E94"/>
    <w:multiLevelType w:val="hybridMultilevel"/>
    <w:tmpl w:val="401E23A8"/>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6" w15:restartNumberingAfterBreak="0">
    <w:nsid w:val="6AD11FD4"/>
    <w:multiLevelType w:val="hybridMultilevel"/>
    <w:tmpl w:val="A42A8E30"/>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7" w15:restartNumberingAfterBreak="0">
    <w:nsid w:val="6B7D60CC"/>
    <w:multiLevelType w:val="hybridMultilevel"/>
    <w:tmpl w:val="627A5F3E"/>
    <w:lvl w:ilvl="0" w:tplc="0419001B">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8" w15:restartNumberingAfterBreak="0">
    <w:nsid w:val="6BF60085"/>
    <w:multiLevelType w:val="hybridMultilevel"/>
    <w:tmpl w:val="3286AC6A"/>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9" w15:restartNumberingAfterBreak="0">
    <w:nsid w:val="6CE96D1D"/>
    <w:multiLevelType w:val="hybridMultilevel"/>
    <w:tmpl w:val="612E9F28"/>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0" w15:restartNumberingAfterBreak="0">
    <w:nsid w:val="6D3854A5"/>
    <w:multiLevelType w:val="hybridMultilevel"/>
    <w:tmpl w:val="ECA66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1" w15:restartNumberingAfterBreak="0">
    <w:nsid w:val="6D57706A"/>
    <w:multiLevelType w:val="hybridMultilevel"/>
    <w:tmpl w:val="BF2C800A"/>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2" w15:restartNumberingAfterBreak="0">
    <w:nsid w:val="6D5B1A81"/>
    <w:multiLevelType w:val="hybridMultilevel"/>
    <w:tmpl w:val="F12244AA"/>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3" w15:restartNumberingAfterBreak="0">
    <w:nsid w:val="6E1613B7"/>
    <w:multiLevelType w:val="hybridMultilevel"/>
    <w:tmpl w:val="2EE099AC"/>
    <w:lvl w:ilvl="0" w:tplc="156C50B8">
      <w:start w:val="1"/>
      <w:numFmt w:val="decimal"/>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156C50B8">
      <w:start w:val="1"/>
      <w:numFmt w:val="decimal"/>
      <w:lvlText w:val="%2)"/>
      <w:lvlJc w:val="left"/>
      <w:pPr>
        <w:ind w:left="1440" w:hanging="360"/>
      </w:pPr>
      <w:rPr>
        <w:rFonts w:hint="default"/>
        <w:b w:val="0"/>
        <w:bCs w:val="0"/>
        <w:i w:val="0"/>
        <w:iCs w:val="0"/>
        <w:caps w:val="0"/>
        <w:smallCaps w:val="0"/>
        <w:strike w:val="0"/>
        <w:dstrike w:val="0"/>
        <w:noProof w:val="0"/>
        <w:vanish w:val="0"/>
        <w:color w:val="000000"/>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4" w15:restartNumberingAfterBreak="0">
    <w:nsid w:val="6E574C81"/>
    <w:multiLevelType w:val="multilevel"/>
    <w:tmpl w:val="79A8AD66"/>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5" w15:restartNumberingAfterBreak="0">
    <w:nsid w:val="6E574D82"/>
    <w:multiLevelType w:val="hybridMultilevel"/>
    <w:tmpl w:val="58067954"/>
    <w:lvl w:ilvl="0" w:tplc="27E02F02">
      <w:start w:val="1"/>
      <w:numFmt w:val="russianLow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6" w15:restartNumberingAfterBreak="0">
    <w:nsid w:val="6E68619D"/>
    <w:multiLevelType w:val="hybridMultilevel"/>
    <w:tmpl w:val="1100ADB0"/>
    <w:lvl w:ilvl="0" w:tplc="04190019">
      <w:start w:val="1"/>
      <w:numFmt w:val="bullet"/>
      <w:lvlText w:val="-"/>
      <w:lvlJc w:val="left"/>
      <w:pPr>
        <w:tabs>
          <w:tab w:val="num" w:pos="720"/>
        </w:tabs>
        <w:ind w:left="720" w:hanging="360"/>
      </w:pPr>
      <w:rPr>
        <w:rFonts w:ascii="Courier New" w:hAnsi="Courier New" w:hint="default"/>
        <w:sz w:val="18"/>
      </w:rPr>
    </w:lvl>
    <w:lvl w:ilvl="1" w:tplc="04190003" w:tentative="1">
      <w:start w:val="1"/>
      <w:numFmt w:val="bullet"/>
      <w:lvlText w:val="o"/>
      <w:lvlJc w:val="left"/>
      <w:pPr>
        <w:tabs>
          <w:tab w:val="num" w:pos="900"/>
        </w:tabs>
        <w:ind w:left="900" w:hanging="360"/>
      </w:pPr>
      <w:rPr>
        <w:rFonts w:ascii="Courier New" w:hAnsi="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337" w15:restartNumberingAfterBreak="0">
    <w:nsid w:val="6EA620F7"/>
    <w:multiLevelType w:val="hybridMultilevel"/>
    <w:tmpl w:val="BB1A5152"/>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8" w15:restartNumberingAfterBreak="0">
    <w:nsid w:val="6F0A23AD"/>
    <w:multiLevelType w:val="hybridMultilevel"/>
    <w:tmpl w:val="C812D298"/>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9" w15:restartNumberingAfterBreak="0">
    <w:nsid w:val="6F1417AF"/>
    <w:multiLevelType w:val="hybridMultilevel"/>
    <w:tmpl w:val="91F4E320"/>
    <w:lvl w:ilvl="0" w:tplc="04090001">
      <w:start w:val="1"/>
      <w:numFmt w:val="bullet"/>
      <w:lvlText w:val=""/>
      <w:lvlJc w:val="left"/>
      <w:pPr>
        <w:tabs>
          <w:tab w:val="num" w:pos="900"/>
        </w:tabs>
        <w:ind w:left="900" w:hanging="360"/>
      </w:pPr>
      <w:rPr>
        <w:rFonts w:ascii="Symbol" w:hAnsi="Symbol"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40" w15:restartNumberingAfterBreak="0">
    <w:nsid w:val="7012309A"/>
    <w:multiLevelType w:val="hybridMultilevel"/>
    <w:tmpl w:val="64F6CE22"/>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1" w15:restartNumberingAfterBreak="0">
    <w:nsid w:val="70F07CC6"/>
    <w:multiLevelType w:val="hybridMultilevel"/>
    <w:tmpl w:val="32B4957A"/>
    <w:lvl w:ilvl="0" w:tplc="EDA0B7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2" w15:restartNumberingAfterBreak="0">
    <w:nsid w:val="71562FF0"/>
    <w:multiLevelType w:val="hybridMultilevel"/>
    <w:tmpl w:val="70C01A54"/>
    <w:lvl w:ilvl="0" w:tplc="B270FA08">
      <w:start w:val="1"/>
      <w:numFmt w:val="bullet"/>
      <w:lvlText w:val=""/>
      <w:lvlJc w:val="left"/>
      <w:pPr>
        <w:tabs>
          <w:tab w:val="num" w:pos="720"/>
        </w:tabs>
        <w:ind w:left="720" w:hanging="360"/>
      </w:pPr>
      <w:rPr>
        <w:rFonts w:ascii="Symbol" w:hAnsi="Symbol" w:hint="default"/>
        <w:sz w:val="18"/>
      </w:rPr>
    </w:lvl>
    <w:lvl w:ilvl="1" w:tplc="04190003">
      <w:start w:val="1"/>
      <w:numFmt w:val="bullet"/>
      <w:lvlText w:val="o"/>
      <w:lvlJc w:val="left"/>
      <w:pPr>
        <w:tabs>
          <w:tab w:val="num" w:pos="900"/>
        </w:tabs>
        <w:ind w:left="900" w:hanging="360"/>
      </w:pPr>
      <w:rPr>
        <w:rFonts w:ascii="Courier New" w:hAnsi="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343" w15:restartNumberingAfterBreak="0">
    <w:nsid w:val="71922FCF"/>
    <w:multiLevelType w:val="hybridMultilevel"/>
    <w:tmpl w:val="3AA89F76"/>
    <w:lvl w:ilvl="0" w:tplc="B270FA08">
      <w:start w:val="1"/>
      <w:numFmt w:val="bullet"/>
      <w:lvlText w:val=""/>
      <w:lvlJc w:val="left"/>
      <w:pPr>
        <w:tabs>
          <w:tab w:val="num" w:pos="1080"/>
        </w:tabs>
        <w:ind w:left="1080" w:hanging="360"/>
      </w:pPr>
      <w:rPr>
        <w:rFonts w:ascii="Symbol" w:hAnsi="Symbol" w:hint="default"/>
        <w:sz w:val="18"/>
      </w:rPr>
    </w:lvl>
    <w:lvl w:ilvl="1" w:tplc="B270FA08">
      <w:start w:val="1"/>
      <w:numFmt w:val="bullet"/>
      <w:lvlText w:val=""/>
      <w:lvlJc w:val="left"/>
      <w:pPr>
        <w:tabs>
          <w:tab w:val="num" w:pos="1800"/>
        </w:tabs>
        <w:ind w:left="1800" w:hanging="360"/>
      </w:pPr>
      <w:rPr>
        <w:rFonts w:ascii="Symbol" w:hAnsi="Symbol" w:hint="default"/>
        <w:sz w:val="18"/>
      </w:rPr>
    </w:lvl>
    <w:lvl w:ilvl="2" w:tplc="0419001B">
      <w:start w:val="1"/>
      <w:numFmt w:val="lowerRoman"/>
      <w:lvlText w:val="%3."/>
      <w:lvlJc w:val="right"/>
      <w:pPr>
        <w:tabs>
          <w:tab w:val="num" w:pos="2520"/>
        </w:tabs>
        <w:ind w:left="2520" w:hanging="180"/>
      </w:pPr>
      <w:rPr>
        <w:rFonts w:cs="Times New Roman"/>
      </w:rPr>
    </w:lvl>
    <w:lvl w:ilvl="3" w:tplc="32206210">
      <w:start w:val="1"/>
      <w:numFmt w:val="decimal"/>
      <w:lvlText w:val="%4)"/>
      <w:lvlJc w:val="left"/>
      <w:pPr>
        <w:ind w:left="3240" w:hanging="360"/>
      </w:pPr>
      <w:rPr>
        <w:rFonts w:cs="Times New Roman" w:hint="default"/>
      </w:rPr>
    </w:lvl>
    <w:lvl w:ilvl="4" w:tplc="23D059CE">
      <w:start w:val="1"/>
      <w:numFmt w:val="lowerLetter"/>
      <w:lvlText w:val="(%5)"/>
      <w:lvlJc w:val="left"/>
      <w:pPr>
        <w:ind w:left="3990" w:hanging="390"/>
      </w:pPr>
      <w:rPr>
        <w:rFonts w:hint="default"/>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44" w15:restartNumberingAfterBreak="0">
    <w:nsid w:val="71EB0CCC"/>
    <w:multiLevelType w:val="hybridMultilevel"/>
    <w:tmpl w:val="3F2A8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5" w15:restartNumberingAfterBreak="0">
    <w:nsid w:val="720B69D0"/>
    <w:multiLevelType w:val="hybridMultilevel"/>
    <w:tmpl w:val="515A3896"/>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6" w15:restartNumberingAfterBreak="0">
    <w:nsid w:val="72323858"/>
    <w:multiLevelType w:val="hybridMultilevel"/>
    <w:tmpl w:val="6A48EE70"/>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7" w15:restartNumberingAfterBreak="0">
    <w:nsid w:val="72382987"/>
    <w:multiLevelType w:val="hybridMultilevel"/>
    <w:tmpl w:val="CB749E7A"/>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8" w15:restartNumberingAfterBreak="0">
    <w:nsid w:val="723D4D76"/>
    <w:multiLevelType w:val="hybridMultilevel"/>
    <w:tmpl w:val="F0BAD356"/>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9" w15:restartNumberingAfterBreak="0">
    <w:nsid w:val="7273730F"/>
    <w:multiLevelType w:val="hybridMultilevel"/>
    <w:tmpl w:val="B71C50C6"/>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0" w15:restartNumberingAfterBreak="0">
    <w:nsid w:val="72CF4FEF"/>
    <w:multiLevelType w:val="hybridMultilevel"/>
    <w:tmpl w:val="A9FCC044"/>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1" w15:restartNumberingAfterBreak="0">
    <w:nsid w:val="72D942AC"/>
    <w:multiLevelType w:val="hybridMultilevel"/>
    <w:tmpl w:val="2736AE0E"/>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2" w15:restartNumberingAfterBreak="0">
    <w:nsid w:val="735006B7"/>
    <w:multiLevelType w:val="hybridMultilevel"/>
    <w:tmpl w:val="B2D05718"/>
    <w:lvl w:ilvl="0" w:tplc="0419001B">
      <w:start w:val="1"/>
      <w:numFmt w:val="bullet"/>
      <w:lvlText w:val="-"/>
      <w:lvlJc w:val="left"/>
      <w:pPr>
        <w:tabs>
          <w:tab w:val="num" w:pos="720"/>
        </w:tabs>
        <w:ind w:left="720" w:hanging="360"/>
      </w:pPr>
      <w:rPr>
        <w:rFonts w:ascii="Courier New" w:hAnsi="Courier New" w:hint="default"/>
        <w:sz w:val="18"/>
      </w:rPr>
    </w:lvl>
    <w:lvl w:ilvl="1" w:tplc="04190003">
      <w:start w:val="1"/>
      <w:numFmt w:val="bullet"/>
      <w:lvlText w:val="o"/>
      <w:lvlJc w:val="left"/>
      <w:pPr>
        <w:tabs>
          <w:tab w:val="num" w:pos="900"/>
        </w:tabs>
        <w:ind w:left="900" w:hanging="360"/>
      </w:pPr>
      <w:rPr>
        <w:rFonts w:ascii="Courier New" w:hAnsi="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353" w15:restartNumberingAfterBreak="0">
    <w:nsid w:val="73FC5D42"/>
    <w:multiLevelType w:val="hybridMultilevel"/>
    <w:tmpl w:val="D554B1BC"/>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4" w15:restartNumberingAfterBreak="0">
    <w:nsid w:val="741C242C"/>
    <w:multiLevelType w:val="hybridMultilevel"/>
    <w:tmpl w:val="BDD06184"/>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5" w15:restartNumberingAfterBreak="0">
    <w:nsid w:val="749E2D8B"/>
    <w:multiLevelType w:val="hybridMultilevel"/>
    <w:tmpl w:val="EB3C0D98"/>
    <w:lvl w:ilvl="0" w:tplc="0419001B">
      <w:start w:val="1"/>
      <w:numFmt w:val="bullet"/>
      <w:lvlText w:val="-"/>
      <w:lvlJc w:val="left"/>
      <w:pPr>
        <w:tabs>
          <w:tab w:val="num" w:pos="360"/>
        </w:tabs>
        <w:ind w:left="360" w:hanging="360"/>
      </w:pPr>
      <w:rPr>
        <w:rFonts w:ascii="Courier New" w:hAnsi="Courier New" w:hint="default"/>
      </w:rPr>
    </w:lvl>
    <w:lvl w:ilvl="1" w:tplc="04190019"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356" w15:restartNumberingAfterBreak="0">
    <w:nsid w:val="7586584B"/>
    <w:multiLevelType w:val="hybridMultilevel"/>
    <w:tmpl w:val="4BD2109C"/>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7" w15:restartNumberingAfterBreak="0">
    <w:nsid w:val="75A51984"/>
    <w:multiLevelType w:val="hybridMultilevel"/>
    <w:tmpl w:val="2944A39E"/>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8" w15:restartNumberingAfterBreak="0">
    <w:nsid w:val="75E055DC"/>
    <w:multiLevelType w:val="hybridMultilevel"/>
    <w:tmpl w:val="57EC5A4E"/>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9" w15:restartNumberingAfterBreak="0">
    <w:nsid w:val="76B13BDB"/>
    <w:multiLevelType w:val="hybridMultilevel"/>
    <w:tmpl w:val="F1808054"/>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0" w15:restartNumberingAfterBreak="0">
    <w:nsid w:val="76B4183E"/>
    <w:multiLevelType w:val="hybridMultilevel"/>
    <w:tmpl w:val="8004B7AC"/>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1" w15:restartNumberingAfterBreak="0">
    <w:nsid w:val="77345521"/>
    <w:multiLevelType w:val="hybridMultilevel"/>
    <w:tmpl w:val="1E0E4E9E"/>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2" w15:restartNumberingAfterBreak="0">
    <w:nsid w:val="77DB623A"/>
    <w:multiLevelType w:val="hybridMultilevel"/>
    <w:tmpl w:val="182A4C18"/>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3" w15:restartNumberingAfterBreak="0">
    <w:nsid w:val="782B573B"/>
    <w:multiLevelType w:val="hybridMultilevel"/>
    <w:tmpl w:val="6BD67C18"/>
    <w:lvl w:ilvl="0" w:tplc="B270FA08">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64" w15:restartNumberingAfterBreak="0">
    <w:nsid w:val="78E12EAC"/>
    <w:multiLevelType w:val="hybridMultilevel"/>
    <w:tmpl w:val="71E4BBAA"/>
    <w:lvl w:ilvl="0" w:tplc="8806B086">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5" w15:restartNumberingAfterBreak="0">
    <w:nsid w:val="79712EFF"/>
    <w:multiLevelType w:val="hybridMultilevel"/>
    <w:tmpl w:val="708E8D7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66" w15:restartNumberingAfterBreak="0">
    <w:nsid w:val="79AF13DB"/>
    <w:multiLevelType w:val="hybridMultilevel"/>
    <w:tmpl w:val="F3C4701E"/>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7" w15:restartNumberingAfterBreak="0">
    <w:nsid w:val="7A666787"/>
    <w:multiLevelType w:val="hybridMultilevel"/>
    <w:tmpl w:val="E28A7D08"/>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8" w15:restartNumberingAfterBreak="0">
    <w:nsid w:val="7BBA53E6"/>
    <w:multiLevelType w:val="hybridMultilevel"/>
    <w:tmpl w:val="BEA8E368"/>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9" w15:restartNumberingAfterBreak="0">
    <w:nsid w:val="7BC61FF8"/>
    <w:multiLevelType w:val="hybridMultilevel"/>
    <w:tmpl w:val="67BE5742"/>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0" w15:restartNumberingAfterBreak="0">
    <w:nsid w:val="7C2A3472"/>
    <w:multiLevelType w:val="hybridMultilevel"/>
    <w:tmpl w:val="760051AE"/>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1" w15:restartNumberingAfterBreak="0">
    <w:nsid w:val="7D742D45"/>
    <w:multiLevelType w:val="hybridMultilevel"/>
    <w:tmpl w:val="B27E230C"/>
    <w:lvl w:ilvl="0" w:tplc="B270FA08">
      <w:start w:val="1"/>
      <w:numFmt w:val="bullet"/>
      <w:lvlText w:val=""/>
      <w:lvlJc w:val="left"/>
      <w:pPr>
        <w:tabs>
          <w:tab w:val="num" w:pos="1260"/>
        </w:tabs>
        <w:ind w:left="1260" w:hanging="360"/>
      </w:pPr>
      <w:rPr>
        <w:rFonts w:ascii="Symbol" w:hAnsi="Symbol" w:hint="default"/>
        <w:sz w:val="18"/>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2" w15:restartNumberingAfterBreak="0">
    <w:nsid w:val="7DB90795"/>
    <w:multiLevelType w:val="hybridMultilevel"/>
    <w:tmpl w:val="2A7EA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3" w15:restartNumberingAfterBreak="0">
    <w:nsid w:val="7E1F4E90"/>
    <w:multiLevelType w:val="hybridMultilevel"/>
    <w:tmpl w:val="66E6F782"/>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4" w15:restartNumberingAfterBreak="0">
    <w:nsid w:val="7E20667A"/>
    <w:multiLevelType w:val="hybridMultilevel"/>
    <w:tmpl w:val="2C564796"/>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5" w15:restartNumberingAfterBreak="0">
    <w:nsid w:val="7E6E10C2"/>
    <w:multiLevelType w:val="hybridMultilevel"/>
    <w:tmpl w:val="10225846"/>
    <w:lvl w:ilvl="0" w:tplc="04190019">
      <w:start w:val="1"/>
      <w:numFmt w:val="bullet"/>
      <w:lvlText w:val="-"/>
      <w:lvlJc w:val="left"/>
      <w:pPr>
        <w:ind w:left="720" w:hanging="360"/>
      </w:pPr>
      <w:rPr>
        <w:rFonts w:ascii="Courier New" w:hAnsi="Courier New"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6" w15:restartNumberingAfterBreak="0">
    <w:nsid w:val="7E6F3843"/>
    <w:multiLevelType w:val="hybridMultilevel"/>
    <w:tmpl w:val="1D76ADD2"/>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7" w15:restartNumberingAfterBreak="0">
    <w:nsid w:val="7EA434C1"/>
    <w:multiLevelType w:val="hybridMultilevel"/>
    <w:tmpl w:val="3A786848"/>
    <w:lvl w:ilvl="0" w:tplc="04190019">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8" w15:restartNumberingAfterBreak="0">
    <w:nsid w:val="7ED03FBC"/>
    <w:multiLevelType w:val="hybridMultilevel"/>
    <w:tmpl w:val="8CFC2BA2"/>
    <w:lvl w:ilvl="0" w:tplc="0419001B">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9" w15:restartNumberingAfterBreak="0">
    <w:nsid w:val="7F617CA9"/>
    <w:multiLevelType w:val="hybridMultilevel"/>
    <w:tmpl w:val="B4104A8A"/>
    <w:lvl w:ilvl="0" w:tplc="04190011">
      <w:start w:val="1"/>
      <w:numFmt w:val="decimal"/>
      <w:lvlText w:val="%1)"/>
      <w:lvlJc w:val="left"/>
      <w:pPr>
        <w:tabs>
          <w:tab w:val="num" w:pos="360"/>
        </w:tabs>
        <w:ind w:left="360" w:hanging="360"/>
      </w:pPr>
      <w:rPr>
        <w:rFonts w:cs="Times New Roman"/>
      </w:rPr>
    </w:lvl>
    <w:lvl w:ilvl="1" w:tplc="B270FA08">
      <w:start w:val="1"/>
      <w:numFmt w:val="bullet"/>
      <w:lvlText w:val=""/>
      <w:lvlJc w:val="left"/>
      <w:pPr>
        <w:tabs>
          <w:tab w:val="num" w:pos="1260"/>
        </w:tabs>
        <w:ind w:left="1260" w:hanging="360"/>
      </w:pPr>
      <w:rPr>
        <w:rFonts w:ascii="Symbol" w:hAnsi="Symbol" w:hint="default"/>
        <w:sz w:val="18"/>
      </w:rPr>
    </w:lvl>
    <w:lvl w:ilvl="2" w:tplc="0419001B">
      <w:start w:val="1"/>
      <w:numFmt w:val="lowerRoman"/>
      <w:lvlText w:val="%3."/>
      <w:lvlJc w:val="right"/>
      <w:pPr>
        <w:tabs>
          <w:tab w:val="num" w:pos="1800"/>
        </w:tabs>
        <w:ind w:left="1800" w:hanging="180"/>
      </w:pPr>
      <w:rPr>
        <w:rFonts w:cs="Times New Roman"/>
      </w:rPr>
    </w:lvl>
    <w:lvl w:ilvl="3" w:tplc="EEEC55CE">
      <w:start w:val="1"/>
      <w:numFmt w:val="lowerLetter"/>
      <w:lvlText w:val="(%4)"/>
      <w:lvlJc w:val="left"/>
      <w:pPr>
        <w:ind w:left="2520" w:hanging="360"/>
      </w:pPr>
      <w:rPr>
        <w:rFonts w:hint="default"/>
      </w:rPr>
    </w:lvl>
    <w:lvl w:ilvl="4" w:tplc="04190019" w:tentative="1">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80" w15:restartNumberingAfterBreak="0">
    <w:nsid w:val="7F8C6821"/>
    <w:multiLevelType w:val="hybridMultilevel"/>
    <w:tmpl w:val="1712834E"/>
    <w:lvl w:ilvl="0" w:tplc="04190019">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1" w15:restartNumberingAfterBreak="0">
    <w:nsid w:val="7FFA777B"/>
    <w:multiLevelType w:val="hybridMultilevel"/>
    <w:tmpl w:val="E1E81D20"/>
    <w:lvl w:ilvl="0" w:tplc="8806B086">
      <w:start w:val="1"/>
      <w:numFmt w:val="bullet"/>
      <w:lvlText w:val="-"/>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42"/>
  </w:num>
  <w:num w:numId="3">
    <w:abstractNumId w:val="38"/>
  </w:num>
  <w:num w:numId="4">
    <w:abstractNumId w:val="149"/>
  </w:num>
  <w:num w:numId="5">
    <w:abstractNumId w:val="363"/>
  </w:num>
  <w:num w:numId="6">
    <w:abstractNumId w:val="39"/>
    <w:lvlOverride w:ilvl="0">
      <w:startOverride w:val="1"/>
    </w:lvlOverride>
  </w:num>
  <w:num w:numId="7">
    <w:abstractNumId w:val="0"/>
  </w:num>
  <w:num w:numId="8">
    <w:abstractNumId w:val="125"/>
  </w:num>
  <w:num w:numId="9">
    <w:abstractNumId w:val="50"/>
  </w:num>
  <w:num w:numId="10">
    <w:abstractNumId w:val="214"/>
  </w:num>
  <w:num w:numId="11">
    <w:abstractNumId w:val="76"/>
  </w:num>
  <w:num w:numId="12">
    <w:abstractNumId w:val="74"/>
  </w:num>
  <w:num w:numId="13">
    <w:abstractNumId w:val="137"/>
  </w:num>
  <w:num w:numId="14">
    <w:abstractNumId w:val="216"/>
  </w:num>
  <w:num w:numId="15">
    <w:abstractNumId w:val="63"/>
  </w:num>
  <w:num w:numId="16">
    <w:abstractNumId w:val="147"/>
  </w:num>
  <w:num w:numId="17">
    <w:abstractNumId w:val="47"/>
  </w:num>
  <w:num w:numId="18">
    <w:abstractNumId w:val="80"/>
  </w:num>
  <w:num w:numId="19">
    <w:abstractNumId w:val="371"/>
  </w:num>
  <w:num w:numId="20">
    <w:abstractNumId w:val="142"/>
  </w:num>
  <w:num w:numId="21">
    <w:abstractNumId w:val="129"/>
  </w:num>
  <w:num w:numId="22">
    <w:abstractNumId w:val="379"/>
  </w:num>
  <w:num w:numId="23">
    <w:abstractNumId w:val="261"/>
  </w:num>
  <w:num w:numId="24">
    <w:abstractNumId w:val="344"/>
  </w:num>
  <w:num w:numId="25">
    <w:abstractNumId w:val="230"/>
  </w:num>
  <w:num w:numId="26">
    <w:abstractNumId w:val="59"/>
  </w:num>
  <w:num w:numId="27">
    <w:abstractNumId w:val="355"/>
  </w:num>
  <w:num w:numId="28">
    <w:abstractNumId w:val="159"/>
  </w:num>
  <w:num w:numId="29">
    <w:abstractNumId w:val="317"/>
  </w:num>
  <w:num w:numId="30">
    <w:abstractNumId w:val="333"/>
  </w:num>
  <w:num w:numId="31">
    <w:abstractNumId w:val="83"/>
  </w:num>
  <w:num w:numId="32">
    <w:abstractNumId w:val="128"/>
  </w:num>
  <w:num w:numId="33">
    <w:abstractNumId w:val="72"/>
  </w:num>
  <w:num w:numId="34">
    <w:abstractNumId w:val="260"/>
  </w:num>
  <w:num w:numId="35">
    <w:abstractNumId w:val="1"/>
    <w:lvlOverride w:ilvl="0">
      <w:lvl w:ilvl="0">
        <w:numFmt w:val="bullet"/>
        <w:lvlText w:val="•"/>
        <w:legacy w:legacy="1" w:legacySpace="0" w:legacyIndent="0"/>
        <w:lvlJc w:val="left"/>
        <w:rPr>
          <w:rFonts w:ascii="Verdana" w:hAnsi="Verdana" w:hint="default"/>
          <w:sz w:val="18"/>
          <w:szCs w:val="18"/>
        </w:rPr>
      </w:lvl>
    </w:lvlOverride>
  </w:num>
  <w:num w:numId="36">
    <w:abstractNumId w:val="67"/>
  </w:num>
  <w:num w:numId="37">
    <w:abstractNumId w:val="280"/>
  </w:num>
  <w:num w:numId="38">
    <w:abstractNumId w:val="253"/>
  </w:num>
  <w:num w:numId="39">
    <w:abstractNumId w:val="77"/>
  </w:num>
  <w:num w:numId="40">
    <w:abstractNumId w:val="102"/>
  </w:num>
  <w:num w:numId="41">
    <w:abstractNumId w:val="124"/>
  </w:num>
  <w:num w:numId="42">
    <w:abstractNumId w:val="232"/>
  </w:num>
  <w:num w:numId="43">
    <w:abstractNumId w:val="170"/>
  </w:num>
  <w:num w:numId="44">
    <w:abstractNumId w:val="304"/>
  </w:num>
  <w:num w:numId="45">
    <w:abstractNumId w:val="189"/>
  </w:num>
  <w:num w:numId="46">
    <w:abstractNumId w:val="140"/>
  </w:num>
  <w:num w:numId="47">
    <w:abstractNumId w:val="132"/>
  </w:num>
  <w:num w:numId="48">
    <w:abstractNumId w:val="211"/>
  </w:num>
  <w:num w:numId="49">
    <w:abstractNumId w:val="284"/>
  </w:num>
  <w:num w:numId="50">
    <w:abstractNumId w:val="293"/>
  </w:num>
  <w:num w:numId="51">
    <w:abstractNumId w:val="117"/>
  </w:num>
  <w:num w:numId="52">
    <w:abstractNumId w:val="303"/>
  </w:num>
  <w:num w:numId="53">
    <w:abstractNumId w:val="349"/>
  </w:num>
  <w:num w:numId="54">
    <w:abstractNumId w:val="10"/>
  </w:num>
  <w:num w:numId="55">
    <w:abstractNumId w:val="86"/>
  </w:num>
  <w:num w:numId="56">
    <w:abstractNumId w:val="241"/>
  </w:num>
  <w:num w:numId="57">
    <w:abstractNumId w:val="239"/>
  </w:num>
  <w:num w:numId="58">
    <w:abstractNumId w:val="109"/>
  </w:num>
  <w:num w:numId="59">
    <w:abstractNumId w:val="203"/>
  </w:num>
  <w:num w:numId="60">
    <w:abstractNumId w:val="296"/>
  </w:num>
  <w:num w:numId="61">
    <w:abstractNumId w:val="88"/>
  </w:num>
  <w:num w:numId="62">
    <w:abstractNumId w:val="7"/>
  </w:num>
  <w:num w:numId="63">
    <w:abstractNumId w:val="281"/>
  </w:num>
  <w:num w:numId="64">
    <w:abstractNumId w:val="316"/>
  </w:num>
  <w:num w:numId="65">
    <w:abstractNumId w:val="375"/>
  </w:num>
  <w:num w:numId="66">
    <w:abstractNumId w:val="21"/>
  </w:num>
  <w:num w:numId="67">
    <w:abstractNumId w:val="29"/>
  </w:num>
  <w:num w:numId="68">
    <w:abstractNumId w:val="54"/>
  </w:num>
  <w:num w:numId="69">
    <w:abstractNumId w:val="348"/>
  </w:num>
  <w:num w:numId="70">
    <w:abstractNumId w:val="361"/>
  </w:num>
  <w:num w:numId="71">
    <w:abstractNumId w:val="27"/>
  </w:num>
  <w:num w:numId="72">
    <w:abstractNumId w:val="127"/>
  </w:num>
  <w:num w:numId="73">
    <w:abstractNumId w:val="196"/>
  </w:num>
  <w:num w:numId="74">
    <w:abstractNumId w:val="291"/>
  </w:num>
  <w:num w:numId="75">
    <w:abstractNumId w:val="288"/>
  </w:num>
  <w:num w:numId="76">
    <w:abstractNumId w:val="184"/>
  </w:num>
  <w:num w:numId="77">
    <w:abstractNumId w:val="37"/>
  </w:num>
  <w:num w:numId="78">
    <w:abstractNumId w:val="269"/>
  </w:num>
  <w:num w:numId="79">
    <w:abstractNumId w:val="319"/>
  </w:num>
  <w:num w:numId="80">
    <w:abstractNumId w:val="238"/>
  </w:num>
  <w:num w:numId="81">
    <w:abstractNumId w:val="40"/>
  </w:num>
  <w:num w:numId="82">
    <w:abstractNumId w:val="329"/>
  </w:num>
  <w:num w:numId="83">
    <w:abstractNumId w:val="96"/>
  </w:num>
  <w:num w:numId="84">
    <w:abstractNumId w:val="337"/>
  </w:num>
  <w:num w:numId="85">
    <w:abstractNumId w:val="42"/>
  </w:num>
  <w:num w:numId="86">
    <w:abstractNumId w:val="322"/>
  </w:num>
  <w:num w:numId="87">
    <w:abstractNumId w:val="120"/>
  </w:num>
  <w:num w:numId="88">
    <w:abstractNumId w:val="199"/>
  </w:num>
  <w:num w:numId="89">
    <w:abstractNumId w:val="20"/>
  </w:num>
  <w:num w:numId="90">
    <w:abstractNumId w:val="53"/>
  </w:num>
  <w:num w:numId="91">
    <w:abstractNumId w:val="175"/>
  </w:num>
  <w:num w:numId="92">
    <w:abstractNumId w:val="279"/>
  </w:num>
  <w:num w:numId="93">
    <w:abstractNumId w:val="366"/>
  </w:num>
  <w:num w:numId="94">
    <w:abstractNumId w:val="378"/>
  </w:num>
  <w:num w:numId="95">
    <w:abstractNumId w:val="254"/>
  </w:num>
  <w:num w:numId="96">
    <w:abstractNumId w:val="264"/>
  </w:num>
  <w:num w:numId="97">
    <w:abstractNumId w:val="65"/>
  </w:num>
  <w:num w:numId="98">
    <w:abstractNumId w:val="270"/>
  </w:num>
  <w:num w:numId="99">
    <w:abstractNumId w:val="151"/>
  </w:num>
  <w:num w:numId="100">
    <w:abstractNumId w:val="255"/>
  </w:num>
  <w:num w:numId="101">
    <w:abstractNumId w:val="310"/>
  </w:num>
  <w:num w:numId="102">
    <w:abstractNumId w:val="177"/>
  </w:num>
  <w:num w:numId="103">
    <w:abstractNumId w:val="114"/>
  </w:num>
  <w:num w:numId="104">
    <w:abstractNumId w:val="103"/>
  </w:num>
  <w:num w:numId="105">
    <w:abstractNumId w:val="262"/>
  </w:num>
  <w:num w:numId="106">
    <w:abstractNumId w:val="118"/>
  </w:num>
  <w:num w:numId="107">
    <w:abstractNumId w:val="148"/>
  </w:num>
  <w:num w:numId="108">
    <w:abstractNumId w:val="192"/>
  </w:num>
  <w:num w:numId="109">
    <w:abstractNumId w:val="352"/>
  </w:num>
  <w:num w:numId="110">
    <w:abstractNumId w:val="71"/>
  </w:num>
  <w:num w:numId="111">
    <w:abstractNumId w:val="164"/>
  </w:num>
  <w:num w:numId="112">
    <w:abstractNumId w:val="115"/>
  </w:num>
  <w:num w:numId="113">
    <w:abstractNumId w:val="209"/>
  </w:num>
  <w:num w:numId="114">
    <w:abstractNumId w:val="202"/>
  </w:num>
  <w:num w:numId="115">
    <w:abstractNumId w:val="178"/>
  </w:num>
  <w:num w:numId="116">
    <w:abstractNumId w:val="286"/>
  </w:num>
  <w:num w:numId="117">
    <w:abstractNumId w:val="356"/>
  </w:num>
  <w:num w:numId="118">
    <w:abstractNumId w:val="123"/>
  </w:num>
  <w:num w:numId="119">
    <w:abstractNumId w:val="225"/>
  </w:num>
  <w:num w:numId="120">
    <w:abstractNumId w:val="346"/>
  </w:num>
  <w:num w:numId="121">
    <w:abstractNumId w:val="324"/>
  </w:num>
  <w:num w:numId="122">
    <w:abstractNumId w:val="318"/>
  </w:num>
  <w:num w:numId="123">
    <w:abstractNumId w:val="272"/>
  </w:num>
  <w:num w:numId="124">
    <w:abstractNumId w:val="197"/>
  </w:num>
  <w:num w:numId="125">
    <w:abstractNumId w:val="156"/>
  </w:num>
  <w:num w:numId="126">
    <w:abstractNumId w:val="200"/>
  </w:num>
  <w:num w:numId="127">
    <w:abstractNumId w:val="9"/>
  </w:num>
  <w:num w:numId="128">
    <w:abstractNumId w:val="104"/>
  </w:num>
  <w:num w:numId="129">
    <w:abstractNumId w:val="183"/>
  </w:num>
  <w:num w:numId="130">
    <w:abstractNumId w:val="381"/>
  </w:num>
  <w:num w:numId="131">
    <w:abstractNumId w:val="237"/>
  </w:num>
  <w:num w:numId="132">
    <w:abstractNumId w:val="364"/>
  </w:num>
  <w:num w:numId="133">
    <w:abstractNumId w:val="220"/>
  </w:num>
  <w:num w:numId="134">
    <w:abstractNumId w:val="321"/>
  </w:num>
  <w:num w:numId="135">
    <w:abstractNumId w:val="82"/>
  </w:num>
  <w:num w:numId="136">
    <w:abstractNumId w:val="257"/>
  </w:num>
  <w:num w:numId="137">
    <w:abstractNumId w:val="301"/>
  </w:num>
  <w:num w:numId="138">
    <w:abstractNumId w:val="167"/>
  </w:num>
  <w:num w:numId="139">
    <w:abstractNumId w:val="244"/>
  </w:num>
  <w:num w:numId="140">
    <w:abstractNumId w:val="217"/>
  </w:num>
  <w:num w:numId="141">
    <w:abstractNumId w:val="31"/>
  </w:num>
  <w:num w:numId="142">
    <w:abstractNumId w:val="367"/>
  </w:num>
  <w:num w:numId="143">
    <w:abstractNumId w:val="13"/>
  </w:num>
  <w:num w:numId="144">
    <w:abstractNumId w:val="245"/>
  </w:num>
  <w:num w:numId="145">
    <w:abstractNumId w:val="339"/>
  </w:num>
  <w:num w:numId="146">
    <w:abstractNumId w:val="292"/>
  </w:num>
  <w:num w:numId="147">
    <w:abstractNumId w:val="208"/>
  </w:num>
  <w:num w:numId="148">
    <w:abstractNumId w:val="85"/>
  </w:num>
  <w:num w:numId="149">
    <w:abstractNumId w:val="314"/>
  </w:num>
  <w:num w:numId="150">
    <w:abstractNumId w:val="150"/>
  </w:num>
  <w:num w:numId="151">
    <w:abstractNumId w:val="144"/>
  </w:num>
  <w:num w:numId="152">
    <w:abstractNumId w:val="204"/>
  </w:num>
  <w:num w:numId="153">
    <w:abstractNumId w:val="205"/>
  </w:num>
  <w:num w:numId="154">
    <w:abstractNumId w:val="134"/>
  </w:num>
  <w:num w:numId="155">
    <w:abstractNumId w:val="116"/>
  </w:num>
  <w:num w:numId="156">
    <w:abstractNumId w:val="172"/>
  </w:num>
  <w:num w:numId="157">
    <w:abstractNumId w:val="219"/>
  </w:num>
  <w:num w:numId="158">
    <w:abstractNumId w:val="250"/>
  </w:num>
  <w:num w:numId="159">
    <w:abstractNumId w:val="336"/>
  </w:num>
  <w:num w:numId="160">
    <w:abstractNumId w:val="3"/>
  </w:num>
  <w:num w:numId="161">
    <w:abstractNumId w:val="122"/>
  </w:num>
  <w:num w:numId="162">
    <w:abstractNumId w:val="138"/>
  </w:num>
  <w:num w:numId="163">
    <w:abstractNumId w:val="258"/>
  </w:num>
  <w:num w:numId="164">
    <w:abstractNumId w:val="194"/>
  </w:num>
  <w:num w:numId="165">
    <w:abstractNumId w:val="373"/>
  </w:num>
  <w:num w:numId="166">
    <w:abstractNumId w:val="4"/>
  </w:num>
  <w:num w:numId="167">
    <w:abstractNumId w:val="105"/>
  </w:num>
  <w:num w:numId="168">
    <w:abstractNumId w:val="52"/>
  </w:num>
  <w:num w:numId="169">
    <w:abstractNumId w:val="58"/>
  </w:num>
  <w:num w:numId="170">
    <w:abstractNumId w:val="44"/>
  </w:num>
  <w:num w:numId="171">
    <w:abstractNumId w:val="350"/>
  </w:num>
  <w:num w:numId="172">
    <w:abstractNumId w:val="362"/>
  </w:num>
  <w:num w:numId="173">
    <w:abstractNumId w:val="218"/>
  </w:num>
  <w:num w:numId="174">
    <w:abstractNumId w:val="332"/>
  </w:num>
  <w:num w:numId="175">
    <w:abstractNumId w:val="271"/>
  </w:num>
  <w:num w:numId="176">
    <w:abstractNumId w:val="22"/>
  </w:num>
  <w:num w:numId="177">
    <w:abstractNumId w:val="307"/>
  </w:num>
  <w:num w:numId="178">
    <w:abstractNumId w:val="95"/>
  </w:num>
  <w:num w:numId="179">
    <w:abstractNumId w:val="213"/>
  </w:num>
  <w:num w:numId="180">
    <w:abstractNumId w:val="354"/>
  </w:num>
  <w:num w:numId="181">
    <w:abstractNumId w:val="94"/>
  </w:num>
  <w:num w:numId="182">
    <w:abstractNumId w:val="308"/>
  </w:num>
  <w:num w:numId="183">
    <w:abstractNumId w:val="340"/>
  </w:num>
  <w:num w:numId="184">
    <w:abstractNumId w:val="267"/>
  </w:num>
  <w:num w:numId="185">
    <w:abstractNumId w:val="81"/>
  </w:num>
  <w:num w:numId="186">
    <w:abstractNumId w:val="145"/>
  </w:num>
  <w:num w:numId="187">
    <w:abstractNumId w:val="161"/>
  </w:num>
  <w:num w:numId="188">
    <w:abstractNumId w:val="277"/>
  </w:num>
  <w:num w:numId="189">
    <w:abstractNumId w:val="282"/>
  </w:num>
  <w:num w:numId="190">
    <w:abstractNumId w:val="14"/>
  </w:num>
  <w:num w:numId="191">
    <w:abstractNumId w:val="309"/>
  </w:num>
  <w:num w:numId="192">
    <w:abstractNumId w:val="89"/>
  </w:num>
  <w:num w:numId="193">
    <w:abstractNumId w:val="302"/>
  </w:num>
  <w:num w:numId="194">
    <w:abstractNumId w:val="222"/>
  </w:num>
  <w:num w:numId="195">
    <w:abstractNumId w:val="351"/>
  </w:num>
  <w:num w:numId="196">
    <w:abstractNumId w:val="66"/>
  </w:num>
  <w:num w:numId="197">
    <w:abstractNumId w:val="188"/>
  </w:num>
  <w:num w:numId="198">
    <w:abstractNumId w:val="247"/>
  </w:num>
  <w:num w:numId="199">
    <w:abstractNumId w:val="268"/>
  </w:num>
  <w:num w:numId="200">
    <w:abstractNumId w:val="224"/>
  </w:num>
  <w:num w:numId="201">
    <w:abstractNumId w:val="8"/>
  </w:num>
  <w:num w:numId="202">
    <w:abstractNumId w:val="231"/>
  </w:num>
  <w:num w:numId="203">
    <w:abstractNumId w:val="273"/>
  </w:num>
  <w:num w:numId="204">
    <w:abstractNumId w:val="93"/>
  </w:num>
  <w:num w:numId="205">
    <w:abstractNumId w:val="376"/>
  </w:num>
  <w:num w:numId="206">
    <w:abstractNumId w:val="187"/>
  </w:num>
  <w:num w:numId="207">
    <w:abstractNumId w:val="173"/>
  </w:num>
  <w:num w:numId="208">
    <w:abstractNumId w:val="251"/>
  </w:num>
  <w:num w:numId="209">
    <w:abstractNumId w:val="185"/>
  </w:num>
  <w:num w:numId="210">
    <w:abstractNumId w:val="290"/>
  </w:num>
  <w:num w:numId="211">
    <w:abstractNumId w:val="227"/>
  </w:num>
  <w:num w:numId="212">
    <w:abstractNumId w:val="190"/>
  </w:num>
  <w:num w:numId="213">
    <w:abstractNumId w:val="338"/>
  </w:num>
  <w:num w:numId="214">
    <w:abstractNumId w:val="210"/>
  </w:num>
  <w:num w:numId="215">
    <w:abstractNumId w:val="100"/>
  </w:num>
  <w:num w:numId="216">
    <w:abstractNumId w:val="75"/>
  </w:num>
  <w:num w:numId="217">
    <w:abstractNumId w:val="181"/>
  </w:num>
  <w:num w:numId="218">
    <w:abstractNumId w:val="69"/>
  </w:num>
  <w:num w:numId="219">
    <w:abstractNumId w:val="353"/>
  </w:num>
  <w:num w:numId="220">
    <w:abstractNumId w:val="215"/>
  </w:num>
  <w:num w:numId="221">
    <w:abstractNumId w:val="311"/>
  </w:num>
  <w:num w:numId="222">
    <w:abstractNumId w:val="51"/>
  </w:num>
  <w:num w:numId="223">
    <w:abstractNumId w:val="289"/>
  </w:num>
  <w:num w:numId="224">
    <w:abstractNumId w:val="259"/>
  </w:num>
  <w:num w:numId="225">
    <w:abstractNumId w:val="34"/>
  </w:num>
  <w:num w:numId="226">
    <w:abstractNumId w:val="139"/>
  </w:num>
  <w:num w:numId="227">
    <w:abstractNumId w:val="323"/>
  </w:num>
  <w:num w:numId="228">
    <w:abstractNumId w:val="369"/>
  </w:num>
  <w:num w:numId="229">
    <w:abstractNumId w:val="206"/>
  </w:num>
  <w:num w:numId="230">
    <w:abstractNumId w:val="57"/>
  </w:num>
  <w:num w:numId="231">
    <w:abstractNumId w:val="61"/>
  </w:num>
  <w:num w:numId="232">
    <w:abstractNumId w:val="90"/>
  </w:num>
  <w:num w:numId="233">
    <w:abstractNumId w:val="265"/>
  </w:num>
  <w:num w:numId="234">
    <w:abstractNumId w:val="360"/>
  </w:num>
  <w:num w:numId="235">
    <w:abstractNumId w:val="357"/>
  </w:num>
  <w:num w:numId="236">
    <w:abstractNumId w:val="106"/>
  </w:num>
  <w:num w:numId="237">
    <w:abstractNumId w:val="330"/>
  </w:num>
  <w:num w:numId="238">
    <w:abstractNumId w:val="169"/>
  </w:num>
  <w:num w:numId="239">
    <w:abstractNumId w:val="43"/>
  </w:num>
  <w:num w:numId="240">
    <w:abstractNumId w:val="276"/>
  </w:num>
  <w:num w:numId="241">
    <w:abstractNumId w:val="16"/>
  </w:num>
  <w:num w:numId="242">
    <w:abstractNumId w:val="17"/>
  </w:num>
  <w:num w:numId="243">
    <w:abstractNumId w:val="15"/>
  </w:num>
  <w:num w:numId="244">
    <w:abstractNumId w:val="377"/>
  </w:num>
  <w:num w:numId="245">
    <w:abstractNumId w:val="19"/>
  </w:num>
  <w:num w:numId="246">
    <w:abstractNumId w:val="5"/>
  </w:num>
  <w:num w:numId="247">
    <w:abstractNumId w:val="2"/>
  </w:num>
  <w:num w:numId="248">
    <w:abstractNumId w:val="320"/>
  </w:num>
  <w:num w:numId="249">
    <w:abstractNumId w:val="18"/>
  </w:num>
  <w:num w:numId="250">
    <w:abstractNumId w:val="79"/>
  </w:num>
  <w:num w:numId="251">
    <w:abstractNumId w:val="70"/>
  </w:num>
  <w:num w:numId="252">
    <w:abstractNumId w:val="242"/>
  </w:num>
  <w:num w:numId="253">
    <w:abstractNumId w:val="226"/>
  </w:num>
  <w:num w:numId="254">
    <w:abstractNumId w:val="299"/>
  </w:num>
  <w:num w:numId="255">
    <w:abstractNumId w:val="326"/>
  </w:num>
  <w:num w:numId="256">
    <w:abstractNumId w:val="374"/>
  </w:num>
  <w:num w:numId="257">
    <w:abstractNumId w:val="198"/>
  </w:num>
  <w:num w:numId="258">
    <w:abstractNumId w:val="201"/>
  </w:num>
  <w:num w:numId="259">
    <w:abstractNumId w:val="119"/>
  </w:num>
  <w:num w:numId="260">
    <w:abstractNumId w:val="235"/>
  </w:num>
  <w:num w:numId="261">
    <w:abstractNumId w:val="243"/>
  </w:num>
  <w:num w:numId="262">
    <w:abstractNumId w:val="157"/>
  </w:num>
  <w:num w:numId="263">
    <w:abstractNumId w:val="107"/>
  </w:num>
  <w:num w:numId="264">
    <w:abstractNumId w:val="48"/>
  </w:num>
  <w:num w:numId="265">
    <w:abstractNumId w:val="283"/>
  </w:num>
  <w:num w:numId="266">
    <w:abstractNumId w:val="358"/>
  </w:num>
  <w:num w:numId="267">
    <w:abstractNumId w:val="126"/>
  </w:num>
  <w:num w:numId="268">
    <w:abstractNumId w:val="191"/>
  </w:num>
  <w:num w:numId="269">
    <w:abstractNumId w:val="182"/>
  </w:num>
  <w:num w:numId="270">
    <w:abstractNumId w:val="193"/>
  </w:num>
  <w:num w:numId="271">
    <w:abstractNumId w:val="141"/>
  </w:num>
  <w:num w:numId="272">
    <w:abstractNumId w:val="380"/>
  </w:num>
  <w:num w:numId="273">
    <w:abstractNumId w:val="154"/>
  </w:num>
  <w:num w:numId="274">
    <w:abstractNumId w:val="236"/>
  </w:num>
  <w:num w:numId="275">
    <w:abstractNumId w:val="294"/>
  </w:num>
  <w:num w:numId="276">
    <w:abstractNumId w:val="92"/>
  </w:num>
  <w:num w:numId="277">
    <w:abstractNumId w:val="99"/>
  </w:num>
  <w:num w:numId="278">
    <w:abstractNumId w:val="370"/>
  </w:num>
  <w:num w:numId="279">
    <w:abstractNumId w:val="305"/>
  </w:num>
  <w:num w:numId="280">
    <w:abstractNumId w:val="359"/>
  </w:num>
  <w:num w:numId="281">
    <w:abstractNumId w:val="168"/>
  </w:num>
  <w:num w:numId="282">
    <w:abstractNumId w:val="179"/>
  </w:num>
  <w:num w:numId="283">
    <w:abstractNumId w:val="26"/>
  </w:num>
  <w:num w:numId="284">
    <w:abstractNumId w:val="345"/>
  </w:num>
  <w:num w:numId="285">
    <w:abstractNumId w:val="176"/>
  </w:num>
  <w:num w:numId="286">
    <w:abstractNumId w:val="131"/>
  </w:num>
  <w:num w:numId="287">
    <w:abstractNumId w:val="331"/>
  </w:num>
  <w:num w:numId="288">
    <w:abstractNumId w:val="297"/>
  </w:num>
  <w:num w:numId="289">
    <w:abstractNumId w:val="91"/>
  </w:num>
  <w:num w:numId="290">
    <w:abstractNumId w:val="60"/>
  </w:num>
  <w:num w:numId="291">
    <w:abstractNumId w:val="32"/>
  </w:num>
  <w:num w:numId="292">
    <w:abstractNumId w:val="133"/>
  </w:num>
  <w:num w:numId="293">
    <w:abstractNumId w:val="30"/>
  </w:num>
  <w:num w:numId="294">
    <w:abstractNumId w:val="136"/>
  </w:num>
  <w:num w:numId="295">
    <w:abstractNumId w:val="49"/>
  </w:num>
  <w:num w:numId="296">
    <w:abstractNumId w:val="248"/>
  </w:num>
  <w:num w:numId="297">
    <w:abstractNumId w:val="35"/>
  </w:num>
  <w:num w:numId="298">
    <w:abstractNumId w:val="24"/>
  </w:num>
  <w:num w:numId="299">
    <w:abstractNumId w:val="263"/>
  </w:num>
  <w:num w:numId="300">
    <w:abstractNumId w:val="256"/>
  </w:num>
  <w:num w:numId="301">
    <w:abstractNumId w:val="372"/>
  </w:num>
  <w:num w:numId="302">
    <w:abstractNumId w:val="315"/>
  </w:num>
  <w:num w:numId="303">
    <w:abstractNumId w:val="33"/>
  </w:num>
  <w:num w:numId="304">
    <w:abstractNumId w:val="223"/>
  </w:num>
  <w:num w:numId="305">
    <w:abstractNumId w:val="28"/>
  </w:num>
  <w:num w:numId="306">
    <w:abstractNumId w:val="249"/>
  </w:num>
  <w:num w:numId="307">
    <w:abstractNumId w:val="246"/>
  </w:num>
  <w:num w:numId="308">
    <w:abstractNumId w:val="229"/>
  </w:num>
  <w:num w:numId="309">
    <w:abstractNumId w:val="160"/>
  </w:num>
  <w:num w:numId="310">
    <w:abstractNumId w:val="111"/>
  </w:num>
  <w:num w:numId="311">
    <w:abstractNumId w:val="234"/>
  </w:num>
  <w:num w:numId="312">
    <w:abstractNumId w:val="287"/>
  </w:num>
  <w:num w:numId="313">
    <w:abstractNumId w:val="171"/>
  </w:num>
  <w:num w:numId="314">
    <w:abstractNumId w:val="228"/>
  </w:num>
  <w:num w:numId="315">
    <w:abstractNumId w:val="275"/>
  </w:num>
  <w:num w:numId="316">
    <w:abstractNumId w:val="334"/>
  </w:num>
  <w:num w:numId="317">
    <w:abstractNumId w:val="146"/>
  </w:num>
  <w:num w:numId="318">
    <w:abstractNumId w:val="343"/>
  </w:num>
  <w:num w:numId="319">
    <w:abstractNumId w:val="312"/>
  </w:num>
  <w:num w:numId="320">
    <w:abstractNumId w:val="98"/>
  </w:num>
  <w:num w:numId="321">
    <w:abstractNumId w:val="78"/>
  </w:num>
  <w:num w:numId="322">
    <w:abstractNumId w:val="73"/>
  </w:num>
  <w:num w:numId="323">
    <w:abstractNumId w:val="166"/>
  </w:num>
  <w:num w:numId="324">
    <w:abstractNumId w:val="23"/>
  </w:num>
  <w:num w:numId="325">
    <w:abstractNumId w:val="266"/>
  </w:num>
  <w:num w:numId="326">
    <w:abstractNumId w:val="163"/>
  </w:num>
  <w:num w:numId="327">
    <w:abstractNumId w:val="313"/>
  </w:num>
  <w:num w:numId="328">
    <w:abstractNumId w:val="300"/>
  </w:num>
  <w:num w:numId="329">
    <w:abstractNumId w:val="121"/>
  </w:num>
  <w:num w:numId="330">
    <w:abstractNumId w:val="174"/>
  </w:num>
  <w:num w:numId="331">
    <w:abstractNumId w:val="306"/>
  </w:num>
  <w:num w:numId="332">
    <w:abstractNumId w:val="165"/>
  </w:num>
  <w:num w:numId="333">
    <w:abstractNumId w:val="180"/>
  </w:num>
  <w:num w:numId="334">
    <w:abstractNumId w:val="325"/>
  </w:num>
  <w:num w:numId="335">
    <w:abstractNumId w:val="328"/>
  </w:num>
  <w:num w:numId="336">
    <w:abstractNumId w:val="97"/>
  </w:num>
  <w:num w:numId="337">
    <w:abstractNumId w:val="347"/>
  </w:num>
  <w:num w:numId="338">
    <w:abstractNumId w:val="233"/>
  </w:num>
  <w:num w:numId="339">
    <w:abstractNumId w:val="295"/>
  </w:num>
  <w:num w:numId="340">
    <w:abstractNumId w:val="158"/>
  </w:num>
  <w:num w:numId="341">
    <w:abstractNumId w:val="365"/>
  </w:num>
  <w:num w:numId="342">
    <w:abstractNumId w:val="152"/>
  </w:num>
  <w:num w:numId="343">
    <w:abstractNumId w:val="155"/>
  </w:num>
  <w:num w:numId="344">
    <w:abstractNumId w:val="285"/>
  </w:num>
  <w:num w:numId="345">
    <w:abstractNumId w:val="45"/>
  </w:num>
  <w:num w:numId="346">
    <w:abstractNumId w:val="153"/>
  </w:num>
  <w:num w:numId="347">
    <w:abstractNumId w:val="68"/>
  </w:num>
  <w:num w:numId="348">
    <w:abstractNumId w:val="36"/>
  </w:num>
  <w:num w:numId="349">
    <w:abstractNumId w:val="62"/>
  </w:num>
  <w:num w:numId="350">
    <w:abstractNumId w:val="87"/>
  </w:num>
  <w:num w:numId="351">
    <w:abstractNumId w:val="298"/>
  </w:num>
  <w:num w:numId="352">
    <w:abstractNumId w:val="46"/>
  </w:num>
  <w:num w:numId="353">
    <w:abstractNumId w:val="84"/>
  </w:num>
  <w:num w:numId="354">
    <w:abstractNumId w:val="274"/>
  </w:num>
  <w:num w:numId="355">
    <w:abstractNumId w:val="110"/>
  </w:num>
  <w:num w:numId="356">
    <w:abstractNumId w:val="55"/>
  </w:num>
  <w:num w:numId="357">
    <w:abstractNumId w:val="64"/>
  </w:num>
  <w:num w:numId="358">
    <w:abstractNumId w:val="11"/>
  </w:num>
  <w:num w:numId="359">
    <w:abstractNumId w:val="113"/>
  </w:num>
  <w:num w:numId="360">
    <w:abstractNumId w:val="368"/>
  </w:num>
  <w:num w:numId="361">
    <w:abstractNumId w:val="108"/>
  </w:num>
  <w:num w:numId="362">
    <w:abstractNumId w:val="6"/>
  </w:num>
  <w:num w:numId="363">
    <w:abstractNumId w:val="101"/>
  </w:num>
  <w:num w:numId="364">
    <w:abstractNumId w:val="252"/>
  </w:num>
  <w:num w:numId="365">
    <w:abstractNumId w:val="335"/>
  </w:num>
  <w:num w:numId="366">
    <w:abstractNumId w:val="162"/>
  </w:num>
  <w:num w:numId="367">
    <w:abstractNumId w:val="135"/>
  </w:num>
  <w:num w:numId="368">
    <w:abstractNumId w:val="278"/>
  </w:num>
  <w:num w:numId="369">
    <w:abstractNumId w:val="186"/>
  </w:num>
  <w:num w:numId="370">
    <w:abstractNumId w:val="207"/>
  </w:num>
  <w:num w:numId="371">
    <w:abstractNumId w:val="212"/>
  </w:num>
  <w:num w:numId="372">
    <w:abstractNumId w:val="327"/>
  </w:num>
  <w:num w:numId="373">
    <w:abstractNumId w:val="130"/>
  </w:num>
  <w:num w:numId="374">
    <w:abstractNumId w:val="221"/>
  </w:num>
  <w:num w:numId="375">
    <w:abstractNumId w:val="240"/>
  </w:num>
  <w:num w:numId="376">
    <w:abstractNumId w:val="341"/>
  </w:num>
  <w:num w:numId="377">
    <w:abstractNumId w:val="143"/>
  </w:num>
  <w:num w:numId="378">
    <w:abstractNumId w:val="112"/>
  </w:num>
  <w:num w:numId="379">
    <w:abstractNumId w:val="195"/>
  </w:num>
  <w:num w:numId="380">
    <w:abstractNumId w:val="56"/>
  </w:num>
  <w:num w:numId="381">
    <w:abstractNumId w:val="41"/>
  </w:num>
  <w:num w:numId="382">
    <w:abstractNumId w:val="25"/>
  </w:num>
  <w:numIdMacAtCleanup w:val="3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ru-RU"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doNotTrackFormatting/>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C69"/>
    <w:rsid w:val="00000166"/>
    <w:rsid w:val="00000562"/>
    <w:rsid w:val="00000F4F"/>
    <w:rsid w:val="000013C0"/>
    <w:rsid w:val="00001E84"/>
    <w:rsid w:val="00002224"/>
    <w:rsid w:val="0000296D"/>
    <w:rsid w:val="00003BC4"/>
    <w:rsid w:val="00005188"/>
    <w:rsid w:val="0000570D"/>
    <w:rsid w:val="00007194"/>
    <w:rsid w:val="000076D6"/>
    <w:rsid w:val="00007A1F"/>
    <w:rsid w:val="00007E68"/>
    <w:rsid w:val="000100C1"/>
    <w:rsid w:val="00011A0F"/>
    <w:rsid w:val="00011BF9"/>
    <w:rsid w:val="000120B9"/>
    <w:rsid w:val="0001277F"/>
    <w:rsid w:val="00013210"/>
    <w:rsid w:val="00013F6D"/>
    <w:rsid w:val="0001483B"/>
    <w:rsid w:val="00014E4E"/>
    <w:rsid w:val="00015105"/>
    <w:rsid w:val="00015745"/>
    <w:rsid w:val="00015DC2"/>
    <w:rsid w:val="0001608F"/>
    <w:rsid w:val="000170D6"/>
    <w:rsid w:val="00017F64"/>
    <w:rsid w:val="00020041"/>
    <w:rsid w:val="00020BD3"/>
    <w:rsid w:val="00021DC3"/>
    <w:rsid w:val="00022014"/>
    <w:rsid w:val="00022B90"/>
    <w:rsid w:val="0002332F"/>
    <w:rsid w:val="0002345C"/>
    <w:rsid w:val="00023CD2"/>
    <w:rsid w:val="00024012"/>
    <w:rsid w:val="00024F09"/>
    <w:rsid w:val="00025CB5"/>
    <w:rsid w:val="00025E1C"/>
    <w:rsid w:val="0002695C"/>
    <w:rsid w:val="000272EF"/>
    <w:rsid w:val="00027928"/>
    <w:rsid w:val="00027DD2"/>
    <w:rsid w:val="00027F2A"/>
    <w:rsid w:val="00027F3E"/>
    <w:rsid w:val="0003011D"/>
    <w:rsid w:val="00030600"/>
    <w:rsid w:val="00031A6D"/>
    <w:rsid w:val="00031C07"/>
    <w:rsid w:val="00032038"/>
    <w:rsid w:val="00032063"/>
    <w:rsid w:val="000321C3"/>
    <w:rsid w:val="0003283F"/>
    <w:rsid w:val="00032C6A"/>
    <w:rsid w:val="00032C90"/>
    <w:rsid w:val="00032F91"/>
    <w:rsid w:val="0003328D"/>
    <w:rsid w:val="00033A20"/>
    <w:rsid w:val="0003429F"/>
    <w:rsid w:val="00034545"/>
    <w:rsid w:val="00034662"/>
    <w:rsid w:val="00034A1E"/>
    <w:rsid w:val="00035031"/>
    <w:rsid w:val="00035DB6"/>
    <w:rsid w:val="00036701"/>
    <w:rsid w:val="00036C6D"/>
    <w:rsid w:val="00036C9B"/>
    <w:rsid w:val="000375F2"/>
    <w:rsid w:val="00037936"/>
    <w:rsid w:val="00037DBB"/>
    <w:rsid w:val="00040855"/>
    <w:rsid w:val="00040AE4"/>
    <w:rsid w:val="00040B54"/>
    <w:rsid w:val="0004185E"/>
    <w:rsid w:val="00042071"/>
    <w:rsid w:val="00042544"/>
    <w:rsid w:val="00042F89"/>
    <w:rsid w:val="000434C7"/>
    <w:rsid w:val="000434DC"/>
    <w:rsid w:val="00043B29"/>
    <w:rsid w:val="00043C85"/>
    <w:rsid w:val="0004528E"/>
    <w:rsid w:val="00046572"/>
    <w:rsid w:val="000474CA"/>
    <w:rsid w:val="00047C0B"/>
    <w:rsid w:val="00050136"/>
    <w:rsid w:val="00050550"/>
    <w:rsid w:val="00050DE3"/>
    <w:rsid w:val="00050F79"/>
    <w:rsid w:val="0005146F"/>
    <w:rsid w:val="000515B3"/>
    <w:rsid w:val="00051B49"/>
    <w:rsid w:val="00051ED7"/>
    <w:rsid w:val="00052293"/>
    <w:rsid w:val="0005292D"/>
    <w:rsid w:val="0005335A"/>
    <w:rsid w:val="00053650"/>
    <w:rsid w:val="0005369A"/>
    <w:rsid w:val="000536D6"/>
    <w:rsid w:val="00053AD8"/>
    <w:rsid w:val="00053FF0"/>
    <w:rsid w:val="00054F89"/>
    <w:rsid w:val="0005521C"/>
    <w:rsid w:val="000552BA"/>
    <w:rsid w:val="000556EC"/>
    <w:rsid w:val="00055C39"/>
    <w:rsid w:val="00055CDA"/>
    <w:rsid w:val="00056079"/>
    <w:rsid w:val="0005635A"/>
    <w:rsid w:val="0005674F"/>
    <w:rsid w:val="000568DF"/>
    <w:rsid w:val="00056AA5"/>
    <w:rsid w:val="00056C0D"/>
    <w:rsid w:val="00056EA2"/>
    <w:rsid w:val="000571C6"/>
    <w:rsid w:val="00057AB7"/>
    <w:rsid w:val="000600A2"/>
    <w:rsid w:val="000602BD"/>
    <w:rsid w:val="0006045D"/>
    <w:rsid w:val="0006051E"/>
    <w:rsid w:val="00060D40"/>
    <w:rsid w:val="000610F9"/>
    <w:rsid w:val="00061593"/>
    <w:rsid w:val="00061996"/>
    <w:rsid w:val="000622E2"/>
    <w:rsid w:val="00062A32"/>
    <w:rsid w:val="00062BFC"/>
    <w:rsid w:val="00062E6B"/>
    <w:rsid w:val="000637F4"/>
    <w:rsid w:val="00063F0D"/>
    <w:rsid w:val="00064426"/>
    <w:rsid w:val="00064F11"/>
    <w:rsid w:val="00065CDD"/>
    <w:rsid w:val="000662D1"/>
    <w:rsid w:val="0006735C"/>
    <w:rsid w:val="0006741F"/>
    <w:rsid w:val="00067E3D"/>
    <w:rsid w:val="00067FD5"/>
    <w:rsid w:val="0007041B"/>
    <w:rsid w:val="0007137E"/>
    <w:rsid w:val="00071437"/>
    <w:rsid w:val="00071FC2"/>
    <w:rsid w:val="000728A2"/>
    <w:rsid w:val="000728FD"/>
    <w:rsid w:val="00072EE3"/>
    <w:rsid w:val="000736AE"/>
    <w:rsid w:val="0007371F"/>
    <w:rsid w:val="00073B7C"/>
    <w:rsid w:val="00074508"/>
    <w:rsid w:val="00074ACF"/>
    <w:rsid w:val="00075680"/>
    <w:rsid w:val="00075CEB"/>
    <w:rsid w:val="00076040"/>
    <w:rsid w:val="00076309"/>
    <w:rsid w:val="00076974"/>
    <w:rsid w:val="0007714C"/>
    <w:rsid w:val="0007721F"/>
    <w:rsid w:val="000773CE"/>
    <w:rsid w:val="0007797F"/>
    <w:rsid w:val="00077ABC"/>
    <w:rsid w:val="0008029D"/>
    <w:rsid w:val="000804D7"/>
    <w:rsid w:val="000808E1"/>
    <w:rsid w:val="00080E68"/>
    <w:rsid w:val="00080E69"/>
    <w:rsid w:val="00080E75"/>
    <w:rsid w:val="00080EE7"/>
    <w:rsid w:val="000815C2"/>
    <w:rsid w:val="00083C14"/>
    <w:rsid w:val="00084443"/>
    <w:rsid w:val="0008450D"/>
    <w:rsid w:val="000847F6"/>
    <w:rsid w:val="00084C2B"/>
    <w:rsid w:val="0008540D"/>
    <w:rsid w:val="000858BA"/>
    <w:rsid w:val="00086770"/>
    <w:rsid w:val="00086D3F"/>
    <w:rsid w:val="0008713B"/>
    <w:rsid w:val="00087A0C"/>
    <w:rsid w:val="00090259"/>
    <w:rsid w:val="000909EA"/>
    <w:rsid w:val="00090A62"/>
    <w:rsid w:val="00090AFA"/>
    <w:rsid w:val="00090DDB"/>
    <w:rsid w:val="00090EDD"/>
    <w:rsid w:val="000913D4"/>
    <w:rsid w:val="000916C5"/>
    <w:rsid w:val="00091A37"/>
    <w:rsid w:val="000925B2"/>
    <w:rsid w:val="00093B77"/>
    <w:rsid w:val="00093C49"/>
    <w:rsid w:val="0009463D"/>
    <w:rsid w:val="000947AA"/>
    <w:rsid w:val="00094CAA"/>
    <w:rsid w:val="00094F15"/>
    <w:rsid w:val="000957F8"/>
    <w:rsid w:val="000959A8"/>
    <w:rsid w:val="000963E9"/>
    <w:rsid w:val="00096850"/>
    <w:rsid w:val="00096B70"/>
    <w:rsid w:val="000978A6"/>
    <w:rsid w:val="00097915"/>
    <w:rsid w:val="00097B27"/>
    <w:rsid w:val="000A070E"/>
    <w:rsid w:val="000A10E8"/>
    <w:rsid w:val="000A1542"/>
    <w:rsid w:val="000A2B61"/>
    <w:rsid w:val="000A2BA3"/>
    <w:rsid w:val="000A2D65"/>
    <w:rsid w:val="000A39ED"/>
    <w:rsid w:val="000A3D21"/>
    <w:rsid w:val="000A3E21"/>
    <w:rsid w:val="000A4468"/>
    <w:rsid w:val="000A4602"/>
    <w:rsid w:val="000A4D28"/>
    <w:rsid w:val="000A5243"/>
    <w:rsid w:val="000A556B"/>
    <w:rsid w:val="000A56B9"/>
    <w:rsid w:val="000A6222"/>
    <w:rsid w:val="000A62E0"/>
    <w:rsid w:val="000A6E9F"/>
    <w:rsid w:val="000B0292"/>
    <w:rsid w:val="000B0606"/>
    <w:rsid w:val="000B06D2"/>
    <w:rsid w:val="000B0AAB"/>
    <w:rsid w:val="000B105C"/>
    <w:rsid w:val="000B1C4E"/>
    <w:rsid w:val="000B1C6B"/>
    <w:rsid w:val="000B1CB1"/>
    <w:rsid w:val="000B2EC5"/>
    <w:rsid w:val="000B3638"/>
    <w:rsid w:val="000B3C2B"/>
    <w:rsid w:val="000B4277"/>
    <w:rsid w:val="000B43CE"/>
    <w:rsid w:val="000B5943"/>
    <w:rsid w:val="000B60DA"/>
    <w:rsid w:val="000B639E"/>
    <w:rsid w:val="000B66DE"/>
    <w:rsid w:val="000B67CE"/>
    <w:rsid w:val="000B6C3B"/>
    <w:rsid w:val="000B771D"/>
    <w:rsid w:val="000B7BB3"/>
    <w:rsid w:val="000C0E1A"/>
    <w:rsid w:val="000C0F61"/>
    <w:rsid w:val="000C10CD"/>
    <w:rsid w:val="000C1949"/>
    <w:rsid w:val="000C1EBD"/>
    <w:rsid w:val="000C22AF"/>
    <w:rsid w:val="000C2AEB"/>
    <w:rsid w:val="000C2E34"/>
    <w:rsid w:val="000C3443"/>
    <w:rsid w:val="000C3856"/>
    <w:rsid w:val="000C38F6"/>
    <w:rsid w:val="000C4116"/>
    <w:rsid w:val="000C55F2"/>
    <w:rsid w:val="000C6288"/>
    <w:rsid w:val="000C69E0"/>
    <w:rsid w:val="000C718C"/>
    <w:rsid w:val="000C7CF6"/>
    <w:rsid w:val="000D005E"/>
    <w:rsid w:val="000D0B50"/>
    <w:rsid w:val="000D0BFA"/>
    <w:rsid w:val="000D0CBA"/>
    <w:rsid w:val="000D0ED0"/>
    <w:rsid w:val="000D1194"/>
    <w:rsid w:val="000D26E9"/>
    <w:rsid w:val="000D31FB"/>
    <w:rsid w:val="000D3EBA"/>
    <w:rsid w:val="000D3F43"/>
    <w:rsid w:val="000D408B"/>
    <w:rsid w:val="000D42E9"/>
    <w:rsid w:val="000D50BA"/>
    <w:rsid w:val="000D543F"/>
    <w:rsid w:val="000D5815"/>
    <w:rsid w:val="000D611C"/>
    <w:rsid w:val="000D65CA"/>
    <w:rsid w:val="000E0571"/>
    <w:rsid w:val="000E0F08"/>
    <w:rsid w:val="000E14F4"/>
    <w:rsid w:val="000E1721"/>
    <w:rsid w:val="000E177A"/>
    <w:rsid w:val="000E1D32"/>
    <w:rsid w:val="000E1E3E"/>
    <w:rsid w:val="000E3934"/>
    <w:rsid w:val="000E3B3B"/>
    <w:rsid w:val="000E3F98"/>
    <w:rsid w:val="000E3FEF"/>
    <w:rsid w:val="000E42E3"/>
    <w:rsid w:val="000E4391"/>
    <w:rsid w:val="000E46A9"/>
    <w:rsid w:val="000E5738"/>
    <w:rsid w:val="000E61D0"/>
    <w:rsid w:val="000E7483"/>
    <w:rsid w:val="000E761A"/>
    <w:rsid w:val="000E769F"/>
    <w:rsid w:val="000E7866"/>
    <w:rsid w:val="000F12D6"/>
    <w:rsid w:val="000F1A11"/>
    <w:rsid w:val="000F2488"/>
    <w:rsid w:val="000F365E"/>
    <w:rsid w:val="000F3E56"/>
    <w:rsid w:val="000F3EDC"/>
    <w:rsid w:val="000F45B0"/>
    <w:rsid w:val="000F4A04"/>
    <w:rsid w:val="000F4DB8"/>
    <w:rsid w:val="000F54B3"/>
    <w:rsid w:val="000F5C18"/>
    <w:rsid w:val="000F688B"/>
    <w:rsid w:val="000F69EB"/>
    <w:rsid w:val="000F6CC6"/>
    <w:rsid w:val="000F6F0D"/>
    <w:rsid w:val="000F775F"/>
    <w:rsid w:val="000F780A"/>
    <w:rsid w:val="000F7BF9"/>
    <w:rsid w:val="00101BAC"/>
    <w:rsid w:val="00101C7C"/>
    <w:rsid w:val="00101E79"/>
    <w:rsid w:val="0010203C"/>
    <w:rsid w:val="001027AD"/>
    <w:rsid w:val="00102EC8"/>
    <w:rsid w:val="00103955"/>
    <w:rsid w:val="00103CDA"/>
    <w:rsid w:val="00103E51"/>
    <w:rsid w:val="001040F3"/>
    <w:rsid w:val="001042E1"/>
    <w:rsid w:val="0010563E"/>
    <w:rsid w:val="0010570F"/>
    <w:rsid w:val="0010589D"/>
    <w:rsid w:val="001059B4"/>
    <w:rsid w:val="00106009"/>
    <w:rsid w:val="001068C9"/>
    <w:rsid w:val="00107F41"/>
    <w:rsid w:val="00110943"/>
    <w:rsid w:val="00110A33"/>
    <w:rsid w:val="00110C21"/>
    <w:rsid w:val="00110CF8"/>
    <w:rsid w:val="00111065"/>
    <w:rsid w:val="0011138B"/>
    <w:rsid w:val="001114CA"/>
    <w:rsid w:val="0011176D"/>
    <w:rsid w:val="00111855"/>
    <w:rsid w:val="0011243E"/>
    <w:rsid w:val="0011295C"/>
    <w:rsid w:val="001129D4"/>
    <w:rsid w:val="00114747"/>
    <w:rsid w:val="00114C0C"/>
    <w:rsid w:val="001151C9"/>
    <w:rsid w:val="00115712"/>
    <w:rsid w:val="00116D51"/>
    <w:rsid w:val="00120752"/>
    <w:rsid w:val="00121119"/>
    <w:rsid w:val="001215BA"/>
    <w:rsid w:val="00121961"/>
    <w:rsid w:val="00121969"/>
    <w:rsid w:val="0012239E"/>
    <w:rsid w:val="001235B3"/>
    <w:rsid w:val="0012372A"/>
    <w:rsid w:val="00123AF1"/>
    <w:rsid w:val="00123C7D"/>
    <w:rsid w:val="00124457"/>
    <w:rsid w:val="001252D3"/>
    <w:rsid w:val="00125BB7"/>
    <w:rsid w:val="001263E2"/>
    <w:rsid w:val="00126DFF"/>
    <w:rsid w:val="001273EE"/>
    <w:rsid w:val="00127CC9"/>
    <w:rsid w:val="0013052A"/>
    <w:rsid w:val="00130C5C"/>
    <w:rsid w:val="00130C68"/>
    <w:rsid w:val="00131212"/>
    <w:rsid w:val="00131BFF"/>
    <w:rsid w:val="00132723"/>
    <w:rsid w:val="00132853"/>
    <w:rsid w:val="00132F85"/>
    <w:rsid w:val="00133981"/>
    <w:rsid w:val="00133B16"/>
    <w:rsid w:val="0013433C"/>
    <w:rsid w:val="001343B4"/>
    <w:rsid w:val="001345DB"/>
    <w:rsid w:val="0013483F"/>
    <w:rsid w:val="00134867"/>
    <w:rsid w:val="00134EF0"/>
    <w:rsid w:val="001352DD"/>
    <w:rsid w:val="0013537B"/>
    <w:rsid w:val="00135D2D"/>
    <w:rsid w:val="00135E5F"/>
    <w:rsid w:val="001363B6"/>
    <w:rsid w:val="0013670D"/>
    <w:rsid w:val="00136C68"/>
    <w:rsid w:val="001373F7"/>
    <w:rsid w:val="00137BFC"/>
    <w:rsid w:val="00140419"/>
    <w:rsid w:val="0014051E"/>
    <w:rsid w:val="00140A68"/>
    <w:rsid w:val="001415E7"/>
    <w:rsid w:val="001424AC"/>
    <w:rsid w:val="001426DC"/>
    <w:rsid w:val="00142F6D"/>
    <w:rsid w:val="0014323F"/>
    <w:rsid w:val="00143500"/>
    <w:rsid w:val="00143652"/>
    <w:rsid w:val="001439F6"/>
    <w:rsid w:val="00144076"/>
    <w:rsid w:val="001440EF"/>
    <w:rsid w:val="00144A73"/>
    <w:rsid w:val="00144B9C"/>
    <w:rsid w:val="0014580F"/>
    <w:rsid w:val="001459B8"/>
    <w:rsid w:val="00146131"/>
    <w:rsid w:val="001465F9"/>
    <w:rsid w:val="0014689D"/>
    <w:rsid w:val="0014745E"/>
    <w:rsid w:val="0014751B"/>
    <w:rsid w:val="00150432"/>
    <w:rsid w:val="00150595"/>
    <w:rsid w:val="0015092A"/>
    <w:rsid w:val="00150B00"/>
    <w:rsid w:val="00150CA4"/>
    <w:rsid w:val="0015137E"/>
    <w:rsid w:val="00151B9B"/>
    <w:rsid w:val="00151E7D"/>
    <w:rsid w:val="00151F8C"/>
    <w:rsid w:val="0015244E"/>
    <w:rsid w:val="00152B3A"/>
    <w:rsid w:val="001531A0"/>
    <w:rsid w:val="00153553"/>
    <w:rsid w:val="0015368E"/>
    <w:rsid w:val="0015369E"/>
    <w:rsid w:val="00153784"/>
    <w:rsid w:val="00153B22"/>
    <w:rsid w:val="00153CE8"/>
    <w:rsid w:val="0015446E"/>
    <w:rsid w:val="00155538"/>
    <w:rsid w:val="0015565A"/>
    <w:rsid w:val="0015566F"/>
    <w:rsid w:val="0015568A"/>
    <w:rsid w:val="00155E6D"/>
    <w:rsid w:val="001563F5"/>
    <w:rsid w:val="001566E5"/>
    <w:rsid w:val="001571BC"/>
    <w:rsid w:val="001577EC"/>
    <w:rsid w:val="0016010B"/>
    <w:rsid w:val="00160251"/>
    <w:rsid w:val="00160505"/>
    <w:rsid w:val="00160525"/>
    <w:rsid w:val="001605E0"/>
    <w:rsid w:val="001609F5"/>
    <w:rsid w:val="00160A9F"/>
    <w:rsid w:val="00160B3F"/>
    <w:rsid w:val="00160DB8"/>
    <w:rsid w:val="0016170E"/>
    <w:rsid w:val="00161BC5"/>
    <w:rsid w:val="00161ED3"/>
    <w:rsid w:val="00162CD7"/>
    <w:rsid w:val="0016347B"/>
    <w:rsid w:val="0016350F"/>
    <w:rsid w:val="0016412B"/>
    <w:rsid w:val="00164679"/>
    <w:rsid w:val="0016493B"/>
    <w:rsid w:val="00164AE3"/>
    <w:rsid w:val="00165448"/>
    <w:rsid w:val="00165577"/>
    <w:rsid w:val="00165E2D"/>
    <w:rsid w:val="001663B8"/>
    <w:rsid w:val="00166967"/>
    <w:rsid w:val="00167279"/>
    <w:rsid w:val="00170224"/>
    <w:rsid w:val="0017025B"/>
    <w:rsid w:val="00170A2A"/>
    <w:rsid w:val="00170EE6"/>
    <w:rsid w:val="00171E69"/>
    <w:rsid w:val="00171F9B"/>
    <w:rsid w:val="001720BF"/>
    <w:rsid w:val="001724FC"/>
    <w:rsid w:val="0017263A"/>
    <w:rsid w:val="00172796"/>
    <w:rsid w:val="00172901"/>
    <w:rsid w:val="00172B42"/>
    <w:rsid w:val="00172C8C"/>
    <w:rsid w:val="00172CC8"/>
    <w:rsid w:val="00172EFF"/>
    <w:rsid w:val="001737F5"/>
    <w:rsid w:val="00173ADC"/>
    <w:rsid w:val="0017657D"/>
    <w:rsid w:val="00176C28"/>
    <w:rsid w:val="00176D5D"/>
    <w:rsid w:val="00176FAE"/>
    <w:rsid w:val="00177013"/>
    <w:rsid w:val="0017751B"/>
    <w:rsid w:val="0017758A"/>
    <w:rsid w:val="00177835"/>
    <w:rsid w:val="001778F6"/>
    <w:rsid w:val="0018050E"/>
    <w:rsid w:val="00180C81"/>
    <w:rsid w:val="001811D1"/>
    <w:rsid w:val="00181717"/>
    <w:rsid w:val="001817A6"/>
    <w:rsid w:val="00181949"/>
    <w:rsid w:val="00182389"/>
    <w:rsid w:val="0018259B"/>
    <w:rsid w:val="001826A1"/>
    <w:rsid w:val="00182727"/>
    <w:rsid w:val="0018382B"/>
    <w:rsid w:val="00183854"/>
    <w:rsid w:val="0018398D"/>
    <w:rsid w:val="00184ACB"/>
    <w:rsid w:val="00184FB2"/>
    <w:rsid w:val="00186436"/>
    <w:rsid w:val="001865BC"/>
    <w:rsid w:val="00187548"/>
    <w:rsid w:val="00187A6E"/>
    <w:rsid w:val="00187CB1"/>
    <w:rsid w:val="001901DE"/>
    <w:rsid w:val="00190A35"/>
    <w:rsid w:val="00190BB4"/>
    <w:rsid w:val="0019171C"/>
    <w:rsid w:val="00191772"/>
    <w:rsid w:val="00191F11"/>
    <w:rsid w:val="00192F95"/>
    <w:rsid w:val="00193124"/>
    <w:rsid w:val="00193137"/>
    <w:rsid w:val="001938A9"/>
    <w:rsid w:val="00193DA2"/>
    <w:rsid w:val="00195213"/>
    <w:rsid w:val="00195DC9"/>
    <w:rsid w:val="0019694C"/>
    <w:rsid w:val="00196FA3"/>
    <w:rsid w:val="0019701A"/>
    <w:rsid w:val="00197837"/>
    <w:rsid w:val="001978A7"/>
    <w:rsid w:val="00197EAA"/>
    <w:rsid w:val="001A0647"/>
    <w:rsid w:val="001A100B"/>
    <w:rsid w:val="001A26EF"/>
    <w:rsid w:val="001A2739"/>
    <w:rsid w:val="001A2899"/>
    <w:rsid w:val="001A29AA"/>
    <w:rsid w:val="001A4253"/>
    <w:rsid w:val="001A4559"/>
    <w:rsid w:val="001A4745"/>
    <w:rsid w:val="001A4966"/>
    <w:rsid w:val="001A51FB"/>
    <w:rsid w:val="001A52BB"/>
    <w:rsid w:val="001A5409"/>
    <w:rsid w:val="001A54F1"/>
    <w:rsid w:val="001A5C87"/>
    <w:rsid w:val="001A623D"/>
    <w:rsid w:val="001A6D3B"/>
    <w:rsid w:val="001A6D80"/>
    <w:rsid w:val="001A7D8F"/>
    <w:rsid w:val="001B021E"/>
    <w:rsid w:val="001B022F"/>
    <w:rsid w:val="001B0660"/>
    <w:rsid w:val="001B0977"/>
    <w:rsid w:val="001B1240"/>
    <w:rsid w:val="001B3714"/>
    <w:rsid w:val="001B3AD8"/>
    <w:rsid w:val="001B48B9"/>
    <w:rsid w:val="001B4D9A"/>
    <w:rsid w:val="001B5652"/>
    <w:rsid w:val="001B581B"/>
    <w:rsid w:val="001B5849"/>
    <w:rsid w:val="001B5FF7"/>
    <w:rsid w:val="001B6E26"/>
    <w:rsid w:val="001B79D6"/>
    <w:rsid w:val="001B7B12"/>
    <w:rsid w:val="001B7C98"/>
    <w:rsid w:val="001C1A04"/>
    <w:rsid w:val="001C1A23"/>
    <w:rsid w:val="001C1D7B"/>
    <w:rsid w:val="001C2E53"/>
    <w:rsid w:val="001C3595"/>
    <w:rsid w:val="001C387D"/>
    <w:rsid w:val="001C3EB6"/>
    <w:rsid w:val="001C4B46"/>
    <w:rsid w:val="001C5300"/>
    <w:rsid w:val="001C578C"/>
    <w:rsid w:val="001C5EE8"/>
    <w:rsid w:val="001C60C3"/>
    <w:rsid w:val="001C60D5"/>
    <w:rsid w:val="001C6294"/>
    <w:rsid w:val="001C6780"/>
    <w:rsid w:val="001C6A16"/>
    <w:rsid w:val="001C75D2"/>
    <w:rsid w:val="001C7F68"/>
    <w:rsid w:val="001D0910"/>
    <w:rsid w:val="001D1A1F"/>
    <w:rsid w:val="001D209B"/>
    <w:rsid w:val="001D2801"/>
    <w:rsid w:val="001D2CCD"/>
    <w:rsid w:val="001D3023"/>
    <w:rsid w:val="001D33CA"/>
    <w:rsid w:val="001D3781"/>
    <w:rsid w:val="001D42BD"/>
    <w:rsid w:val="001D5162"/>
    <w:rsid w:val="001D52CB"/>
    <w:rsid w:val="001D5931"/>
    <w:rsid w:val="001D6653"/>
    <w:rsid w:val="001D6CBA"/>
    <w:rsid w:val="001D78DE"/>
    <w:rsid w:val="001D798B"/>
    <w:rsid w:val="001D7BF4"/>
    <w:rsid w:val="001E0048"/>
    <w:rsid w:val="001E0846"/>
    <w:rsid w:val="001E1091"/>
    <w:rsid w:val="001E1157"/>
    <w:rsid w:val="001E1470"/>
    <w:rsid w:val="001E1F06"/>
    <w:rsid w:val="001E200E"/>
    <w:rsid w:val="001E37DE"/>
    <w:rsid w:val="001E38CB"/>
    <w:rsid w:val="001E4201"/>
    <w:rsid w:val="001E467C"/>
    <w:rsid w:val="001E46DA"/>
    <w:rsid w:val="001E4D70"/>
    <w:rsid w:val="001E57EA"/>
    <w:rsid w:val="001E58E3"/>
    <w:rsid w:val="001E6CDC"/>
    <w:rsid w:val="001F0641"/>
    <w:rsid w:val="001F0E5E"/>
    <w:rsid w:val="001F1806"/>
    <w:rsid w:val="001F1DDE"/>
    <w:rsid w:val="001F1EF4"/>
    <w:rsid w:val="001F1FE6"/>
    <w:rsid w:val="001F4084"/>
    <w:rsid w:val="001F4D6C"/>
    <w:rsid w:val="001F4DF5"/>
    <w:rsid w:val="001F57AE"/>
    <w:rsid w:val="001F6DBD"/>
    <w:rsid w:val="001F70AD"/>
    <w:rsid w:val="001F725A"/>
    <w:rsid w:val="001F75AD"/>
    <w:rsid w:val="001F768A"/>
    <w:rsid w:val="001F7816"/>
    <w:rsid w:val="001F7B94"/>
    <w:rsid w:val="001F7E20"/>
    <w:rsid w:val="002000ED"/>
    <w:rsid w:val="0020037A"/>
    <w:rsid w:val="00200425"/>
    <w:rsid w:val="00200426"/>
    <w:rsid w:val="0020084B"/>
    <w:rsid w:val="00200B75"/>
    <w:rsid w:val="00201524"/>
    <w:rsid w:val="00201F15"/>
    <w:rsid w:val="00201F25"/>
    <w:rsid w:val="00202F67"/>
    <w:rsid w:val="00203013"/>
    <w:rsid w:val="00203383"/>
    <w:rsid w:val="00203573"/>
    <w:rsid w:val="00203B37"/>
    <w:rsid w:val="002040FA"/>
    <w:rsid w:val="00204897"/>
    <w:rsid w:val="00204ACB"/>
    <w:rsid w:val="00204F2F"/>
    <w:rsid w:val="002057AA"/>
    <w:rsid w:val="002058D4"/>
    <w:rsid w:val="00205E61"/>
    <w:rsid w:val="00205EC9"/>
    <w:rsid w:val="00206183"/>
    <w:rsid w:val="0020623F"/>
    <w:rsid w:val="002066D8"/>
    <w:rsid w:val="00206E47"/>
    <w:rsid w:val="00207546"/>
    <w:rsid w:val="00207B48"/>
    <w:rsid w:val="002107DB"/>
    <w:rsid w:val="00210CD0"/>
    <w:rsid w:val="00211638"/>
    <w:rsid w:val="0021180A"/>
    <w:rsid w:val="00211F36"/>
    <w:rsid w:val="00212DA8"/>
    <w:rsid w:val="00212EAC"/>
    <w:rsid w:val="00213A05"/>
    <w:rsid w:val="00213B32"/>
    <w:rsid w:val="0021503C"/>
    <w:rsid w:val="00215043"/>
    <w:rsid w:val="002161CE"/>
    <w:rsid w:val="00216216"/>
    <w:rsid w:val="002163EF"/>
    <w:rsid w:val="00216978"/>
    <w:rsid w:val="00216C1B"/>
    <w:rsid w:val="002177A9"/>
    <w:rsid w:val="00217894"/>
    <w:rsid w:val="00217CCD"/>
    <w:rsid w:val="002207DD"/>
    <w:rsid w:val="00220BD7"/>
    <w:rsid w:val="0022240E"/>
    <w:rsid w:val="00222C86"/>
    <w:rsid w:val="00222E83"/>
    <w:rsid w:val="00223231"/>
    <w:rsid w:val="00223CB6"/>
    <w:rsid w:val="0022483B"/>
    <w:rsid w:val="00224C1E"/>
    <w:rsid w:val="00224E1D"/>
    <w:rsid w:val="00224E9C"/>
    <w:rsid w:val="002250E1"/>
    <w:rsid w:val="002250EF"/>
    <w:rsid w:val="002258BA"/>
    <w:rsid w:val="00225BDB"/>
    <w:rsid w:val="00225D2A"/>
    <w:rsid w:val="00226291"/>
    <w:rsid w:val="002267DD"/>
    <w:rsid w:val="00226BD0"/>
    <w:rsid w:val="00227155"/>
    <w:rsid w:val="00227464"/>
    <w:rsid w:val="00227FE9"/>
    <w:rsid w:val="00230414"/>
    <w:rsid w:val="00230537"/>
    <w:rsid w:val="00232793"/>
    <w:rsid w:val="00232DD1"/>
    <w:rsid w:val="0023308A"/>
    <w:rsid w:val="00233430"/>
    <w:rsid w:val="00233826"/>
    <w:rsid w:val="00233A29"/>
    <w:rsid w:val="00233C62"/>
    <w:rsid w:val="0023428A"/>
    <w:rsid w:val="0023451D"/>
    <w:rsid w:val="0023512E"/>
    <w:rsid w:val="0023564F"/>
    <w:rsid w:val="00235E23"/>
    <w:rsid w:val="00236E4D"/>
    <w:rsid w:val="0023724F"/>
    <w:rsid w:val="002400D4"/>
    <w:rsid w:val="002404A8"/>
    <w:rsid w:val="00240527"/>
    <w:rsid w:val="00240B10"/>
    <w:rsid w:val="00241848"/>
    <w:rsid w:val="00241A02"/>
    <w:rsid w:val="00241D5C"/>
    <w:rsid w:val="00241E4E"/>
    <w:rsid w:val="00242605"/>
    <w:rsid w:val="00242932"/>
    <w:rsid w:val="00242E51"/>
    <w:rsid w:val="002430AD"/>
    <w:rsid w:val="0024335B"/>
    <w:rsid w:val="002434E2"/>
    <w:rsid w:val="00244EF1"/>
    <w:rsid w:val="00244F45"/>
    <w:rsid w:val="002458E7"/>
    <w:rsid w:val="00246D01"/>
    <w:rsid w:val="00246D3C"/>
    <w:rsid w:val="00246F29"/>
    <w:rsid w:val="00247C8C"/>
    <w:rsid w:val="0025025F"/>
    <w:rsid w:val="002505D6"/>
    <w:rsid w:val="00250C06"/>
    <w:rsid w:val="00251D16"/>
    <w:rsid w:val="00251D27"/>
    <w:rsid w:val="00251D67"/>
    <w:rsid w:val="00251D87"/>
    <w:rsid w:val="00252891"/>
    <w:rsid w:val="00253541"/>
    <w:rsid w:val="0025375F"/>
    <w:rsid w:val="00253903"/>
    <w:rsid w:val="002539A0"/>
    <w:rsid w:val="0025540A"/>
    <w:rsid w:val="002557D3"/>
    <w:rsid w:val="00256E29"/>
    <w:rsid w:val="00257327"/>
    <w:rsid w:val="00260080"/>
    <w:rsid w:val="002610AE"/>
    <w:rsid w:val="00261B3A"/>
    <w:rsid w:val="002629CA"/>
    <w:rsid w:val="00262B91"/>
    <w:rsid w:val="00262DDB"/>
    <w:rsid w:val="00262F4E"/>
    <w:rsid w:val="002630FA"/>
    <w:rsid w:val="00263740"/>
    <w:rsid w:val="002638B9"/>
    <w:rsid w:val="00263FE6"/>
    <w:rsid w:val="002642A9"/>
    <w:rsid w:val="0026474F"/>
    <w:rsid w:val="0026478A"/>
    <w:rsid w:val="00265820"/>
    <w:rsid w:val="002658EE"/>
    <w:rsid w:val="00265E98"/>
    <w:rsid w:val="00265F3B"/>
    <w:rsid w:val="00266748"/>
    <w:rsid w:val="002668FA"/>
    <w:rsid w:val="00266D02"/>
    <w:rsid w:val="002673E6"/>
    <w:rsid w:val="00267701"/>
    <w:rsid w:val="00267ACE"/>
    <w:rsid w:val="00270BE3"/>
    <w:rsid w:val="00270C99"/>
    <w:rsid w:val="002716B1"/>
    <w:rsid w:val="002718EC"/>
    <w:rsid w:val="00273625"/>
    <w:rsid w:val="00273CBE"/>
    <w:rsid w:val="002746A9"/>
    <w:rsid w:val="00274E43"/>
    <w:rsid w:val="002756CF"/>
    <w:rsid w:val="00275830"/>
    <w:rsid w:val="0027696C"/>
    <w:rsid w:val="00277DA6"/>
    <w:rsid w:val="00277F97"/>
    <w:rsid w:val="0028012A"/>
    <w:rsid w:val="00280598"/>
    <w:rsid w:val="0028065B"/>
    <w:rsid w:val="002809AF"/>
    <w:rsid w:val="00280C18"/>
    <w:rsid w:val="00281573"/>
    <w:rsid w:val="00281DD7"/>
    <w:rsid w:val="0028203F"/>
    <w:rsid w:val="00282485"/>
    <w:rsid w:val="002824C6"/>
    <w:rsid w:val="00282550"/>
    <w:rsid w:val="00282D70"/>
    <w:rsid w:val="0028306B"/>
    <w:rsid w:val="0028370C"/>
    <w:rsid w:val="00283CE3"/>
    <w:rsid w:val="00283D6B"/>
    <w:rsid w:val="00283F88"/>
    <w:rsid w:val="002842A1"/>
    <w:rsid w:val="002843D1"/>
    <w:rsid w:val="00284DE0"/>
    <w:rsid w:val="00285093"/>
    <w:rsid w:val="0028570B"/>
    <w:rsid w:val="00285EE1"/>
    <w:rsid w:val="00286356"/>
    <w:rsid w:val="00286596"/>
    <w:rsid w:val="0028706B"/>
    <w:rsid w:val="00287454"/>
    <w:rsid w:val="0028746D"/>
    <w:rsid w:val="00287A0A"/>
    <w:rsid w:val="00290828"/>
    <w:rsid w:val="00290F43"/>
    <w:rsid w:val="0029195E"/>
    <w:rsid w:val="00291B61"/>
    <w:rsid w:val="00292605"/>
    <w:rsid w:val="0029268E"/>
    <w:rsid w:val="00292CEF"/>
    <w:rsid w:val="00293254"/>
    <w:rsid w:val="0029377B"/>
    <w:rsid w:val="002938F9"/>
    <w:rsid w:val="0029410D"/>
    <w:rsid w:val="002946CE"/>
    <w:rsid w:val="00294FDA"/>
    <w:rsid w:val="0029574F"/>
    <w:rsid w:val="002961A4"/>
    <w:rsid w:val="0029623E"/>
    <w:rsid w:val="002969CF"/>
    <w:rsid w:val="002974D9"/>
    <w:rsid w:val="00297522"/>
    <w:rsid w:val="0029753F"/>
    <w:rsid w:val="00297960"/>
    <w:rsid w:val="00297B6A"/>
    <w:rsid w:val="00297DC1"/>
    <w:rsid w:val="002A020E"/>
    <w:rsid w:val="002A04A1"/>
    <w:rsid w:val="002A0B8F"/>
    <w:rsid w:val="002A18CC"/>
    <w:rsid w:val="002A2550"/>
    <w:rsid w:val="002A2843"/>
    <w:rsid w:val="002A2DB5"/>
    <w:rsid w:val="002A2DE6"/>
    <w:rsid w:val="002A31C7"/>
    <w:rsid w:val="002A34FC"/>
    <w:rsid w:val="002A3CE2"/>
    <w:rsid w:val="002A403C"/>
    <w:rsid w:val="002A41F2"/>
    <w:rsid w:val="002A44B3"/>
    <w:rsid w:val="002A465A"/>
    <w:rsid w:val="002A57C1"/>
    <w:rsid w:val="002A59FF"/>
    <w:rsid w:val="002A5FC7"/>
    <w:rsid w:val="002A6093"/>
    <w:rsid w:val="002A6F57"/>
    <w:rsid w:val="002B15E1"/>
    <w:rsid w:val="002B1634"/>
    <w:rsid w:val="002B18FC"/>
    <w:rsid w:val="002B2235"/>
    <w:rsid w:val="002B3169"/>
    <w:rsid w:val="002B3448"/>
    <w:rsid w:val="002B3A0C"/>
    <w:rsid w:val="002B3C9D"/>
    <w:rsid w:val="002B3F8F"/>
    <w:rsid w:val="002B4832"/>
    <w:rsid w:val="002B4A34"/>
    <w:rsid w:val="002B4EB6"/>
    <w:rsid w:val="002B51B4"/>
    <w:rsid w:val="002B51EA"/>
    <w:rsid w:val="002B526B"/>
    <w:rsid w:val="002B68E8"/>
    <w:rsid w:val="002B7283"/>
    <w:rsid w:val="002B793F"/>
    <w:rsid w:val="002B7E49"/>
    <w:rsid w:val="002C082D"/>
    <w:rsid w:val="002C0E06"/>
    <w:rsid w:val="002C0E62"/>
    <w:rsid w:val="002C2096"/>
    <w:rsid w:val="002C24AC"/>
    <w:rsid w:val="002C292D"/>
    <w:rsid w:val="002C2B14"/>
    <w:rsid w:val="002C31F0"/>
    <w:rsid w:val="002C336C"/>
    <w:rsid w:val="002C386B"/>
    <w:rsid w:val="002C3A4A"/>
    <w:rsid w:val="002C3CFF"/>
    <w:rsid w:val="002C45E2"/>
    <w:rsid w:val="002C47CA"/>
    <w:rsid w:val="002C51A4"/>
    <w:rsid w:val="002C5587"/>
    <w:rsid w:val="002C5855"/>
    <w:rsid w:val="002C5C27"/>
    <w:rsid w:val="002C5F5D"/>
    <w:rsid w:val="002C61C0"/>
    <w:rsid w:val="002C6F7E"/>
    <w:rsid w:val="002D06EB"/>
    <w:rsid w:val="002D0926"/>
    <w:rsid w:val="002D242D"/>
    <w:rsid w:val="002D3054"/>
    <w:rsid w:val="002D3A6F"/>
    <w:rsid w:val="002D3FF5"/>
    <w:rsid w:val="002D48D2"/>
    <w:rsid w:val="002D491F"/>
    <w:rsid w:val="002D4D4C"/>
    <w:rsid w:val="002D4EA3"/>
    <w:rsid w:val="002D5641"/>
    <w:rsid w:val="002D5AD6"/>
    <w:rsid w:val="002D6DB1"/>
    <w:rsid w:val="002D7079"/>
    <w:rsid w:val="002D72FD"/>
    <w:rsid w:val="002D76A9"/>
    <w:rsid w:val="002D78F7"/>
    <w:rsid w:val="002E10FF"/>
    <w:rsid w:val="002E1E0C"/>
    <w:rsid w:val="002E2DA0"/>
    <w:rsid w:val="002E3108"/>
    <w:rsid w:val="002E37CC"/>
    <w:rsid w:val="002E3BBA"/>
    <w:rsid w:val="002E4AA9"/>
    <w:rsid w:val="002E4D16"/>
    <w:rsid w:val="002E52E2"/>
    <w:rsid w:val="002E5342"/>
    <w:rsid w:val="002E5682"/>
    <w:rsid w:val="002E5AF1"/>
    <w:rsid w:val="002E5BC0"/>
    <w:rsid w:val="002E5F02"/>
    <w:rsid w:val="002E6173"/>
    <w:rsid w:val="002E704B"/>
    <w:rsid w:val="002E71B1"/>
    <w:rsid w:val="002E74E5"/>
    <w:rsid w:val="002E7D0A"/>
    <w:rsid w:val="002F09C1"/>
    <w:rsid w:val="002F109A"/>
    <w:rsid w:val="002F13EE"/>
    <w:rsid w:val="002F1CB2"/>
    <w:rsid w:val="002F27BF"/>
    <w:rsid w:val="002F380A"/>
    <w:rsid w:val="002F3CEC"/>
    <w:rsid w:val="002F4791"/>
    <w:rsid w:val="002F5D29"/>
    <w:rsid w:val="002F6A95"/>
    <w:rsid w:val="002F747F"/>
    <w:rsid w:val="002F756B"/>
    <w:rsid w:val="002F7801"/>
    <w:rsid w:val="002F7943"/>
    <w:rsid w:val="002F7CA7"/>
    <w:rsid w:val="003007A5"/>
    <w:rsid w:val="00300A0B"/>
    <w:rsid w:val="00301457"/>
    <w:rsid w:val="00301F51"/>
    <w:rsid w:val="00302140"/>
    <w:rsid w:val="00302251"/>
    <w:rsid w:val="0030241E"/>
    <w:rsid w:val="00302504"/>
    <w:rsid w:val="00302663"/>
    <w:rsid w:val="00302685"/>
    <w:rsid w:val="003027BD"/>
    <w:rsid w:val="00303358"/>
    <w:rsid w:val="0030384F"/>
    <w:rsid w:val="00303C0E"/>
    <w:rsid w:val="0030474B"/>
    <w:rsid w:val="00304764"/>
    <w:rsid w:val="00304E33"/>
    <w:rsid w:val="003051DD"/>
    <w:rsid w:val="00305979"/>
    <w:rsid w:val="003069B0"/>
    <w:rsid w:val="00306CAF"/>
    <w:rsid w:val="00306EC0"/>
    <w:rsid w:val="0030737A"/>
    <w:rsid w:val="00307CAB"/>
    <w:rsid w:val="00307F9E"/>
    <w:rsid w:val="00310642"/>
    <w:rsid w:val="003107C0"/>
    <w:rsid w:val="00310E42"/>
    <w:rsid w:val="00310F97"/>
    <w:rsid w:val="003112CB"/>
    <w:rsid w:val="0031295B"/>
    <w:rsid w:val="00312C4F"/>
    <w:rsid w:val="00313074"/>
    <w:rsid w:val="00313325"/>
    <w:rsid w:val="0031343B"/>
    <w:rsid w:val="00313713"/>
    <w:rsid w:val="00313C58"/>
    <w:rsid w:val="0031464D"/>
    <w:rsid w:val="00315009"/>
    <w:rsid w:val="003150F0"/>
    <w:rsid w:val="00315704"/>
    <w:rsid w:val="00315D78"/>
    <w:rsid w:val="003165E3"/>
    <w:rsid w:val="00316702"/>
    <w:rsid w:val="00316C27"/>
    <w:rsid w:val="00316CC8"/>
    <w:rsid w:val="00316DE6"/>
    <w:rsid w:val="00317A31"/>
    <w:rsid w:val="00317D17"/>
    <w:rsid w:val="00320373"/>
    <w:rsid w:val="00322DB7"/>
    <w:rsid w:val="003230BC"/>
    <w:rsid w:val="003243F2"/>
    <w:rsid w:val="003255C5"/>
    <w:rsid w:val="00325DF4"/>
    <w:rsid w:val="00326236"/>
    <w:rsid w:val="003264D9"/>
    <w:rsid w:val="003266C2"/>
    <w:rsid w:val="0032797D"/>
    <w:rsid w:val="0033046D"/>
    <w:rsid w:val="003306DA"/>
    <w:rsid w:val="00330A52"/>
    <w:rsid w:val="00330C12"/>
    <w:rsid w:val="00331AE9"/>
    <w:rsid w:val="00331FED"/>
    <w:rsid w:val="003321CB"/>
    <w:rsid w:val="00332E38"/>
    <w:rsid w:val="00333090"/>
    <w:rsid w:val="00333382"/>
    <w:rsid w:val="003336A2"/>
    <w:rsid w:val="00333F32"/>
    <w:rsid w:val="00337740"/>
    <w:rsid w:val="00337954"/>
    <w:rsid w:val="0034068E"/>
    <w:rsid w:val="00340B3F"/>
    <w:rsid w:val="003413C8"/>
    <w:rsid w:val="003415BE"/>
    <w:rsid w:val="00341665"/>
    <w:rsid w:val="00341C45"/>
    <w:rsid w:val="00342882"/>
    <w:rsid w:val="003428D6"/>
    <w:rsid w:val="00343165"/>
    <w:rsid w:val="00343403"/>
    <w:rsid w:val="003434FE"/>
    <w:rsid w:val="00343AE7"/>
    <w:rsid w:val="00344628"/>
    <w:rsid w:val="0034497A"/>
    <w:rsid w:val="00344B03"/>
    <w:rsid w:val="00344FBB"/>
    <w:rsid w:val="003465F4"/>
    <w:rsid w:val="00346CC0"/>
    <w:rsid w:val="00346E36"/>
    <w:rsid w:val="00347B63"/>
    <w:rsid w:val="003502A4"/>
    <w:rsid w:val="003506E3"/>
    <w:rsid w:val="00350763"/>
    <w:rsid w:val="00350843"/>
    <w:rsid w:val="00350AD9"/>
    <w:rsid w:val="00351176"/>
    <w:rsid w:val="0035156D"/>
    <w:rsid w:val="0035373D"/>
    <w:rsid w:val="0035377E"/>
    <w:rsid w:val="00353B3D"/>
    <w:rsid w:val="0035480B"/>
    <w:rsid w:val="00354A47"/>
    <w:rsid w:val="003559A0"/>
    <w:rsid w:val="0035602C"/>
    <w:rsid w:val="003561FC"/>
    <w:rsid w:val="003567FD"/>
    <w:rsid w:val="00357D41"/>
    <w:rsid w:val="00360146"/>
    <w:rsid w:val="003602E0"/>
    <w:rsid w:val="00360585"/>
    <w:rsid w:val="0036160F"/>
    <w:rsid w:val="00361BB0"/>
    <w:rsid w:val="0036307D"/>
    <w:rsid w:val="0036309E"/>
    <w:rsid w:val="00363279"/>
    <w:rsid w:val="0036397A"/>
    <w:rsid w:val="00363FEF"/>
    <w:rsid w:val="003644DC"/>
    <w:rsid w:val="003645FF"/>
    <w:rsid w:val="0036478C"/>
    <w:rsid w:val="00364F69"/>
    <w:rsid w:val="003658CD"/>
    <w:rsid w:val="003662D7"/>
    <w:rsid w:val="00366B9E"/>
    <w:rsid w:val="00367ED8"/>
    <w:rsid w:val="00370222"/>
    <w:rsid w:val="00370238"/>
    <w:rsid w:val="00370481"/>
    <w:rsid w:val="00370C57"/>
    <w:rsid w:val="00370E76"/>
    <w:rsid w:val="00370FB0"/>
    <w:rsid w:val="003713A8"/>
    <w:rsid w:val="0037158A"/>
    <w:rsid w:val="003720ED"/>
    <w:rsid w:val="00372BE3"/>
    <w:rsid w:val="00373295"/>
    <w:rsid w:val="00373556"/>
    <w:rsid w:val="00373DF9"/>
    <w:rsid w:val="00375F66"/>
    <w:rsid w:val="003779C4"/>
    <w:rsid w:val="00377D6D"/>
    <w:rsid w:val="0038003A"/>
    <w:rsid w:val="00380335"/>
    <w:rsid w:val="00380550"/>
    <w:rsid w:val="00380A81"/>
    <w:rsid w:val="00380F51"/>
    <w:rsid w:val="00380F8A"/>
    <w:rsid w:val="003812AE"/>
    <w:rsid w:val="00381DE7"/>
    <w:rsid w:val="00381E76"/>
    <w:rsid w:val="0038214E"/>
    <w:rsid w:val="00382F7C"/>
    <w:rsid w:val="0038318D"/>
    <w:rsid w:val="00383B53"/>
    <w:rsid w:val="00383BFD"/>
    <w:rsid w:val="00383FF2"/>
    <w:rsid w:val="0038440A"/>
    <w:rsid w:val="00384470"/>
    <w:rsid w:val="00384A84"/>
    <w:rsid w:val="00384AAA"/>
    <w:rsid w:val="0038626C"/>
    <w:rsid w:val="00386420"/>
    <w:rsid w:val="00387350"/>
    <w:rsid w:val="00390086"/>
    <w:rsid w:val="003908A7"/>
    <w:rsid w:val="00391E21"/>
    <w:rsid w:val="00391F01"/>
    <w:rsid w:val="003929AB"/>
    <w:rsid w:val="00392A54"/>
    <w:rsid w:val="00392D5C"/>
    <w:rsid w:val="00393010"/>
    <w:rsid w:val="003930F4"/>
    <w:rsid w:val="0039336C"/>
    <w:rsid w:val="00393D98"/>
    <w:rsid w:val="003942DF"/>
    <w:rsid w:val="00394706"/>
    <w:rsid w:val="0039558A"/>
    <w:rsid w:val="003959E1"/>
    <w:rsid w:val="003959FC"/>
    <w:rsid w:val="00395EB6"/>
    <w:rsid w:val="00396016"/>
    <w:rsid w:val="0039684A"/>
    <w:rsid w:val="003A03C8"/>
    <w:rsid w:val="003A0D4D"/>
    <w:rsid w:val="003A16BD"/>
    <w:rsid w:val="003A32C0"/>
    <w:rsid w:val="003A3916"/>
    <w:rsid w:val="003A3B9D"/>
    <w:rsid w:val="003A3D7F"/>
    <w:rsid w:val="003A3F3F"/>
    <w:rsid w:val="003A432F"/>
    <w:rsid w:val="003A446C"/>
    <w:rsid w:val="003A463D"/>
    <w:rsid w:val="003A499E"/>
    <w:rsid w:val="003A4F07"/>
    <w:rsid w:val="003A5003"/>
    <w:rsid w:val="003A51DB"/>
    <w:rsid w:val="003A52D2"/>
    <w:rsid w:val="003A587C"/>
    <w:rsid w:val="003A58E4"/>
    <w:rsid w:val="003A5E16"/>
    <w:rsid w:val="003A6931"/>
    <w:rsid w:val="003A6ADB"/>
    <w:rsid w:val="003A6D82"/>
    <w:rsid w:val="003A748A"/>
    <w:rsid w:val="003A78F1"/>
    <w:rsid w:val="003A7C22"/>
    <w:rsid w:val="003B0303"/>
    <w:rsid w:val="003B0763"/>
    <w:rsid w:val="003B0E63"/>
    <w:rsid w:val="003B1116"/>
    <w:rsid w:val="003B20B9"/>
    <w:rsid w:val="003B2535"/>
    <w:rsid w:val="003B264E"/>
    <w:rsid w:val="003B27C9"/>
    <w:rsid w:val="003B2A91"/>
    <w:rsid w:val="003B2FF3"/>
    <w:rsid w:val="003B3029"/>
    <w:rsid w:val="003B4B56"/>
    <w:rsid w:val="003B4CFE"/>
    <w:rsid w:val="003B51DE"/>
    <w:rsid w:val="003B5913"/>
    <w:rsid w:val="003B6112"/>
    <w:rsid w:val="003B6749"/>
    <w:rsid w:val="003B7496"/>
    <w:rsid w:val="003B74DB"/>
    <w:rsid w:val="003B7568"/>
    <w:rsid w:val="003B7D6C"/>
    <w:rsid w:val="003C01D1"/>
    <w:rsid w:val="003C10FA"/>
    <w:rsid w:val="003C15CD"/>
    <w:rsid w:val="003C1D93"/>
    <w:rsid w:val="003C336A"/>
    <w:rsid w:val="003C3530"/>
    <w:rsid w:val="003C491F"/>
    <w:rsid w:val="003C4930"/>
    <w:rsid w:val="003C4E0E"/>
    <w:rsid w:val="003C513B"/>
    <w:rsid w:val="003C5BA2"/>
    <w:rsid w:val="003C5EE8"/>
    <w:rsid w:val="003C60C1"/>
    <w:rsid w:val="003C6417"/>
    <w:rsid w:val="003C696B"/>
    <w:rsid w:val="003C6D39"/>
    <w:rsid w:val="003C7568"/>
    <w:rsid w:val="003C75D0"/>
    <w:rsid w:val="003C7935"/>
    <w:rsid w:val="003C7AD3"/>
    <w:rsid w:val="003C7B2F"/>
    <w:rsid w:val="003D061C"/>
    <w:rsid w:val="003D0D48"/>
    <w:rsid w:val="003D2C88"/>
    <w:rsid w:val="003D379A"/>
    <w:rsid w:val="003D3CC7"/>
    <w:rsid w:val="003D3DBB"/>
    <w:rsid w:val="003D5030"/>
    <w:rsid w:val="003D5CC5"/>
    <w:rsid w:val="003D6168"/>
    <w:rsid w:val="003D61EC"/>
    <w:rsid w:val="003D6A63"/>
    <w:rsid w:val="003D6B1A"/>
    <w:rsid w:val="003D6C93"/>
    <w:rsid w:val="003D6F1C"/>
    <w:rsid w:val="003D6FE3"/>
    <w:rsid w:val="003D79F7"/>
    <w:rsid w:val="003D7D6D"/>
    <w:rsid w:val="003E0009"/>
    <w:rsid w:val="003E021C"/>
    <w:rsid w:val="003E05F7"/>
    <w:rsid w:val="003E0D11"/>
    <w:rsid w:val="003E10CA"/>
    <w:rsid w:val="003E13A4"/>
    <w:rsid w:val="003E14F2"/>
    <w:rsid w:val="003E1A6B"/>
    <w:rsid w:val="003E1E16"/>
    <w:rsid w:val="003E1F74"/>
    <w:rsid w:val="003E241A"/>
    <w:rsid w:val="003E2D56"/>
    <w:rsid w:val="003E32D4"/>
    <w:rsid w:val="003E3AA5"/>
    <w:rsid w:val="003E4A8F"/>
    <w:rsid w:val="003E56EC"/>
    <w:rsid w:val="003E5B8F"/>
    <w:rsid w:val="003E67EC"/>
    <w:rsid w:val="003E6845"/>
    <w:rsid w:val="003E6D22"/>
    <w:rsid w:val="003E6D6D"/>
    <w:rsid w:val="003E715A"/>
    <w:rsid w:val="003E7620"/>
    <w:rsid w:val="003F03FF"/>
    <w:rsid w:val="003F0580"/>
    <w:rsid w:val="003F0689"/>
    <w:rsid w:val="003F096D"/>
    <w:rsid w:val="003F1970"/>
    <w:rsid w:val="003F3317"/>
    <w:rsid w:val="003F36F8"/>
    <w:rsid w:val="003F3CE8"/>
    <w:rsid w:val="003F43B6"/>
    <w:rsid w:val="003F47AB"/>
    <w:rsid w:val="003F4FBF"/>
    <w:rsid w:val="003F5ACF"/>
    <w:rsid w:val="003F5D93"/>
    <w:rsid w:val="003F5FE2"/>
    <w:rsid w:val="003F694E"/>
    <w:rsid w:val="003F6BA8"/>
    <w:rsid w:val="003F7BF5"/>
    <w:rsid w:val="003F7D89"/>
    <w:rsid w:val="0040008F"/>
    <w:rsid w:val="00400624"/>
    <w:rsid w:val="0040087E"/>
    <w:rsid w:val="00400E57"/>
    <w:rsid w:val="00400F4B"/>
    <w:rsid w:val="004010DD"/>
    <w:rsid w:val="0040110D"/>
    <w:rsid w:val="004013C6"/>
    <w:rsid w:val="0040291A"/>
    <w:rsid w:val="00402B0E"/>
    <w:rsid w:val="004032FB"/>
    <w:rsid w:val="0040353F"/>
    <w:rsid w:val="00404755"/>
    <w:rsid w:val="00405A5D"/>
    <w:rsid w:val="00406E5B"/>
    <w:rsid w:val="00411400"/>
    <w:rsid w:val="0041141D"/>
    <w:rsid w:val="004115AD"/>
    <w:rsid w:val="00411B59"/>
    <w:rsid w:val="0041206F"/>
    <w:rsid w:val="0041253B"/>
    <w:rsid w:val="00413481"/>
    <w:rsid w:val="004135C2"/>
    <w:rsid w:val="004137F6"/>
    <w:rsid w:val="00413DD8"/>
    <w:rsid w:val="00414004"/>
    <w:rsid w:val="00414080"/>
    <w:rsid w:val="004147CC"/>
    <w:rsid w:val="00414C5A"/>
    <w:rsid w:val="00414C7F"/>
    <w:rsid w:val="00415530"/>
    <w:rsid w:val="00415A1F"/>
    <w:rsid w:val="00415F80"/>
    <w:rsid w:val="00415FAF"/>
    <w:rsid w:val="004160EC"/>
    <w:rsid w:val="0041731D"/>
    <w:rsid w:val="00417452"/>
    <w:rsid w:val="00417C14"/>
    <w:rsid w:val="00417FBA"/>
    <w:rsid w:val="004201A3"/>
    <w:rsid w:val="0042033A"/>
    <w:rsid w:val="0042041E"/>
    <w:rsid w:val="00420BB6"/>
    <w:rsid w:val="00421D23"/>
    <w:rsid w:val="00421D77"/>
    <w:rsid w:val="004223CA"/>
    <w:rsid w:val="00422C07"/>
    <w:rsid w:val="004245EF"/>
    <w:rsid w:val="004250C3"/>
    <w:rsid w:val="00425B4B"/>
    <w:rsid w:val="004261A5"/>
    <w:rsid w:val="0042681D"/>
    <w:rsid w:val="00426854"/>
    <w:rsid w:val="00426AA5"/>
    <w:rsid w:val="00426FD8"/>
    <w:rsid w:val="00430739"/>
    <w:rsid w:val="004307E3"/>
    <w:rsid w:val="00430FE5"/>
    <w:rsid w:val="004316FE"/>
    <w:rsid w:val="00431BFC"/>
    <w:rsid w:val="00431FE4"/>
    <w:rsid w:val="004327B1"/>
    <w:rsid w:val="00432D71"/>
    <w:rsid w:val="004335A5"/>
    <w:rsid w:val="004346A9"/>
    <w:rsid w:val="00434A02"/>
    <w:rsid w:val="00434DA2"/>
    <w:rsid w:val="00435490"/>
    <w:rsid w:val="00435B08"/>
    <w:rsid w:val="00435DAC"/>
    <w:rsid w:val="00435EE5"/>
    <w:rsid w:val="004363C3"/>
    <w:rsid w:val="00436A3D"/>
    <w:rsid w:val="00436CA3"/>
    <w:rsid w:val="00437B1F"/>
    <w:rsid w:val="004404B2"/>
    <w:rsid w:val="004404B6"/>
    <w:rsid w:val="004411C3"/>
    <w:rsid w:val="00441BC2"/>
    <w:rsid w:val="00441E3E"/>
    <w:rsid w:val="00441E55"/>
    <w:rsid w:val="004424F7"/>
    <w:rsid w:val="0044270B"/>
    <w:rsid w:val="004429D8"/>
    <w:rsid w:val="00442C3E"/>
    <w:rsid w:val="00442C49"/>
    <w:rsid w:val="0044367F"/>
    <w:rsid w:val="004457E8"/>
    <w:rsid w:val="00445B55"/>
    <w:rsid w:val="00445FB0"/>
    <w:rsid w:val="004465A7"/>
    <w:rsid w:val="00446836"/>
    <w:rsid w:val="00447981"/>
    <w:rsid w:val="00447A0A"/>
    <w:rsid w:val="004500E3"/>
    <w:rsid w:val="004506D6"/>
    <w:rsid w:val="004507CB"/>
    <w:rsid w:val="00450944"/>
    <w:rsid w:val="00451871"/>
    <w:rsid w:val="004520AD"/>
    <w:rsid w:val="0045290C"/>
    <w:rsid w:val="00452B46"/>
    <w:rsid w:val="004537F8"/>
    <w:rsid w:val="00453F1F"/>
    <w:rsid w:val="0045409D"/>
    <w:rsid w:val="004545A8"/>
    <w:rsid w:val="0045470A"/>
    <w:rsid w:val="0045477B"/>
    <w:rsid w:val="0045573D"/>
    <w:rsid w:val="00456022"/>
    <w:rsid w:val="004564F1"/>
    <w:rsid w:val="00456B5D"/>
    <w:rsid w:val="004571F1"/>
    <w:rsid w:val="00457522"/>
    <w:rsid w:val="00457BC2"/>
    <w:rsid w:val="00457DE4"/>
    <w:rsid w:val="00460047"/>
    <w:rsid w:val="00463106"/>
    <w:rsid w:val="00463562"/>
    <w:rsid w:val="00463703"/>
    <w:rsid w:val="00463969"/>
    <w:rsid w:val="00464048"/>
    <w:rsid w:val="004640CA"/>
    <w:rsid w:val="00464358"/>
    <w:rsid w:val="00464D70"/>
    <w:rsid w:val="00465CC3"/>
    <w:rsid w:val="00465FD6"/>
    <w:rsid w:val="004663AD"/>
    <w:rsid w:val="0046661B"/>
    <w:rsid w:val="0046676E"/>
    <w:rsid w:val="00466855"/>
    <w:rsid w:val="004670AB"/>
    <w:rsid w:val="0046720A"/>
    <w:rsid w:val="0046731E"/>
    <w:rsid w:val="004701D8"/>
    <w:rsid w:val="00470DF1"/>
    <w:rsid w:val="00470F3A"/>
    <w:rsid w:val="0047184E"/>
    <w:rsid w:val="00471F6B"/>
    <w:rsid w:val="00472112"/>
    <w:rsid w:val="004726E4"/>
    <w:rsid w:val="0047283E"/>
    <w:rsid w:val="00472BA2"/>
    <w:rsid w:val="00472CE3"/>
    <w:rsid w:val="00472E9D"/>
    <w:rsid w:val="004736A0"/>
    <w:rsid w:val="00473B46"/>
    <w:rsid w:val="004758A6"/>
    <w:rsid w:val="00476520"/>
    <w:rsid w:val="00476973"/>
    <w:rsid w:val="00477335"/>
    <w:rsid w:val="004775CF"/>
    <w:rsid w:val="00477D59"/>
    <w:rsid w:val="00477EA9"/>
    <w:rsid w:val="00480A9B"/>
    <w:rsid w:val="004812EB"/>
    <w:rsid w:val="00481533"/>
    <w:rsid w:val="0048163C"/>
    <w:rsid w:val="004816AA"/>
    <w:rsid w:val="00481922"/>
    <w:rsid w:val="00481D52"/>
    <w:rsid w:val="00481EE2"/>
    <w:rsid w:val="00482032"/>
    <w:rsid w:val="00482081"/>
    <w:rsid w:val="00482192"/>
    <w:rsid w:val="0048269D"/>
    <w:rsid w:val="00482C19"/>
    <w:rsid w:val="00483A34"/>
    <w:rsid w:val="00483A9C"/>
    <w:rsid w:val="00483CE7"/>
    <w:rsid w:val="00484F67"/>
    <w:rsid w:val="00485646"/>
    <w:rsid w:val="004870F9"/>
    <w:rsid w:val="004878F1"/>
    <w:rsid w:val="00487C68"/>
    <w:rsid w:val="0049002D"/>
    <w:rsid w:val="00490558"/>
    <w:rsid w:val="0049057A"/>
    <w:rsid w:val="004905FB"/>
    <w:rsid w:val="00490683"/>
    <w:rsid w:val="00491439"/>
    <w:rsid w:val="004916CC"/>
    <w:rsid w:val="00491CC3"/>
    <w:rsid w:val="00492711"/>
    <w:rsid w:val="0049284B"/>
    <w:rsid w:val="004936B5"/>
    <w:rsid w:val="00493E7F"/>
    <w:rsid w:val="00494286"/>
    <w:rsid w:val="00495B3E"/>
    <w:rsid w:val="00495BD2"/>
    <w:rsid w:val="00495D4C"/>
    <w:rsid w:val="00496691"/>
    <w:rsid w:val="00496B08"/>
    <w:rsid w:val="00496F02"/>
    <w:rsid w:val="004A0977"/>
    <w:rsid w:val="004A1831"/>
    <w:rsid w:val="004A1C87"/>
    <w:rsid w:val="004A23F3"/>
    <w:rsid w:val="004A24FB"/>
    <w:rsid w:val="004A2A4B"/>
    <w:rsid w:val="004A31A0"/>
    <w:rsid w:val="004A322A"/>
    <w:rsid w:val="004A3355"/>
    <w:rsid w:val="004A34FE"/>
    <w:rsid w:val="004A3F72"/>
    <w:rsid w:val="004A43AB"/>
    <w:rsid w:val="004A4911"/>
    <w:rsid w:val="004A4ECB"/>
    <w:rsid w:val="004A5717"/>
    <w:rsid w:val="004A5D2F"/>
    <w:rsid w:val="004A5E25"/>
    <w:rsid w:val="004A5F42"/>
    <w:rsid w:val="004A6057"/>
    <w:rsid w:val="004A6099"/>
    <w:rsid w:val="004A67C2"/>
    <w:rsid w:val="004A781D"/>
    <w:rsid w:val="004A7BCD"/>
    <w:rsid w:val="004B05F5"/>
    <w:rsid w:val="004B0741"/>
    <w:rsid w:val="004B0912"/>
    <w:rsid w:val="004B0F7D"/>
    <w:rsid w:val="004B12A7"/>
    <w:rsid w:val="004B12C1"/>
    <w:rsid w:val="004B13F3"/>
    <w:rsid w:val="004B14C7"/>
    <w:rsid w:val="004B181B"/>
    <w:rsid w:val="004B1A67"/>
    <w:rsid w:val="004B1E0C"/>
    <w:rsid w:val="004B2370"/>
    <w:rsid w:val="004B2CD6"/>
    <w:rsid w:val="004B37E4"/>
    <w:rsid w:val="004B40E3"/>
    <w:rsid w:val="004B43A0"/>
    <w:rsid w:val="004B4A9E"/>
    <w:rsid w:val="004B530D"/>
    <w:rsid w:val="004B573A"/>
    <w:rsid w:val="004B5E8D"/>
    <w:rsid w:val="004B61A4"/>
    <w:rsid w:val="004B6E8E"/>
    <w:rsid w:val="004B7F2D"/>
    <w:rsid w:val="004B7F3E"/>
    <w:rsid w:val="004C0C82"/>
    <w:rsid w:val="004C17FD"/>
    <w:rsid w:val="004C1A28"/>
    <w:rsid w:val="004C247A"/>
    <w:rsid w:val="004C2561"/>
    <w:rsid w:val="004C2AB0"/>
    <w:rsid w:val="004C2DCC"/>
    <w:rsid w:val="004C2E08"/>
    <w:rsid w:val="004C2E49"/>
    <w:rsid w:val="004C2EC8"/>
    <w:rsid w:val="004C3CDB"/>
    <w:rsid w:val="004C3D25"/>
    <w:rsid w:val="004C3F2D"/>
    <w:rsid w:val="004C467D"/>
    <w:rsid w:val="004C4E1C"/>
    <w:rsid w:val="004C5099"/>
    <w:rsid w:val="004C597B"/>
    <w:rsid w:val="004C5C39"/>
    <w:rsid w:val="004C63A9"/>
    <w:rsid w:val="004C65E9"/>
    <w:rsid w:val="004C68A4"/>
    <w:rsid w:val="004C6DFB"/>
    <w:rsid w:val="004C7D80"/>
    <w:rsid w:val="004C7FD0"/>
    <w:rsid w:val="004D0135"/>
    <w:rsid w:val="004D12FE"/>
    <w:rsid w:val="004D1361"/>
    <w:rsid w:val="004D13C4"/>
    <w:rsid w:val="004D160B"/>
    <w:rsid w:val="004D1638"/>
    <w:rsid w:val="004D1948"/>
    <w:rsid w:val="004D1A94"/>
    <w:rsid w:val="004D1C9C"/>
    <w:rsid w:val="004D234F"/>
    <w:rsid w:val="004D2935"/>
    <w:rsid w:val="004D2A1D"/>
    <w:rsid w:val="004D39CD"/>
    <w:rsid w:val="004D3B9A"/>
    <w:rsid w:val="004D3C97"/>
    <w:rsid w:val="004D4017"/>
    <w:rsid w:val="004D4046"/>
    <w:rsid w:val="004D4353"/>
    <w:rsid w:val="004D437F"/>
    <w:rsid w:val="004D48A5"/>
    <w:rsid w:val="004D5D90"/>
    <w:rsid w:val="004D705A"/>
    <w:rsid w:val="004D7116"/>
    <w:rsid w:val="004D7EAB"/>
    <w:rsid w:val="004E0480"/>
    <w:rsid w:val="004E0861"/>
    <w:rsid w:val="004E0C86"/>
    <w:rsid w:val="004E0E36"/>
    <w:rsid w:val="004E28C5"/>
    <w:rsid w:val="004E2A47"/>
    <w:rsid w:val="004E3BC6"/>
    <w:rsid w:val="004E419D"/>
    <w:rsid w:val="004E4DB5"/>
    <w:rsid w:val="004E4F91"/>
    <w:rsid w:val="004E5375"/>
    <w:rsid w:val="004E60F0"/>
    <w:rsid w:val="004E688B"/>
    <w:rsid w:val="004E6AA4"/>
    <w:rsid w:val="004E7566"/>
    <w:rsid w:val="004E75ED"/>
    <w:rsid w:val="004E7773"/>
    <w:rsid w:val="004E77E0"/>
    <w:rsid w:val="004E7D2A"/>
    <w:rsid w:val="004F00B5"/>
    <w:rsid w:val="004F035D"/>
    <w:rsid w:val="004F0498"/>
    <w:rsid w:val="004F051A"/>
    <w:rsid w:val="004F05C7"/>
    <w:rsid w:val="004F0BDF"/>
    <w:rsid w:val="004F0CD0"/>
    <w:rsid w:val="004F0D51"/>
    <w:rsid w:val="004F10DA"/>
    <w:rsid w:val="004F13A9"/>
    <w:rsid w:val="004F1D39"/>
    <w:rsid w:val="004F22E0"/>
    <w:rsid w:val="004F2BE7"/>
    <w:rsid w:val="004F30C2"/>
    <w:rsid w:val="004F3514"/>
    <w:rsid w:val="004F3F48"/>
    <w:rsid w:val="004F4877"/>
    <w:rsid w:val="004F55AC"/>
    <w:rsid w:val="004F5982"/>
    <w:rsid w:val="004F59BA"/>
    <w:rsid w:val="004F6ED3"/>
    <w:rsid w:val="004F740A"/>
    <w:rsid w:val="004F7668"/>
    <w:rsid w:val="004F767A"/>
    <w:rsid w:val="004F7A09"/>
    <w:rsid w:val="004F7F57"/>
    <w:rsid w:val="005006E9"/>
    <w:rsid w:val="005008B5"/>
    <w:rsid w:val="00500CB6"/>
    <w:rsid w:val="00500DC8"/>
    <w:rsid w:val="00500F29"/>
    <w:rsid w:val="00501E63"/>
    <w:rsid w:val="00502686"/>
    <w:rsid w:val="0050288B"/>
    <w:rsid w:val="00502C79"/>
    <w:rsid w:val="00502F70"/>
    <w:rsid w:val="005035AE"/>
    <w:rsid w:val="00503937"/>
    <w:rsid w:val="00504A5C"/>
    <w:rsid w:val="00505A25"/>
    <w:rsid w:val="00505B82"/>
    <w:rsid w:val="005067B5"/>
    <w:rsid w:val="00506879"/>
    <w:rsid w:val="00506A4C"/>
    <w:rsid w:val="005072C0"/>
    <w:rsid w:val="00507F16"/>
    <w:rsid w:val="00510187"/>
    <w:rsid w:val="00510463"/>
    <w:rsid w:val="00511B88"/>
    <w:rsid w:val="0051265A"/>
    <w:rsid w:val="0051318B"/>
    <w:rsid w:val="00513272"/>
    <w:rsid w:val="00513516"/>
    <w:rsid w:val="00513A0D"/>
    <w:rsid w:val="005148E0"/>
    <w:rsid w:val="0051497C"/>
    <w:rsid w:val="00514B93"/>
    <w:rsid w:val="00514E75"/>
    <w:rsid w:val="0051528F"/>
    <w:rsid w:val="005157D5"/>
    <w:rsid w:val="005162C8"/>
    <w:rsid w:val="0052015B"/>
    <w:rsid w:val="0052120B"/>
    <w:rsid w:val="00521780"/>
    <w:rsid w:val="00522796"/>
    <w:rsid w:val="00523D26"/>
    <w:rsid w:val="00524EAA"/>
    <w:rsid w:val="00525C3D"/>
    <w:rsid w:val="005266EC"/>
    <w:rsid w:val="005267B9"/>
    <w:rsid w:val="00527105"/>
    <w:rsid w:val="00527F9E"/>
    <w:rsid w:val="0053041B"/>
    <w:rsid w:val="00530802"/>
    <w:rsid w:val="00530AF0"/>
    <w:rsid w:val="00530F63"/>
    <w:rsid w:val="00530FA6"/>
    <w:rsid w:val="005312FA"/>
    <w:rsid w:val="00531E9A"/>
    <w:rsid w:val="0053207D"/>
    <w:rsid w:val="00532A4E"/>
    <w:rsid w:val="00532B02"/>
    <w:rsid w:val="005334F6"/>
    <w:rsid w:val="00533B06"/>
    <w:rsid w:val="00533DAD"/>
    <w:rsid w:val="00534327"/>
    <w:rsid w:val="005351C0"/>
    <w:rsid w:val="005367B5"/>
    <w:rsid w:val="00536BAA"/>
    <w:rsid w:val="00536E28"/>
    <w:rsid w:val="00536F86"/>
    <w:rsid w:val="005375C0"/>
    <w:rsid w:val="0053766A"/>
    <w:rsid w:val="00537756"/>
    <w:rsid w:val="00537D9A"/>
    <w:rsid w:val="00540085"/>
    <w:rsid w:val="0054078D"/>
    <w:rsid w:val="00540795"/>
    <w:rsid w:val="00540B75"/>
    <w:rsid w:val="00541C04"/>
    <w:rsid w:val="00541DBA"/>
    <w:rsid w:val="00541FF6"/>
    <w:rsid w:val="00542A7F"/>
    <w:rsid w:val="00543A73"/>
    <w:rsid w:val="00543E4C"/>
    <w:rsid w:val="0054431C"/>
    <w:rsid w:val="0054440A"/>
    <w:rsid w:val="00544463"/>
    <w:rsid w:val="00545BD7"/>
    <w:rsid w:val="00545F90"/>
    <w:rsid w:val="00546110"/>
    <w:rsid w:val="005461BE"/>
    <w:rsid w:val="0054655A"/>
    <w:rsid w:val="00546FEF"/>
    <w:rsid w:val="005471B6"/>
    <w:rsid w:val="005474D2"/>
    <w:rsid w:val="00547FC2"/>
    <w:rsid w:val="005505BD"/>
    <w:rsid w:val="00550B25"/>
    <w:rsid w:val="00550DD2"/>
    <w:rsid w:val="00551175"/>
    <w:rsid w:val="00551C5D"/>
    <w:rsid w:val="00552D55"/>
    <w:rsid w:val="0055305C"/>
    <w:rsid w:val="005530B7"/>
    <w:rsid w:val="005530D5"/>
    <w:rsid w:val="005531DF"/>
    <w:rsid w:val="0055326D"/>
    <w:rsid w:val="00553E39"/>
    <w:rsid w:val="0055687F"/>
    <w:rsid w:val="00556CBB"/>
    <w:rsid w:val="0055731E"/>
    <w:rsid w:val="0055737E"/>
    <w:rsid w:val="00557451"/>
    <w:rsid w:val="00557B72"/>
    <w:rsid w:val="005601DF"/>
    <w:rsid w:val="00560948"/>
    <w:rsid w:val="00560D10"/>
    <w:rsid w:val="00560F43"/>
    <w:rsid w:val="00561002"/>
    <w:rsid w:val="00561307"/>
    <w:rsid w:val="0056186F"/>
    <w:rsid w:val="0056189E"/>
    <w:rsid w:val="00562070"/>
    <w:rsid w:val="0056288C"/>
    <w:rsid w:val="00563501"/>
    <w:rsid w:val="005637EA"/>
    <w:rsid w:val="005645B2"/>
    <w:rsid w:val="0056558A"/>
    <w:rsid w:val="005657C1"/>
    <w:rsid w:val="00565C65"/>
    <w:rsid w:val="00565E57"/>
    <w:rsid w:val="00565F9A"/>
    <w:rsid w:val="0056608A"/>
    <w:rsid w:val="005669B2"/>
    <w:rsid w:val="00567A1E"/>
    <w:rsid w:val="00567E20"/>
    <w:rsid w:val="00570E07"/>
    <w:rsid w:val="0057139B"/>
    <w:rsid w:val="00571979"/>
    <w:rsid w:val="00571ECD"/>
    <w:rsid w:val="005723F8"/>
    <w:rsid w:val="00572577"/>
    <w:rsid w:val="00572DED"/>
    <w:rsid w:val="0057322C"/>
    <w:rsid w:val="005732D0"/>
    <w:rsid w:val="005739EF"/>
    <w:rsid w:val="005744C2"/>
    <w:rsid w:val="00575666"/>
    <w:rsid w:val="00575D50"/>
    <w:rsid w:val="00575DC7"/>
    <w:rsid w:val="00576B0D"/>
    <w:rsid w:val="00576CD4"/>
    <w:rsid w:val="00577E9D"/>
    <w:rsid w:val="00580116"/>
    <w:rsid w:val="0058085D"/>
    <w:rsid w:val="00581106"/>
    <w:rsid w:val="00581296"/>
    <w:rsid w:val="00581586"/>
    <w:rsid w:val="0058168C"/>
    <w:rsid w:val="00581B66"/>
    <w:rsid w:val="00581E2B"/>
    <w:rsid w:val="00581F8C"/>
    <w:rsid w:val="005822C4"/>
    <w:rsid w:val="005825C9"/>
    <w:rsid w:val="005826B6"/>
    <w:rsid w:val="0058394F"/>
    <w:rsid w:val="005841E0"/>
    <w:rsid w:val="00584581"/>
    <w:rsid w:val="00584735"/>
    <w:rsid w:val="00584CD0"/>
    <w:rsid w:val="00584EF7"/>
    <w:rsid w:val="00585426"/>
    <w:rsid w:val="005859CD"/>
    <w:rsid w:val="00585AF8"/>
    <w:rsid w:val="00585CFE"/>
    <w:rsid w:val="00585EDA"/>
    <w:rsid w:val="00586F63"/>
    <w:rsid w:val="00587115"/>
    <w:rsid w:val="0058742E"/>
    <w:rsid w:val="00590261"/>
    <w:rsid w:val="0059061C"/>
    <w:rsid w:val="00590650"/>
    <w:rsid w:val="00590CD2"/>
    <w:rsid w:val="00590EEB"/>
    <w:rsid w:val="00592010"/>
    <w:rsid w:val="00592479"/>
    <w:rsid w:val="00592C9D"/>
    <w:rsid w:val="00592E16"/>
    <w:rsid w:val="00593A41"/>
    <w:rsid w:val="00593AE7"/>
    <w:rsid w:val="00593CBA"/>
    <w:rsid w:val="00593E1E"/>
    <w:rsid w:val="005943FC"/>
    <w:rsid w:val="00594691"/>
    <w:rsid w:val="005948B5"/>
    <w:rsid w:val="00594DB7"/>
    <w:rsid w:val="00594E4A"/>
    <w:rsid w:val="00595105"/>
    <w:rsid w:val="00595CB9"/>
    <w:rsid w:val="00596059"/>
    <w:rsid w:val="005967B3"/>
    <w:rsid w:val="00596891"/>
    <w:rsid w:val="00597F5A"/>
    <w:rsid w:val="005A01C1"/>
    <w:rsid w:val="005A0BE2"/>
    <w:rsid w:val="005A1078"/>
    <w:rsid w:val="005A1831"/>
    <w:rsid w:val="005A19A7"/>
    <w:rsid w:val="005A2BCD"/>
    <w:rsid w:val="005A2E15"/>
    <w:rsid w:val="005A3C0D"/>
    <w:rsid w:val="005A57E0"/>
    <w:rsid w:val="005A5875"/>
    <w:rsid w:val="005B05F7"/>
    <w:rsid w:val="005B0646"/>
    <w:rsid w:val="005B0ABC"/>
    <w:rsid w:val="005B1C02"/>
    <w:rsid w:val="005B29DE"/>
    <w:rsid w:val="005B2A66"/>
    <w:rsid w:val="005B2FFF"/>
    <w:rsid w:val="005B333E"/>
    <w:rsid w:val="005B436F"/>
    <w:rsid w:val="005B4439"/>
    <w:rsid w:val="005B4C1B"/>
    <w:rsid w:val="005B4E81"/>
    <w:rsid w:val="005B4FD6"/>
    <w:rsid w:val="005B54F8"/>
    <w:rsid w:val="005B56F6"/>
    <w:rsid w:val="005B5F07"/>
    <w:rsid w:val="005B603B"/>
    <w:rsid w:val="005B64CD"/>
    <w:rsid w:val="005B6D69"/>
    <w:rsid w:val="005B7037"/>
    <w:rsid w:val="005B703E"/>
    <w:rsid w:val="005B7910"/>
    <w:rsid w:val="005B7C4F"/>
    <w:rsid w:val="005C0A35"/>
    <w:rsid w:val="005C0BC7"/>
    <w:rsid w:val="005C0CF2"/>
    <w:rsid w:val="005C1B02"/>
    <w:rsid w:val="005C3010"/>
    <w:rsid w:val="005C37EC"/>
    <w:rsid w:val="005C3B06"/>
    <w:rsid w:val="005C45F6"/>
    <w:rsid w:val="005C46E8"/>
    <w:rsid w:val="005C4A66"/>
    <w:rsid w:val="005C5398"/>
    <w:rsid w:val="005C605F"/>
    <w:rsid w:val="005C62D3"/>
    <w:rsid w:val="005C6890"/>
    <w:rsid w:val="005D05AD"/>
    <w:rsid w:val="005D0866"/>
    <w:rsid w:val="005D2575"/>
    <w:rsid w:val="005D381F"/>
    <w:rsid w:val="005D39FB"/>
    <w:rsid w:val="005D3B1F"/>
    <w:rsid w:val="005D5112"/>
    <w:rsid w:val="005D5668"/>
    <w:rsid w:val="005D5AF7"/>
    <w:rsid w:val="005D7183"/>
    <w:rsid w:val="005D75AA"/>
    <w:rsid w:val="005D7877"/>
    <w:rsid w:val="005E02DF"/>
    <w:rsid w:val="005E0FB1"/>
    <w:rsid w:val="005E100F"/>
    <w:rsid w:val="005E1049"/>
    <w:rsid w:val="005E1153"/>
    <w:rsid w:val="005E1624"/>
    <w:rsid w:val="005E2136"/>
    <w:rsid w:val="005E218E"/>
    <w:rsid w:val="005E28A5"/>
    <w:rsid w:val="005E3238"/>
    <w:rsid w:val="005E326B"/>
    <w:rsid w:val="005E36CF"/>
    <w:rsid w:val="005E3A56"/>
    <w:rsid w:val="005E41F0"/>
    <w:rsid w:val="005E4381"/>
    <w:rsid w:val="005E43C6"/>
    <w:rsid w:val="005E55B5"/>
    <w:rsid w:val="005E57A4"/>
    <w:rsid w:val="005E60A7"/>
    <w:rsid w:val="005E658C"/>
    <w:rsid w:val="005E6F10"/>
    <w:rsid w:val="005E70E6"/>
    <w:rsid w:val="005E7AC3"/>
    <w:rsid w:val="005E7E19"/>
    <w:rsid w:val="005F05B5"/>
    <w:rsid w:val="005F072F"/>
    <w:rsid w:val="005F0D29"/>
    <w:rsid w:val="005F1C94"/>
    <w:rsid w:val="005F2454"/>
    <w:rsid w:val="005F256D"/>
    <w:rsid w:val="005F25B4"/>
    <w:rsid w:val="005F298A"/>
    <w:rsid w:val="005F2A62"/>
    <w:rsid w:val="005F3317"/>
    <w:rsid w:val="005F3958"/>
    <w:rsid w:val="005F3C11"/>
    <w:rsid w:val="005F415E"/>
    <w:rsid w:val="005F4212"/>
    <w:rsid w:val="005F4641"/>
    <w:rsid w:val="005F4651"/>
    <w:rsid w:val="005F4CF1"/>
    <w:rsid w:val="005F5270"/>
    <w:rsid w:val="005F577B"/>
    <w:rsid w:val="005F694E"/>
    <w:rsid w:val="005F6A54"/>
    <w:rsid w:val="005F739E"/>
    <w:rsid w:val="005F7482"/>
    <w:rsid w:val="00600402"/>
    <w:rsid w:val="00600861"/>
    <w:rsid w:val="00600990"/>
    <w:rsid w:val="00600F86"/>
    <w:rsid w:val="0060102E"/>
    <w:rsid w:val="006011B3"/>
    <w:rsid w:val="006012E2"/>
    <w:rsid w:val="0060130B"/>
    <w:rsid w:val="0060195A"/>
    <w:rsid w:val="00601EB0"/>
    <w:rsid w:val="0060239D"/>
    <w:rsid w:val="00602BC2"/>
    <w:rsid w:val="00602D3B"/>
    <w:rsid w:val="00602DAF"/>
    <w:rsid w:val="00603402"/>
    <w:rsid w:val="00603481"/>
    <w:rsid w:val="006034E1"/>
    <w:rsid w:val="00604455"/>
    <w:rsid w:val="00605452"/>
    <w:rsid w:val="00605D24"/>
    <w:rsid w:val="006061E5"/>
    <w:rsid w:val="00607371"/>
    <w:rsid w:val="00607D41"/>
    <w:rsid w:val="00610009"/>
    <w:rsid w:val="006101FA"/>
    <w:rsid w:val="006105D8"/>
    <w:rsid w:val="006106B9"/>
    <w:rsid w:val="0061093A"/>
    <w:rsid w:val="00611BE4"/>
    <w:rsid w:val="00611CBA"/>
    <w:rsid w:val="0061262D"/>
    <w:rsid w:val="00612EB5"/>
    <w:rsid w:val="00614899"/>
    <w:rsid w:val="0061545D"/>
    <w:rsid w:val="00615CBD"/>
    <w:rsid w:val="00615D53"/>
    <w:rsid w:val="00615E9C"/>
    <w:rsid w:val="00616319"/>
    <w:rsid w:val="00620D01"/>
    <w:rsid w:val="00621652"/>
    <w:rsid w:val="00621C66"/>
    <w:rsid w:val="00621E99"/>
    <w:rsid w:val="00621FB4"/>
    <w:rsid w:val="00622158"/>
    <w:rsid w:val="00623EBF"/>
    <w:rsid w:val="00624BC8"/>
    <w:rsid w:val="00625082"/>
    <w:rsid w:val="0062539C"/>
    <w:rsid w:val="00625444"/>
    <w:rsid w:val="00625C30"/>
    <w:rsid w:val="00625F07"/>
    <w:rsid w:val="00626AC3"/>
    <w:rsid w:val="00626BAB"/>
    <w:rsid w:val="006271F7"/>
    <w:rsid w:val="00627D8D"/>
    <w:rsid w:val="00630252"/>
    <w:rsid w:val="00631A14"/>
    <w:rsid w:val="006329C0"/>
    <w:rsid w:val="00632D1F"/>
    <w:rsid w:val="00632EC3"/>
    <w:rsid w:val="006340D1"/>
    <w:rsid w:val="00634441"/>
    <w:rsid w:val="00634659"/>
    <w:rsid w:val="0063546A"/>
    <w:rsid w:val="00635557"/>
    <w:rsid w:val="00635740"/>
    <w:rsid w:val="00635B2F"/>
    <w:rsid w:val="00636CC0"/>
    <w:rsid w:val="006375D8"/>
    <w:rsid w:val="00637802"/>
    <w:rsid w:val="00637B5B"/>
    <w:rsid w:val="00637E66"/>
    <w:rsid w:val="00637E96"/>
    <w:rsid w:val="00640C51"/>
    <w:rsid w:val="00641040"/>
    <w:rsid w:val="006413BB"/>
    <w:rsid w:val="00641816"/>
    <w:rsid w:val="0064192D"/>
    <w:rsid w:val="006419CD"/>
    <w:rsid w:val="00641C23"/>
    <w:rsid w:val="0064286B"/>
    <w:rsid w:val="006429D8"/>
    <w:rsid w:val="00642E9C"/>
    <w:rsid w:val="00643826"/>
    <w:rsid w:val="00643DD7"/>
    <w:rsid w:val="00644F90"/>
    <w:rsid w:val="006455A8"/>
    <w:rsid w:val="00646413"/>
    <w:rsid w:val="0064654F"/>
    <w:rsid w:val="00646668"/>
    <w:rsid w:val="00646853"/>
    <w:rsid w:val="00646FEE"/>
    <w:rsid w:val="00647D9F"/>
    <w:rsid w:val="00647DAE"/>
    <w:rsid w:val="006506C4"/>
    <w:rsid w:val="00650744"/>
    <w:rsid w:val="00650848"/>
    <w:rsid w:val="00650B19"/>
    <w:rsid w:val="00651BE1"/>
    <w:rsid w:val="006521D9"/>
    <w:rsid w:val="0065230A"/>
    <w:rsid w:val="00652473"/>
    <w:rsid w:val="0065309E"/>
    <w:rsid w:val="006530D0"/>
    <w:rsid w:val="006534D3"/>
    <w:rsid w:val="0065383A"/>
    <w:rsid w:val="00653CB4"/>
    <w:rsid w:val="00654252"/>
    <w:rsid w:val="00654261"/>
    <w:rsid w:val="006542D4"/>
    <w:rsid w:val="006543B3"/>
    <w:rsid w:val="00654564"/>
    <w:rsid w:val="00654F70"/>
    <w:rsid w:val="0065588D"/>
    <w:rsid w:val="00655BFC"/>
    <w:rsid w:val="00655E57"/>
    <w:rsid w:val="00655E92"/>
    <w:rsid w:val="00656389"/>
    <w:rsid w:val="00656B2D"/>
    <w:rsid w:val="006576CB"/>
    <w:rsid w:val="006601EB"/>
    <w:rsid w:val="00660D5A"/>
    <w:rsid w:val="00661799"/>
    <w:rsid w:val="00661E96"/>
    <w:rsid w:val="006620EA"/>
    <w:rsid w:val="00662573"/>
    <w:rsid w:val="00663D80"/>
    <w:rsid w:val="006645E3"/>
    <w:rsid w:val="00664A06"/>
    <w:rsid w:val="00664D92"/>
    <w:rsid w:val="00665A29"/>
    <w:rsid w:val="0066606C"/>
    <w:rsid w:val="0066682B"/>
    <w:rsid w:val="00666FA5"/>
    <w:rsid w:val="0066770F"/>
    <w:rsid w:val="0066777D"/>
    <w:rsid w:val="00667A6D"/>
    <w:rsid w:val="006711C0"/>
    <w:rsid w:val="00672648"/>
    <w:rsid w:val="0067283D"/>
    <w:rsid w:val="00672CA7"/>
    <w:rsid w:val="00672D95"/>
    <w:rsid w:val="006738A2"/>
    <w:rsid w:val="00673BA6"/>
    <w:rsid w:val="00673EA3"/>
    <w:rsid w:val="00674752"/>
    <w:rsid w:val="00674894"/>
    <w:rsid w:val="00674C66"/>
    <w:rsid w:val="0067583F"/>
    <w:rsid w:val="00675ABB"/>
    <w:rsid w:val="00676784"/>
    <w:rsid w:val="0067793A"/>
    <w:rsid w:val="00677D9C"/>
    <w:rsid w:val="00680693"/>
    <w:rsid w:val="006811B2"/>
    <w:rsid w:val="006816CF"/>
    <w:rsid w:val="00681C59"/>
    <w:rsid w:val="00681CD0"/>
    <w:rsid w:val="00681D75"/>
    <w:rsid w:val="00682067"/>
    <w:rsid w:val="0068243D"/>
    <w:rsid w:val="00683053"/>
    <w:rsid w:val="006837BD"/>
    <w:rsid w:val="0068455D"/>
    <w:rsid w:val="0068544B"/>
    <w:rsid w:val="00685F7D"/>
    <w:rsid w:val="00686384"/>
    <w:rsid w:val="006863F7"/>
    <w:rsid w:val="0068671D"/>
    <w:rsid w:val="006875C3"/>
    <w:rsid w:val="00687E09"/>
    <w:rsid w:val="0069093C"/>
    <w:rsid w:val="00690AD4"/>
    <w:rsid w:val="0069132B"/>
    <w:rsid w:val="006914BB"/>
    <w:rsid w:val="00691992"/>
    <w:rsid w:val="00691C8D"/>
    <w:rsid w:val="00691FD0"/>
    <w:rsid w:val="006924E6"/>
    <w:rsid w:val="00692817"/>
    <w:rsid w:val="00692E9D"/>
    <w:rsid w:val="0069383E"/>
    <w:rsid w:val="00693A2D"/>
    <w:rsid w:val="00693AE8"/>
    <w:rsid w:val="0069404E"/>
    <w:rsid w:val="006946EF"/>
    <w:rsid w:val="00694FEF"/>
    <w:rsid w:val="0069522A"/>
    <w:rsid w:val="00695699"/>
    <w:rsid w:val="00695F67"/>
    <w:rsid w:val="006961F2"/>
    <w:rsid w:val="00696379"/>
    <w:rsid w:val="00696447"/>
    <w:rsid w:val="00696743"/>
    <w:rsid w:val="00696763"/>
    <w:rsid w:val="00696EA0"/>
    <w:rsid w:val="006970D5"/>
    <w:rsid w:val="0069774E"/>
    <w:rsid w:val="00697963"/>
    <w:rsid w:val="00697FA4"/>
    <w:rsid w:val="006A0154"/>
    <w:rsid w:val="006A01BB"/>
    <w:rsid w:val="006A070E"/>
    <w:rsid w:val="006A0BA3"/>
    <w:rsid w:val="006A0CAB"/>
    <w:rsid w:val="006A12F0"/>
    <w:rsid w:val="006A1FC1"/>
    <w:rsid w:val="006A2977"/>
    <w:rsid w:val="006A2C87"/>
    <w:rsid w:val="006A388A"/>
    <w:rsid w:val="006A3A6B"/>
    <w:rsid w:val="006A44AB"/>
    <w:rsid w:val="006A48B7"/>
    <w:rsid w:val="006A4C8A"/>
    <w:rsid w:val="006A4CC1"/>
    <w:rsid w:val="006A5512"/>
    <w:rsid w:val="006A5932"/>
    <w:rsid w:val="006A596B"/>
    <w:rsid w:val="006A6B21"/>
    <w:rsid w:val="006A73A9"/>
    <w:rsid w:val="006A7896"/>
    <w:rsid w:val="006B03DA"/>
    <w:rsid w:val="006B0875"/>
    <w:rsid w:val="006B08E8"/>
    <w:rsid w:val="006B0A56"/>
    <w:rsid w:val="006B1B85"/>
    <w:rsid w:val="006B2C46"/>
    <w:rsid w:val="006B2F06"/>
    <w:rsid w:val="006B387C"/>
    <w:rsid w:val="006B4A67"/>
    <w:rsid w:val="006B4B1E"/>
    <w:rsid w:val="006B506D"/>
    <w:rsid w:val="006B6010"/>
    <w:rsid w:val="006B614C"/>
    <w:rsid w:val="006B64E7"/>
    <w:rsid w:val="006B7034"/>
    <w:rsid w:val="006B71A4"/>
    <w:rsid w:val="006C0A4B"/>
    <w:rsid w:val="006C1042"/>
    <w:rsid w:val="006C11B3"/>
    <w:rsid w:val="006C1423"/>
    <w:rsid w:val="006C14AE"/>
    <w:rsid w:val="006C1DEE"/>
    <w:rsid w:val="006C21DF"/>
    <w:rsid w:val="006C260F"/>
    <w:rsid w:val="006C2C81"/>
    <w:rsid w:val="006C35AE"/>
    <w:rsid w:val="006C3674"/>
    <w:rsid w:val="006C451B"/>
    <w:rsid w:val="006C5363"/>
    <w:rsid w:val="006C54E7"/>
    <w:rsid w:val="006C5E3E"/>
    <w:rsid w:val="006C6337"/>
    <w:rsid w:val="006C6CCE"/>
    <w:rsid w:val="006C6DFA"/>
    <w:rsid w:val="006C7021"/>
    <w:rsid w:val="006C7132"/>
    <w:rsid w:val="006C7F44"/>
    <w:rsid w:val="006D0414"/>
    <w:rsid w:val="006D0785"/>
    <w:rsid w:val="006D1BBB"/>
    <w:rsid w:val="006D1D29"/>
    <w:rsid w:val="006D227C"/>
    <w:rsid w:val="006D2C94"/>
    <w:rsid w:val="006D2EBD"/>
    <w:rsid w:val="006D3846"/>
    <w:rsid w:val="006D38F8"/>
    <w:rsid w:val="006D3AC5"/>
    <w:rsid w:val="006D498B"/>
    <w:rsid w:val="006D5316"/>
    <w:rsid w:val="006D5766"/>
    <w:rsid w:val="006D5A5D"/>
    <w:rsid w:val="006D5D97"/>
    <w:rsid w:val="006D6E50"/>
    <w:rsid w:val="006D6EA3"/>
    <w:rsid w:val="006D700B"/>
    <w:rsid w:val="006D7543"/>
    <w:rsid w:val="006D785B"/>
    <w:rsid w:val="006D7872"/>
    <w:rsid w:val="006E02FE"/>
    <w:rsid w:val="006E0921"/>
    <w:rsid w:val="006E0A32"/>
    <w:rsid w:val="006E0D51"/>
    <w:rsid w:val="006E1768"/>
    <w:rsid w:val="006E1B6A"/>
    <w:rsid w:val="006E20F0"/>
    <w:rsid w:val="006E2779"/>
    <w:rsid w:val="006E2839"/>
    <w:rsid w:val="006E2C45"/>
    <w:rsid w:val="006E2CB6"/>
    <w:rsid w:val="006E31BF"/>
    <w:rsid w:val="006E3C48"/>
    <w:rsid w:val="006E4774"/>
    <w:rsid w:val="006E4B0D"/>
    <w:rsid w:val="006E5283"/>
    <w:rsid w:val="006E5A14"/>
    <w:rsid w:val="006E5C06"/>
    <w:rsid w:val="006E5D9D"/>
    <w:rsid w:val="006E5DDE"/>
    <w:rsid w:val="006E7045"/>
    <w:rsid w:val="006E7E19"/>
    <w:rsid w:val="006F0351"/>
    <w:rsid w:val="006F039D"/>
    <w:rsid w:val="006F05F6"/>
    <w:rsid w:val="006F0BA3"/>
    <w:rsid w:val="006F15F6"/>
    <w:rsid w:val="006F196E"/>
    <w:rsid w:val="006F246B"/>
    <w:rsid w:val="006F37D2"/>
    <w:rsid w:val="006F3F36"/>
    <w:rsid w:val="006F4235"/>
    <w:rsid w:val="006F461C"/>
    <w:rsid w:val="006F5A59"/>
    <w:rsid w:val="006F5CF8"/>
    <w:rsid w:val="006F5DCD"/>
    <w:rsid w:val="006F6C8C"/>
    <w:rsid w:val="006F7AC2"/>
    <w:rsid w:val="006F7B35"/>
    <w:rsid w:val="006F7D41"/>
    <w:rsid w:val="00700261"/>
    <w:rsid w:val="00701BB4"/>
    <w:rsid w:val="0070210F"/>
    <w:rsid w:val="00702955"/>
    <w:rsid w:val="00702C6C"/>
    <w:rsid w:val="00703243"/>
    <w:rsid w:val="007033AD"/>
    <w:rsid w:val="0070364B"/>
    <w:rsid w:val="007039A1"/>
    <w:rsid w:val="00703B4F"/>
    <w:rsid w:val="00703BE8"/>
    <w:rsid w:val="00703FF0"/>
    <w:rsid w:val="007041EC"/>
    <w:rsid w:val="00704428"/>
    <w:rsid w:val="007046A1"/>
    <w:rsid w:val="00705918"/>
    <w:rsid w:val="0070629F"/>
    <w:rsid w:val="007067A4"/>
    <w:rsid w:val="00706989"/>
    <w:rsid w:val="00706B0F"/>
    <w:rsid w:val="00706C5D"/>
    <w:rsid w:val="00706E0D"/>
    <w:rsid w:val="0070774F"/>
    <w:rsid w:val="00710546"/>
    <w:rsid w:val="00710CE0"/>
    <w:rsid w:val="007111D1"/>
    <w:rsid w:val="00711469"/>
    <w:rsid w:val="00711B77"/>
    <w:rsid w:val="00712513"/>
    <w:rsid w:val="00712B11"/>
    <w:rsid w:val="00713074"/>
    <w:rsid w:val="007130BA"/>
    <w:rsid w:val="00713346"/>
    <w:rsid w:val="007145D4"/>
    <w:rsid w:val="00715AFC"/>
    <w:rsid w:val="00715DD5"/>
    <w:rsid w:val="00716012"/>
    <w:rsid w:val="007161A2"/>
    <w:rsid w:val="007167F3"/>
    <w:rsid w:val="00716C68"/>
    <w:rsid w:val="007171AD"/>
    <w:rsid w:val="00717634"/>
    <w:rsid w:val="00720024"/>
    <w:rsid w:val="007203D8"/>
    <w:rsid w:val="0072069E"/>
    <w:rsid w:val="00720AD3"/>
    <w:rsid w:val="007211F0"/>
    <w:rsid w:val="00721642"/>
    <w:rsid w:val="00721697"/>
    <w:rsid w:val="007219FA"/>
    <w:rsid w:val="00721A2F"/>
    <w:rsid w:val="00721B06"/>
    <w:rsid w:val="00723147"/>
    <w:rsid w:val="00723301"/>
    <w:rsid w:val="007233C4"/>
    <w:rsid w:val="007237F8"/>
    <w:rsid w:val="007239A4"/>
    <w:rsid w:val="00723D29"/>
    <w:rsid w:val="00724E9E"/>
    <w:rsid w:val="00725149"/>
    <w:rsid w:val="00726623"/>
    <w:rsid w:val="00727031"/>
    <w:rsid w:val="00727710"/>
    <w:rsid w:val="00727CC3"/>
    <w:rsid w:val="00730F0A"/>
    <w:rsid w:val="007311FB"/>
    <w:rsid w:val="0073149E"/>
    <w:rsid w:val="007314DB"/>
    <w:rsid w:val="0073187F"/>
    <w:rsid w:val="00731A12"/>
    <w:rsid w:val="00731F9D"/>
    <w:rsid w:val="007320BD"/>
    <w:rsid w:val="00732C39"/>
    <w:rsid w:val="00732CF3"/>
    <w:rsid w:val="00733439"/>
    <w:rsid w:val="007338D1"/>
    <w:rsid w:val="0073502B"/>
    <w:rsid w:val="007351FE"/>
    <w:rsid w:val="0073522D"/>
    <w:rsid w:val="00735462"/>
    <w:rsid w:val="0073570A"/>
    <w:rsid w:val="00735CCB"/>
    <w:rsid w:val="00735DC4"/>
    <w:rsid w:val="007365B2"/>
    <w:rsid w:val="00736A0C"/>
    <w:rsid w:val="00736A71"/>
    <w:rsid w:val="0073734D"/>
    <w:rsid w:val="007373D1"/>
    <w:rsid w:val="00737ADA"/>
    <w:rsid w:val="00737C62"/>
    <w:rsid w:val="00740B8C"/>
    <w:rsid w:val="007417FC"/>
    <w:rsid w:val="007418E7"/>
    <w:rsid w:val="00741CA4"/>
    <w:rsid w:val="007427E4"/>
    <w:rsid w:val="00742816"/>
    <w:rsid w:val="007435D2"/>
    <w:rsid w:val="007443D7"/>
    <w:rsid w:val="00744FDB"/>
    <w:rsid w:val="00745566"/>
    <w:rsid w:val="00745BB0"/>
    <w:rsid w:val="00745BF8"/>
    <w:rsid w:val="0074691F"/>
    <w:rsid w:val="007469EA"/>
    <w:rsid w:val="0075035C"/>
    <w:rsid w:val="00750749"/>
    <w:rsid w:val="00750B9A"/>
    <w:rsid w:val="00750C0D"/>
    <w:rsid w:val="00751EA6"/>
    <w:rsid w:val="0075219A"/>
    <w:rsid w:val="00752E88"/>
    <w:rsid w:val="00752F27"/>
    <w:rsid w:val="007535A9"/>
    <w:rsid w:val="00754305"/>
    <w:rsid w:val="007546F6"/>
    <w:rsid w:val="007547B5"/>
    <w:rsid w:val="00754856"/>
    <w:rsid w:val="00754930"/>
    <w:rsid w:val="0075531B"/>
    <w:rsid w:val="007556D0"/>
    <w:rsid w:val="00756095"/>
    <w:rsid w:val="00757948"/>
    <w:rsid w:val="00757BAE"/>
    <w:rsid w:val="00757CA7"/>
    <w:rsid w:val="00760DF5"/>
    <w:rsid w:val="007614E5"/>
    <w:rsid w:val="00762A6E"/>
    <w:rsid w:val="00762F72"/>
    <w:rsid w:val="00763839"/>
    <w:rsid w:val="00764D7C"/>
    <w:rsid w:val="00767512"/>
    <w:rsid w:val="007676D8"/>
    <w:rsid w:val="00767740"/>
    <w:rsid w:val="00767742"/>
    <w:rsid w:val="00767818"/>
    <w:rsid w:val="0077077F"/>
    <w:rsid w:val="00770B60"/>
    <w:rsid w:val="007715C9"/>
    <w:rsid w:val="00771E3B"/>
    <w:rsid w:val="007734C0"/>
    <w:rsid w:val="00773E78"/>
    <w:rsid w:val="007740B6"/>
    <w:rsid w:val="00774F15"/>
    <w:rsid w:val="00774FC5"/>
    <w:rsid w:val="00775564"/>
    <w:rsid w:val="007756DD"/>
    <w:rsid w:val="00775976"/>
    <w:rsid w:val="0077647E"/>
    <w:rsid w:val="00777733"/>
    <w:rsid w:val="00777EBE"/>
    <w:rsid w:val="007801F7"/>
    <w:rsid w:val="00780EF8"/>
    <w:rsid w:val="007816F3"/>
    <w:rsid w:val="007817CD"/>
    <w:rsid w:val="00781DEB"/>
    <w:rsid w:val="00782126"/>
    <w:rsid w:val="007821D1"/>
    <w:rsid w:val="007825E6"/>
    <w:rsid w:val="00782D3E"/>
    <w:rsid w:val="00782E30"/>
    <w:rsid w:val="00782EEF"/>
    <w:rsid w:val="007841F6"/>
    <w:rsid w:val="00784267"/>
    <w:rsid w:val="00784AE5"/>
    <w:rsid w:val="0078505C"/>
    <w:rsid w:val="007862BB"/>
    <w:rsid w:val="00786444"/>
    <w:rsid w:val="00786B63"/>
    <w:rsid w:val="00786DD6"/>
    <w:rsid w:val="007871AC"/>
    <w:rsid w:val="0078760F"/>
    <w:rsid w:val="00787C3F"/>
    <w:rsid w:val="0079051F"/>
    <w:rsid w:val="007905CE"/>
    <w:rsid w:val="00790DAC"/>
    <w:rsid w:val="00790E20"/>
    <w:rsid w:val="0079171A"/>
    <w:rsid w:val="0079182E"/>
    <w:rsid w:val="00791900"/>
    <w:rsid w:val="00791F57"/>
    <w:rsid w:val="0079210D"/>
    <w:rsid w:val="00792246"/>
    <w:rsid w:val="00793293"/>
    <w:rsid w:val="007934B1"/>
    <w:rsid w:val="007934DF"/>
    <w:rsid w:val="00793F0C"/>
    <w:rsid w:val="007946FB"/>
    <w:rsid w:val="00794BDC"/>
    <w:rsid w:val="00794D46"/>
    <w:rsid w:val="0079559F"/>
    <w:rsid w:val="007955D2"/>
    <w:rsid w:val="007956FB"/>
    <w:rsid w:val="007957B9"/>
    <w:rsid w:val="007958D5"/>
    <w:rsid w:val="00795953"/>
    <w:rsid w:val="00795E15"/>
    <w:rsid w:val="00796B67"/>
    <w:rsid w:val="0079714F"/>
    <w:rsid w:val="00797596"/>
    <w:rsid w:val="007A04D0"/>
    <w:rsid w:val="007A057F"/>
    <w:rsid w:val="007A0AF6"/>
    <w:rsid w:val="007A0E31"/>
    <w:rsid w:val="007A143B"/>
    <w:rsid w:val="007A191F"/>
    <w:rsid w:val="007A19BB"/>
    <w:rsid w:val="007A2708"/>
    <w:rsid w:val="007A2F9C"/>
    <w:rsid w:val="007A43A7"/>
    <w:rsid w:val="007A44B6"/>
    <w:rsid w:val="007A4716"/>
    <w:rsid w:val="007A4BE6"/>
    <w:rsid w:val="007A5310"/>
    <w:rsid w:val="007A5B23"/>
    <w:rsid w:val="007A5B5D"/>
    <w:rsid w:val="007A5F4B"/>
    <w:rsid w:val="007A6113"/>
    <w:rsid w:val="007A63D9"/>
    <w:rsid w:val="007A7075"/>
    <w:rsid w:val="007A742D"/>
    <w:rsid w:val="007A74EC"/>
    <w:rsid w:val="007A7993"/>
    <w:rsid w:val="007B005F"/>
    <w:rsid w:val="007B1036"/>
    <w:rsid w:val="007B1B64"/>
    <w:rsid w:val="007B2392"/>
    <w:rsid w:val="007B2DB1"/>
    <w:rsid w:val="007B3734"/>
    <w:rsid w:val="007B3AEC"/>
    <w:rsid w:val="007B404B"/>
    <w:rsid w:val="007B413A"/>
    <w:rsid w:val="007B43FC"/>
    <w:rsid w:val="007B4DFB"/>
    <w:rsid w:val="007B4EC2"/>
    <w:rsid w:val="007B522F"/>
    <w:rsid w:val="007B554A"/>
    <w:rsid w:val="007B5CEB"/>
    <w:rsid w:val="007B6285"/>
    <w:rsid w:val="007B6716"/>
    <w:rsid w:val="007B7835"/>
    <w:rsid w:val="007B7AF2"/>
    <w:rsid w:val="007B7D26"/>
    <w:rsid w:val="007C0BC2"/>
    <w:rsid w:val="007C0D75"/>
    <w:rsid w:val="007C170C"/>
    <w:rsid w:val="007C1B12"/>
    <w:rsid w:val="007C2033"/>
    <w:rsid w:val="007C269A"/>
    <w:rsid w:val="007C2956"/>
    <w:rsid w:val="007C2D94"/>
    <w:rsid w:val="007C2E83"/>
    <w:rsid w:val="007C3063"/>
    <w:rsid w:val="007C3A75"/>
    <w:rsid w:val="007C3EBF"/>
    <w:rsid w:val="007C402C"/>
    <w:rsid w:val="007C4584"/>
    <w:rsid w:val="007C5211"/>
    <w:rsid w:val="007C624D"/>
    <w:rsid w:val="007C636A"/>
    <w:rsid w:val="007C6373"/>
    <w:rsid w:val="007C63C1"/>
    <w:rsid w:val="007C658C"/>
    <w:rsid w:val="007C670E"/>
    <w:rsid w:val="007C6B9A"/>
    <w:rsid w:val="007D0D60"/>
    <w:rsid w:val="007D0DB2"/>
    <w:rsid w:val="007D1BEB"/>
    <w:rsid w:val="007D1D64"/>
    <w:rsid w:val="007D24C3"/>
    <w:rsid w:val="007D3BF9"/>
    <w:rsid w:val="007D44C3"/>
    <w:rsid w:val="007D477A"/>
    <w:rsid w:val="007D47D0"/>
    <w:rsid w:val="007D4AF7"/>
    <w:rsid w:val="007D508B"/>
    <w:rsid w:val="007D5BA0"/>
    <w:rsid w:val="007D7061"/>
    <w:rsid w:val="007D7437"/>
    <w:rsid w:val="007D770B"/>
    <w:rsid w:val="007D7E9C"/>
    <w:rsid w:val="007D7F76"/>
    <w:rsid w:val="007E0729"/>
    <w:rsid w:val="007E086D"/>
    <w:rsid w:val="007E0A22"/>
    <w:rsid w:val="007E1DAA"/>
    <w:rsid w:val="007E1E0B"/>
    <w:rsid w:val="007E210E"/>
    <w:rsid w:val="007E3397"/>
    <w:rsid w:val="007E4070"/>
    <w:rsid w:val="007E43C1"/>
    <w:rsid w:val="007E52B6"/>
    <w:rsid w:val="007E530F"/>
    <w:rsid w:val="007E534C"/>
    <w:rsid w:val="007E6529"/>
    <w:rsid w:val="007E738C"/>
    <w:rsid w:val="007E74E7"/>
    <w:rsid w:val="007E78B2"/>
    <w:rsid w:val="007E7911"/>
    <w:rsid w:val="007F032A"/>
    <w:rsid w:val="007F0544"/>
    <w:rsid w:val="007F0DEE"/>
    <w:rsid w:val="007F0F91"/>
    <w:rsid w:val="007F16E3"/>
    <w:rsid w:val="007F1ADC"/>
    <w:rsid w:val="007F209D"/>
    <w:rsid w:val="007F2781"/>
    <w:rsid w:val="007F27C1"/>
    <w:rsid w:val="007F3751"/>
    <w:rsid w:val="007F3B2F"/>
    <w:rsid w:val="007F57C5"/>
    <w:rsid w:val="007F672A"/>
    <w:rsid w:val="007F67F6"/>
    <w:rsid w:val="007F6BB7"/>
    <w:rsid w:val="007F6BD9"/>
    <w:rsid w:val="007F6DEB"/>
    <w:rsid w:val="007F6E43"/>
    <w:rsid w:val="007F7492"/>
    <w:rsid w:val="007F78C0"/>
    <w:rsid w:val="007F7A32"/>
    <w:rsid w:val="007F7CFE"/>
    <w:rsid w:val="0080017E"/>
    <w:rsid w:val="0080055A"/>
    <w:rsid w:val="00800CEE"/>
    <w:rsid w:val="00801E8C"/>
    <w:rsid w:val="008020EE"/>
    <w:rsid w:val="00802136"/>
    <w:rsid w:val="008025F2"/>
    <w:rsid w:val="00802BE1"/>
    <w:rsid w:val="00803164"/>
    <w:rsid w:val="008036ED"/>
    <w:rsid w:val="008047B4"/>
    <w:rsid w:val="00804DF5"/>
    <w:rsid w:val="00805051"/>
    <w:rsid w:val="00805097"/>
    <w:rsid w:val="0080531F"/>
    <w:rsid w:val="008058EB"/>
    <w:rsid w:val="00805B27"/>
    <w:rsid w:val="00805CD2"/>
    <w:rsid w:val="00806298"/>
    <w:rsid w:val="00806BAB"/>
    <w:rsid w:val="00807373"/>
    <w:rsid w:val="00807521"/>
    <w:rsid w:val="0080765F"/>
    <w:rsid w:val="00807BE6"/>
    <w:rsid w:val="00810501"/>
    <w:rsid w:val="0081088E"/>
    <w:rsid w:val="008109B9"/>
    <w:rsid w:val="00812251"/>
    <w:rsid w:val="00812C0E"/>
    <w:rsid w:val="008130B5"/>
    <w:rsid w:val="00813EEA"/>
    <w:rsid w:val="00815153"/>
    <w:rsid w:val="00815C81"/>
    <w:rsid w:val="00815EE0"/>
    <w:rsid w:val="00815F51"/>
    <w:rsid w:val="008162BF"/>
    <w:rsid w:val="008163CA"/>
    <w:rsid w:val="008166E1"/>
    <w:rsid w:val="0082026E"/>
    <w:rsid w:val="008206AA"/>
    <w:rsid w:val="00820C01"/>
    <w:rsid w:val="00820D2F"/>
    <w:rsid w:val="00821D65"/>
    <w:rsid w:val="00821EB7"/>
    <w:rsid w:val="008227B7"/>
    <w:rsid w:val="00822950"/>
    <w:rsid w:val="00822E16"/>
    <w:rsid w:val="008231A8"/>
    <w:rsid w:val="008233A1"/>
    <w:rsid w:val="008240A5"/>
    <w:rsid w:val="008241FA"/>
    <w:rsid w:val="00824680"/>
    <w:rsid w:val="008256E6"/>
    <w:rsid w:val="00826949"/>
    <w:rsid w:val="008273D8"/>
    <w:rsid w:val="008274A5"/>
    <w:rsid w:val="0083084E"/>
    <w:rsid w:val="00830D78"/>
    <w:rsid w:val="00830E76"/>
    <w:rsid w:val="008311A2"/>
    <w:rsid w:val="00831659"/>
    <w:rsid w:val="00831966"/>
    <w:rsid w:val="00831C18"/>
    <w:rsid w:val="00832430"/>
    <w:rsid w:val="008327D1"/>
    <w:rsid w:val="00832999"/>
    <w:rsid w:val="00834055"/>
    <w:rsid w:val="008341E3"/>
    <w:rsid w:val="00834337"/>
    <w:rsid w:val="0083498F"/>
    <w:rsid w:val="00834C0F"/>
    <w:rsid w:val="008354FE"/>
    <w:rsid w:val="008355C6"/>
    <w:rsid w:val="00835EB4"/>
    <w:rsid w:val="0083693E"/>
    <w:rsid w:val="00836AA9"/>
    <w:rsid w:val="00836C35"/>
    <w:rsid w:val="00837164"/>
    <w:rsid w:val="008374DC"/>
    <w:rsid w:val="0083752B"/>
    <w:rsid w:val="00837BE3"/>
    <w:rsid w:val="008400B1"/>
    <w:rsid w:val="008401F5"/>
    <w:rsid w:val="0084123A"/>
    <w:rsid w:val="00841671"/>
    <w:rsid w:val="00841C6C"/>
    <w:rsid w:val="00841CB5"/>
    <w:rsid w:val="00842D37"/>
    <w:rsid w:val="008430E2"/>
    <w:rsid w:val="0084362C"/>
    <w:rsid w:val="008438BB"/>
    <w:rsid w:val="0084396E"/>
    <w:rsid w:val="00843AAA"/>
    <w:rsid w:val="00843F9A"/>
    <w:rsid w:val="0084445C"/>
    <w:rsid w:val="0084499B"/>
    <w:rsid w:val="008449F9"/>
    <w:rsid w:val="008451F4"/>
    <w:rsid w:val="00845915"/>
    <w:rsid w:val="0084601E"/>
    <w:rsid w:val="00846332"/>
    <w:rsid w:val="00846F17"/>
    <w:rsid w:val="00847068"/>
    <w:rsid w:val="008473D5"/>
    <w:rsid w:val="0084742E"/>
    <w:rsid w:val="00847CDC"/>
    <w:rsid w:val="008506FD"/>
    <w:rsid w:val="00850E39"/>
    <w:rsid w:val="0085128A"/>
    <w:rsid w:val="00851577"/>
    <w:rsid w:val="0085158B"/>
    <w:rsid w:val="00851C4C"/>
    <w:rsid w:val="008530B6"/>
    <w:rsid w:val="00853662"/>
    <w:rsid w:val="00854D46"/>
    <w:rsid w:val="008551D6"/>
    <w:rsid w:val="00856800"/>
    <w:rsid w:val="0085706B"/>
    <w:rsid w:val="00857577"/>
    <w:rsid w:val="00857730"/>
    <w:rsid w:val="008577A6"/>
    <w:rsid w:val="00857E3F"/>
    <w:rsid w:val="00860523"/>
    <w:rsid w:val="008607B9"/>
    <w:rsid w:val="008619DE"/>
    <w:rsid w:val="00862D70"/>
    <w:rsid w:val="00862F12"/>
    <w:rsid w:val="008630B9"/>
    <w:rsid w:val="008635DD"/>
    <w:rsid w:val="008635E4"/>
    <w:rsid w:val="00863B9A"/>
    <w:rsid w:val="00863CB6"/>
    <w:rsid w:val="008644B3"/>
    <w:rsid w:val="00864930"/>
    <w:rsid w:val="00864C2A"/>
    <w:rsid w:val="00865018"/>
    <w:rsid w:val="00865FAD"/>
    <w:rsid w:val="0086669D"/>
    <w:rsid w:val="0086682A"/>
    <w:rsid w:val="00866E35"/>
    <w:rsid w:val="00867869"/>
    <w:rsid w:val="008678B5"/>
    <w:rsid w:val="00870444"/>
    <w:rsid w:val="00870679"/>
    <w:rsid w:val="00871356"/>
    <w:rsid w:val="00871941"/>
    <w:rsid w:val="008719A9"/>
    <w:rsid w:val="008723EF"/>
    <w:rsid w:val="00872452"/>
    <w:rsid w:val="008729AA"/>
    <w:rsid w:val="00872D89"/>
    <w:rsid w:val="00872F12"/>
    <w:rsid w:val="00873761"/>
    <w:rsid w:val="008738CA"/>
    <w:rsid w:val="00873FAF"/>
    <w:rsid w:val="008740E7"/>
    <w:rsid w:val="008741AC"/>
    <w:rsid w:val="00874204"/>
    <w:rsid w:val="0087422C"/>
    <w:rsid w:val="0087448A"/>
    <w:rsid w:val="0087583D"/>
    <w:rsid w:val="00876535"/>
    <w:rsid w:val="008765D3"/>
    <w:rsid w:val="0087711D"/>
    <w:rsid w:val="00877274"/>
    <w:rsid w:val="0087782F"/>
    <w:rsid w:val="00877A77"/>
    <w:rsid w:val="0088091A"/>
    <w:rsid w:val="00880C95"/>
    <w:rsid w:val="008817B5"/>
    <w:rsid w:val="008819A3"/>
    <w:rsid w:val="008829B3"/>
    <w:rsid w:val="00882AE8"/>
    <w:rsid w:val="00883A8F"/>
    <w:rsid w:val="00883D3A"/>
    <w:rsid w:val="00884406"/>
    <w:rsid w:val="00885264"/>
    <w:rsid w:val="008854A1"/>
    <w:rsid w:val="00885B7E"/>
    <w:rsid w:val="0088650A"/>
    <w:rsid w:val="00887E2A"/>
    <w:rsid w:val="00892B98"/>
    <w:rsid w:val="0089307D"/>
    <w:rsid w:val="00893309"/>
    <w:rsid w:val="00893BA9"/>
    <w:rsid w:val="00893CCB"/>
    <w:rsid w:val="008945F4"/>
    <w:rsid w:val="00894C0F"/>
    <w:rsid w:val="00894E7A"/>
    <w:rsid w:val="00895667"/>
    <w:rsid w:val="0089594E"/>
    <w:rsid w:val="0089600E"/>
    <w:rsid w:val="008960E7"/>
    <w:rsid w:val="008963D9"/>
    <w:rsid w:val="00896460"/>
    <w:rsid w:val="0089653A"/>
    <w:rsid w:val="00896817"/>
    <w:rsid w:val="00897637"/>
    <w:rsid w:val="0089765E"/>
    <w:rsid w:val="008A248A"/>
    <w:rsid w:val="008A2507"/>
    <w:rsid w:val="008A2750"/>
    <w:rsid w:val="008A2913"/>
    <w:rsid w:val="008A30BD"/>
    <w:rsid w:val="008A36BB"/>
    <w:rsid w:val="008A4E30"/>
    <w:rsid w:val="008A597B"/>
    <w:rsid w:val="008A5C64"/>
    <w:rsid w:val="008A5DB9"/>
    <w:rsid w:val="008A5F36"/>
    <w:rsid w:val="008A6656"/>
    <w:rsid w:val="008A6CE8"/>
    <w:rsid w:val="008A6DDC"/>
    <w:rsid w:val="008A7515"/>
    <w:rsid w:val="008A7A88"/>
    <w:rsid w:val="008B0410"/>
    <w:rsid w:val="008B1E02"/>
    <w:rsid w:val="008B23EE"/>
    <w:rsid w:val="008B2A89"/>
    <w:rsid w:val="008B2AFD"/>
    <w:rsid w:val="008B34E5"/>
    <w:rsid w:val="008B39D8"/>
    <w:rsid w:val="008B3C9F"/>
    <w:rsid w:val="008B4DA9"/>
    <w:rsid w:val="008B4DB1"/>
    <w:rsid w:val="008B4FCC"/>
    <w:rsid w:val="008B5E56"/>
    <w:rsid w:val="008B601F"/>
    <w:rsid w:val="008B71FE"/>
    <w:rsid w:val="008B75D2"/>
    <w:rsid w:val="008B776B"/>
    <w:rsid w:val="008B77D1"/>
    <w:rsid w:val="008B7D93"/>
    <w:rsid w:val="008C02C3"/>
    <w:rsid w:val="008C06A5"/>
    <w:rsid w:val="008C083C"/>
    <w:rsid w:val="008C0F5C"/>
    <w:rsid w:val="008C124A"/>
    <w:rsid w:val="008C1B1E"/>
    <w:rsid w:val="008C22B5"/>
    <w:rsid w:val="008C243A"/>
    <w:rsid w:val="008C2A22"/>
    <w:rsid w:val="008C2B8E"/>
    <w:rsid w:val="008C3430"/>
    <w:rsid w:val="008C34BC"/>
    <w:rsid w:val="008C477B"/>
    <w:rsid w:val="008C6A26"/>
    <w:rsid w:val="008C6CF7"/>
    <w:rsid w:val="008C6DA7"/>
    <w:rsid w:val="008C7066"/>
    <w:rsid w:val="008C711E"/>
    <w:rsid w:val="008C7850"/>
    <w:rsid w:val="008C7F37"/>
    <w:rsid w:val="008D0150"/>
    <w:rsid w:val="008D0BF9"/>
    <w:rsid w:val="008D0C36"/>
    <w:rsid w:val="008D17CD"/>
    <w:rsid w:val="008D1F4B"/>
    <w:rsid w:val="008D241E"/>
    <w:rsid w:val="008D2912"/>
    <w:rsid w:val="008D299C"/>
    <w:rsid w:val="008D2A7B"/>
    <w:rsid w:val="008D2F21"/>
    <w:rsid w:val="008D3CB9"/>
    <w:rsid w:val="008D4020"/>
    <w:rsid w:val="008D4337"/>
    <w:rsid w:val="008D4581"/>
    <w:rsid w:val="008D4646"/>
    <w:rsid w:val="008D4900"/>
    <w:rsid w:val="008D54EC"/>
    <w:rsid w:val="008D58AB"/>
    <w:rsid w:val="008D5B63"/>
    <w:rsid w:val="008D5E6E"/>
    <w:rsid w:val="008D6C01"/>
    <w:rsid w:val="008D6D5D"/>
    <w:rsid w:val="008D7716"/>
    <w:rsid w:val="008E01FE"/>
    <w:rsid w:val="008E021A"/>
    <w:rsid w:val="008E022D"/>
    <w:rsid w:val="008E09A0"/>
    <w:rsid w:val="008E0AFF"/>
    <w:rsid w:val="008E0EEA"/>
    <w:rsid w:val="008E0F78"/>
    <w:rsid w:val="008E222E"/>
    <w:rsid w:val="008E2AC0"/>
    <w:rsid w:val="008E2C10"/>
    <w:rsid w:val="008E2E32"/>
    <w:rsid w:val="008E3459"/>
    <w:rsid w:val="008E4886"/>
    <w:rsid w:val="008E5060"/>
    <w:rsid w:val="008E5194"/>
    <w:rsid w:val="008E5EFB"/>
    <w:rsid w:val="008E6D35"/>
    <w:rsid w:val="008E746B"/>
    <w:rsid w:val="008F03EA"/>
    <w:rsid w:val="008F053D"/>
    <w:rsid w:val="008F0ABB"/>
    <w:rsid w:val="008F18CB"/>
    <w:rsid w:val="008F1AB1"/>
    <w:rsid w:val="008F2187"/>
    <w:rsid w:val="008F3402"/>
    <w:rsid w:val="008F3C07"/>
    <w:rsid w:val="008F3C69"/>
    <w:rsid w:val="008F3FFD"/>
    <w:rsid w:val="008F4D70"/>
    <w:rsid w:val="008F4DBE"/>
    <w:rsid w:val="008F5504"/>
    <w:rsid w:val="008F5733"/>
    <w:rsid w:val="008F5993"/>
    <w:rsid w:val="008F5A34"/>
    <w:rsid w:val="008F7005"/>
    <w:rsid w:val="008F70CE"/>
    <w:rsid w:val="008F73AC"/>
    <w:rsid w:val="008F741D"/>
    <w:rsid w:val="008F7BDE"/>
    <w:rsid w:val="008F7DA0"/>
    <w:rsid w:val="00900314"/>
    <w:rsid w:val="0090075A"/>
    <w:rsid w:val="00900E54"/>
    <w:rsid w:val="00900ECF"/>
    <w:rsid w:val="00901981"/>
    <w:rsid w:val="009019A7"/>
    <w:rsid w:val="00901CD9"/>
    <w:rsid w:val="0090243B"/>
    <w:rsid w:val="00902DAC"/>
    <w:rsid w:val="00903012"/>
    <w:rsid w:val="0090313C"/>
    <w:rsid w:val="00905181"/>
    <w:rsid w:val="0090525C"/>
    <w:rsid w:val="00905369"/>
    <w:rsid w:val="00905776"/>
    <w:rsid w:val="00905915"/>
    <w:rsid w:val="00906292"/>
    <w:rsid w:val="00906F00"/>
    <w:rsid w:val="00907AC0"/>
    <w:rsid w:val="00911DB0"/>
    <w:rsid w:val="00912786"/>
    <w:rsid w:val="009128AD"/>
    <w:rsid w:val="00913930"/>
    <w:rsid w:val="00913D4B"/>
    <w:rsid w:val="00914173"/>
    <w:rsid w:val="00914C18"/>
    <w:rsid w:val="00915739"/>
    <w:rsid w:val="009160E6"/>
    <w:rsid w:val="00916742"/>
    <w:rsid w:val="00916F69"/>
    <w:rsid w:val="00917351"/>
    <w:rsid w:val="00917A2A"/>
    <w:rsid w:val="00920056"/>
    <w:rsid w:val="00920FF1"/>
    <w:rsid w:val="009211F4"/>
    <w:rsid w:val="00921F7C"/>
    <w:rsid w:val="009224C9"/>
    <w:rsid w:val="009230E1"/>
    <w:rsid w:val="009232E6"/>
    <w:rsid w:val="00923A94"/>
    <w:rsid w:val="009249B1"/>
    <w:rsid w:val="00924FCB"/>
    <w:rsid w:val="00925055"/>
    <w:rsid w:val="00925207"/>
    <w:rsid w:val="009253DC"/>
    <w:rsid w:val="00925C98"/>
    <w:rsid w:val="00926183"/>
    <w:rsid w:val="009267C9"/>
    <w:rsid w:val="00926DC3"/>
    <w:rsid w:val="0092706A"/>
    <w:rsid w:val="009271B8"/>
    <w:rsid w:val="009272F7"/>
    <w:rsid w:val="009300D2"/>
    <w:rsid w:val="00931EA5"/>
    <w:rsid w:val="00932A88"/>
    <w:rsid w:val="00932BB5"/>
    <w:rsid w:val="009334D8"/>
    <w:rsid w:val="009348AB"/>
    <w:rsid w:val="00934D31"/>
    <w:rsid w:val="0093507A"/>
    <w:rsid w:val="00935CFD"/>
    <w:rsid w:val="009364F2"/>
    <w:rsid w:val="00936727"/>
    <w:rsid w:val="00937E84"/>
    <w:rsid w:val="00940219"/>
    <w:rsid w:val="0094024A"/>
    <w:rsid w:val="0094050A"/>
    <w:rsid w:val="00941218"/>
    <w:rsid w:val="00941569"/>
    <w:rsid w:val="00941C64"/>
    <w:rsid w:val="00942154"/>
    <w:rsid w:val="0094263B"/>
    <w:rsid w:val="00942B44"/>
    <w:rsid w:val="00943206"/>
    <w:rsid w:val="00943DC6"/>
    <w:rsid w:val="009444CD"/>
    <w:rsid w:val="00944DE4"/>
    <w:rsid w:val="0094521D"/>
    <w:rsid w:val="009452BB"/>
    <w:rsid w:val="00945F82"/>
    <w:rsid w:val="009460EC"/>
    <w:rsid w:val="009462B8"/>
    <w:rsid w:val="009466E6"/>
    <w:rsid w:val="009471CE"/>
    <w:rsid w:val="00947CD1"/>
    <w:rsid w:val="0095077F"/>
    <w:rsid w:val="00952F89"/>
    <w:rsid w:val="009532EE"/>
    <w:rsid w:val="009533FB"/>
    <w:rsid w:val="0095357B"/>
    <w:rsid w:val="00953DE4"/>
    <w:rsid w:val="00953FE0"/>
    <w:rsid w:val="00954798"/>
    <w:rsid w:val="009551FD"/>
    <w:rsid w:val="00955768"/>
    <w:rsid w:val="00955B59"/>
    <w:rsid w:val="009569FC"/>
    <w:rsid w:val="00956BF3"/>
    <w:rsid w:val="00956CDB"/>
    <w:rsid w:val="00956D7A"/>
    <w:rsid w:val="00956EAE"/>
    <w:rsid w:val="009574FC"/>
    <w:rsid w:val="00957BC8"/>
    <w:rsid w:val="00960066"/>
    <w:rsid w:val="009600C1"/>
    <w:rsid w:val="00960BD4"/>
    <w:rsid w:val="00960C2B"/>
    <w:rsid w:val="00960CB3"/>
    <w:rsid w:val="009632C9"/>
    <w:rsid w:val="009633D3"/>
    <w:rsid w:val="00963ED6"/>
    <w:rsid w:val="00964313"/>
    <w:rsid w:val="0096449D"/>
    <w:rsid w:val="009651B6"/>
    <w:rsid w:val="00965271"/>
    <w:rsid w:val="00965578"/>
    <w:rsid w:val="009659D9"/>
    <w:rsid w:val="009662F5"/>
    <w:rsid w:val="00966A0F"/>
    <w:rsid w:val="00966A75"/>
    <w:rsid w:val="00966C79"/>
    <w:rsid w:val="00966FBE"/>
    <w:rsid w:val="0096776B"/>
    <w:rsid w:val="00970AA8"/>
    <w:rsid w:val="00970B60"/>
    <w:rsid w:val="00971AAD"/>
    <w:rsid w:val="00971AC4"/>
    <w:rsid w:val="00971AF2"/>
    <w:rsid w:val="00971B22"/>
    <w:rsid w:val="00972269"/>
    <w:rsid w:val="00972F7D"/>
    <w:rsid w:val="009731D7"/>
    <w:rsid w:val="00973541"/>
    <w:rsid w:val="009737B1"/>
    <w:rsid w:val="00973B43"/>
    <w:rsid w:val="00973B4C"/>
    <w:rsid w:val="00974ADA"/>
    <w:rsid w:val="009752A1"/>
    <w:rsid w:val="009755D2"/>
    <w:rsid w:val="0097566F"/>
    <w:rsid w:val="009756C5"/>
    <w:rsid w:val="00976223"/>
    <w:rsid w:val="00976308"/>
    <w:rsid w:val="00976DC6"/>
    <w:rsid w:val="0098014D"/>
    <w:rsid w:val="00980E00"/>
    <w:rsid w:val="009810DD"/>
    <w:rsid w:val="009812EC"/>
    <w:rsid w:val="00981665"/>
    <w:rsid w:val="009818CC"/>
    <w:rsid w:val="00982081"/>
    <w:rsid w:val="00982390"/>
    <w:rsid w:val="0098418F"/>
    <w:rsid w:val="009859DF"/>
    <w:rsid w:val="0098643C"/>
    <w:rsid w:val="00986D66"/>
    <w:rsid w:val="00987454"/>
    <w:rsid w:val="0099003B"/>
    <w:rsid w:val="00990457"/>
    <w:rsid w:val="00990ACE"/>
    <w:rsid w:val="00990D61"/>
    <w:rsid w:val="0099180A"/>
    <w:rsid w:val="00991A71"/>
    <w:rsid w:val="0099223D"/>
    <w:rsid w:val="00992428"/>
    <w:rsid w:val="009926C4"/>
    <w:rsid w:val="009927C2"/>
    <w:rsid w:val="00993077"/>
    <w:rsid w:val="0099341D"/>
    <w:rsid w:val="00993BFC"/>
    <w:rsid w:val="00993E1C"/>
    <w:rsid w:val="0099426F"/>
    <w:rsid w:val="0099465C"/>
    <w:rsid w:val="009970E4"/>
    <w:rsid w:val="00997722"/>
    <w:rsid w:val="009978CE"/>
    <w:rsid w:val="00997E5A"/>
    <w:rsid w:val="009A02AC"/>
    <w:rsid w:val="009A0809"/>
    <w:rsid w:val="009A10EF"/>
    <w:rsid w:val="009A12A5"/>
    <w:rsid w:val="009A16AC"/>
    <w:rsid w:val="009A2B41"/>
    <w:rsid w:val="009A2DA4"/>
    <w:rsid w:val="009A2DB5"/>
    <w:rsid w:val="009A3621"/>
    <w:rsid w:val="009A4354"/>
    <w:rsid w:val="009A4A35"/>
    <w:rsid w:val="009A4A89"/>
    <w:rsid w:val="009A4BD4"/>
    <w:rsid w:val="009A58CF"/>
    <w:rsid w:val="009A6DEE"/>
    <w:rsid w:val="009A71D5"/>
    <w:rsid w:val="009A78EC"/>
    <w:rsid w:val="009A7DCA"/>
    <w:rsid w:val="009B0198"/>
    <w:rsid w:val="009B088B"/>
    <w:rsid w:val="009B0982"/>
    <w:rsid w:val="009B0E8B"/>
    <w:rsid w:val="009B1112"/>
    <w:rsid w:val="009B1C66"/>
    <w:rsid w:val="009B1F22"/>
    <w:rsid w:val="009B21A2"/>
    <w:rsid w:val="009B2D9C"/>
    <w:rsid w:val="009B34E8"/>
    <w:rsid w:val="009B369C"/>
    <w:rsid w:val="009B37BA"/>
    <w:rsid w:val="009B429D"/>
    <w:rsid w:val="009B4D82"/>
    <w:rsid w:val="009B4E40"/>
    <w:rsid w:val="009B5A5C"/>
    <w:rsid w:val="009B6162"/>
    <w:rsid w:val="009B6609"/>
    <w:rsid w:val="009B6D52"/>
    <w:rsid w:val="009B71D0"/>
    <w:rsid w:val="009B7356"/>
    <w:rsid w:val="009B73EA"/>
    <w:rsid w:val="009B7601"/>
    <w:rsid w:val="009B7960"/>
    <w:rsid w:val="009B79B7"/>
    <w:rsid w:val="009B7B8D"/>
    <w:rsid w:val="009B7DCA"/>
    <w:rsid w:val="009B7EE3"/>
    <w:rsid w:val="009C04A2"/>
    <w:rsid w:val="009C07AD"/>
    <w:rsid w:val="009C199B"/>
    <w:rsid w:val="009C19F4"/>
    <w:rsid w:val="009C1B1B"/>
    <w:rsid w:val="009C23FF"/>
    <w:rsid w:val="009C2A94"/>
    <w:rsid w:val="009C31BF"/>
    <w:rsid w:val="009C3D94"/>
    <w:rsid w:val="009C4373"/>
    <w:rsid w:val="009C504D"/>
    <w:rsid w:val="009C5C7D"/>
    <w:rsid w:val="009C5FC7"/>
    <w:rsid w:val="009C6368"/>
    <w:rsid w:val="009C640F"/>
    <w:rsid w:val="009C6EFC"/>
    <w:rsid w:val="009C6F17"/>
    <w:rsid w:val="009C7323"/>
    <w:rsid w:val="009C76F2"/>
    <w:rsid w:val="009D076E"/>
    <w:rsid w:val="009D09D1"/>
    <w:rsid w:val="009D17D2"/>
    <w:rsid w:val="009D27ED"/>
    <w:rsid w:val="009D2E29"/>
    <w:rsid w:val="009D3A23"/>
    <w:rsid w:val="009D3EE3"/>
    <w:rsid w:val="009D4AEA"/>
    <w:rsid w:val="009D536D"/>
    <w:rsid w:val="009D61C4"/>
    <w:rsid w:val="009D6A2C"/>
    <w:rsid w:val="009D6F7A"/>
    <w:rsid w:val="009D709D"/>
    <w:rsid w:val="009D7CC5"/>
    <w:rsid w:val="009E0081"/>
    <w:rsid w:val="009E067A"/>
    <w:rsid w:val="009E06A5"/>
    <w:rsid w:val="009E15D9"/>
    <w:rsid w:val="009E1890"/>
    <w:rsid w:val="009E20FB"/>
    <w:rsid w:val="009E2984"/>
    <w:rsid w:val="009E2B77"/>
    <w:rsid w:val="009E2E53"/>
    <w:rsid w:val="009E313B"/>
    <w:rsid w:val="009E38D2"/>
    <w:rsid w:val="009E3CDA"/>
    <w:rsid w:val="009E3EBB"/>
    <w:rsid w:val="009E457C"/>
    <w:rsid w:val="009E4816"/>
    <w:rsid w:val="009E493B"/>
    <w:rsid w:val="009E572D"/>
    <w:rsid w:val="009E5C5B"/>
    <w:rsid w:val="009E5C76"/>
    <w:rsid w:val="009E5D87"/>
    <w:rsid w:val="009E6F82"/>
    <w:rsid w:val="009E73B3"/>
    <w:rsid w:val="009E791A"/>
    <w:rsid w:val="009F0065"/>
    <w:rsid w:val="009F04C5"/>
    <w:rsid w:val="009F0992"/>
    <w:rsid w:val="009F0C71"/>
    <w:rsid w:val="009F0F43"/>
    <w:rsid w:val="009F0F75"/>
    <w:rsid w:val="009F1425"/>
    <w:rsid w:val="009F1541"/>
    <w:rsid w:val="009F17E4"/>
    <w:rsid w:val="009F1DFB"/>
    <w:rsid w:val="009F2469"/>
    <w:rsid w:val="009F246D"/>
    <w:rsid w:val="009F2626"/>
    <w:rsid w:val="009F363B"/>
    <w:rsid w:val="009F3AE5"/>
    <w:rsid w:val="009F3F27"/>
    <w:rsid w:val="009F486E"/>
    <w:rsid w:val="009F4BE5"/>
    <w:rsid w:val="009F4C44"/>
    <w:rsid w:val="009F4DEC"/>
    <w:rsid w:val="009F5972"/>
    <w:rsid w:val="009F59FD"/>
    <w:rsid w:val="009F5F01"/>
    <w:rsid w:val="009F6AD7"/>
    <w:rsid w:val="009F6D84"/>
    <w:rsid w:val="009F738E"/>
    <w:rsid w:val="009F79EF"/>
    <w:rsid w:val="00A00107"/>
    <w:rsid w:val="00A002BF"/>
    <w:rsid w:val="00A00568"/>
    <w:rsid w:val="00A005FA"/>
    <w:rsid w:val="00A01082"/>
    <w:rsid w:val="00A01CA5"/>
    <w:rsid w:val="00A01D74"/>
    <w:rsid w:val="00A01E37"/>
    <w:rsid w:val="00A0206A"/>
    <w:rsid w:val="00A029A4"/>
    <w:rsid w:val="00A0339F"/>
    <w:rsid w:val="00A0355E"/>
    <w:rsid w:val="00A03F1D"/>
    <w:rsid w:val="00A0455F"/>
    <w:rsid w:val="00A04CAF"/>
    <w:rsid w:val="00A0544C"/>
    <w:rsid w:val="00A05A25"/>
    <w:rsid w:val="00A05B12"/>
    <w:rsid w:val="00A05C79"/>
    <w:rsid w:val="00A06261"/>
    <w:rsid w:val="00A06336"/>
    <w:rsid w:val="00A06389"/>
    <w:rsid w:val="00A06599"/>
    <w:rsid w:val="00A0743C"/>
    <w:rsid w:val="00A1079C"/>
    <w:rsid w:val="00A10B76"/>
    <w:rsid w:val="00A10DD5"/>
    <w:rsid w:val="00A1120A"/>
    <w:rsid w:val="00A11258"/>
    <w:rsid w:val="00A113F5"/>
    <w:rsid w:val="00A11494"/>
    <w:rsid w:val="00A11618"/>
    <w:rsid w:val="00A11642"/>
    <w:rsid w:val="00A127C8"/>
    <w:rsid w:val="00A12BC8"/>
    <w:rsid w:val="00A12F9B"/>
    <w:rsid w:val="00A1358D"/>
    <w:rsid w:val="00A140D3"/>
    <w:rsid w:val="00A14A3A"/>
    <w:rsid w:val="00A14AD3"/>
    <w:rsid w:val="00A14DA3"/>
    <w:rsid w:val="00A14E92"/>
    <w:rsid w:val="00A15AF9"/>
    <w:rsid w:val="00A1605E"/>
    <w:rsid w:val="00A1654A"/>
    <w:rsid w:val="00A170E1"/>
    <w:rsid w:val="00A17A50"/>
    <w:rsid w:val="00A17C98"/>
    <w:rsid w:val="00A20D32"/>
    <w:rsid w:val="00A21A3E"/>
    <w:rsid w:val="00A224E0"/>
    <w:rsid w:val="00A22850"/>
    <w:rsid w:val="00A22A21"/>
    <w:rsid w:val="00A22B77"/>
    <w:rsid w:val="00A23750"/>
    <w:rsid w:val="00A23E9A"/>
    <w:rsid w:val="00A247CB"/>
    <w:rsid w:val="00A24839"/>
    <w:rsid w:val="00A248D8"/>
    <w:rsid w:val="00A253D5"/>
    <w:rsid w:val="00A2557E"/>
    <w:rsid w:val="00A255E5"/>
    <w:rsid w:val="00A25AAB"/>
    <w:rsid w:val="00A2677F"/>
    <w:rsid w:val="00A26CF5"/>
    <w:rsid w:val="00A27223"/>
    <w:rsid w:val="00A273BA"/>
    <w:rsid w:val="00A30574"/>
    <w:rsid w:val="00A30E92"/>
    <w:rsid w:val="00A313E3"/>
    <w:rsid w:val="00A316B8"/>
    <w:rsid w:val="00A317FD"/>
    <w:rsid w:val="00A318D3"/>
    <w:rsid w:val="00A31CC0"/>
    <w:rsid w:val="00A320F7"/>
    <w:rsid w:val="00A32243"/>
    <w:rsid w:val="00A32318"/>
    <w:rsid w:val="00A326A8"/>
    <w:rsid w:val="00A32896"/>
    <w:rsid w:val="00A32BC7"/>
    <w:rsid w:val="00A335D9"/>
    <w:rsid w:val="00A3362D"/>
    <w:rsid w:val="00A34E49"/>
    <w:rsid w:val="00A3529C"/>
    <w:rsid w:val="00A35316"/>
    <w:rsid w:val="00A359A6"/>
    <w:rsid w:val="00A36958"/>
    <w:rsid w:val="00A37091"/>
    <w:rsid w:val="00A372E7"/>
    <w:rsid w:val="00A37478"/>
    <w:rsid w:val="00A37A35"/>
    <w:rsid w:val="00A37B6E"/>
    <w:rsid w:val="00A37D17"/>
    <w:rsid w:val="00A37DA0"/>
    <w:rsid w:val="00A40302"/>
    <w:rsid w:val="00A40CF9"/>
    <w:rsid w:val="00A40F16"/>
    <w:rsid w:val="00A41A31"/>
    <w:rsid w:val="00A41E8E"/>
    <w:rsid w:val="00A420E3"/>
    <w:rsid w:val="00A427FF"/>
    <w:rsid w:val="00A428CE"/>
    <w:rsid w:val="00A42F2B"/>
    <w:rsid w:val="00A42F81"/>
    <w:rsid w:val="00A43DD2"/>
    <w:rsid w:val="00A44445"/>
    <w:rsid w:val="00A4488E"/>
    <w:rsid w:val="00A450C0"/>
    <w:rsid w:val="00A45106"/>
    <w:rsid w:val="00A45133"/>
    <w:rsid w:val="00A4661D"/>
    <w:rsid w:val="00A4663B"/>
    <w:rsid w:val="00A46BAE"/>
    <w:rsid w:val="00A46BD3"/>
    <w:rsid w:val="00A474D9"/>
    <w:rsid w:val="00A47E76"/>
    <w:rsid w:val="00A506E0"/>
    <w:rsid w:val="00A50A4F"/>
    <w:rsid w:val="00A50CE1"/>
    <w:rsid w:val="00A50FC1"/>
    <w:rsid w:val="00A519B6"/>
    <w:rsid w:val="00A51BD1"/>
    <w:rsid w:val="00A51E73"/>
    <w:rsid w:val="00A52243"/>
    <w:rsid w:val="00A52F29"/>
    <w:rsid w:val="00A5306D"/>
    <w:rsid w:val="00A53111"/>
    <w:rsid w:val="00A531F7"/>
    <w:rsid w:val="00A53214"/>
    <w:rsid w:val="00A53D13"/>
    <w:rsid w:val="00A53F38"/>
    <w:rsid w:val="00A5425A"/>
    <w:rsid w:val="00A543FF"/>
    <w:rsid w:val="00A54B72"/>
    <w:rsid w:val="00A54CF1"/>
    <w:rsid w:val="00A55622"/>
    <w:rsid w:val="00A556AF"/>
    <w:rsid w:val="00A55C41"/>
    <w:rsid w:val="00A55EC5"/>
    <w:rsid w:val="00A55F25"/>
    <w:rsid w:val="00A55F84"/>
    <w:rsid w:val="00A56357"/>
    <w:rsid w:val="00A56797"/>
    <w:rsid w:val="00A571B3"/>
    <w:rsid w:val="00A57783"/>
    <w:rsid w:val="00A578DE"/>
    <w:rsid w:val="00A57BC0"/>
    <w:rsid w:val="00A609D5"/>
    <w:rsid w:val="00A60E8A"/>
    <w:rsid w:val="00A613CA"/>
    <w:rsid w:val="00A61E0D"/>
    <w:rsid w:val="00A62322"/>
    <w:rsid w:val="00A62632"/>
    <w:rsid w:val="00A62F04"/>
    <w:rsid w:val="00A64165"/>
    <w:rsid w:val="00A64B52"/>
    <w:rsid w:val="00A64FBC"/>
    <w:rsid w:val="00A654D5"/>
    <w:rsid w:val="00A656BF"/>
    <w:rsid w:val="00A657CF"/>
    <w:rsid w:val="00A65E0E"/>
    <w:rsid w:val="00A65F07"/>
    <w:rsid w:val="00A66A51"/>
    <w:rsid w:val="00A67080"/>
    <w:rsid w:val="00A675F2"/>
    <w:rsid w:val="00A700B8"/>
    <w:rsid w:val="00A702D4"/>
    <w:rsid w:val="00A70308"/>
    <w:rsid w:val="00A7057B"/>
    <w:rsid w:val="00A71066"/>
    <w:rsid w:val="00A71540"/>
    <w:rsid w:val="00A7167A"/>
    <w:rsid w:val="00A71ECF"/>
    <w:rsid w:val="00A71FEE"/>
    <w:rsid w:val="00A726DC"/>
    <w:rsid w:val="00A72DB6"/>
    <w:rsid w:val="00A73248"/>
    <w:rsid w:val="00A74B36"/>
    <w:rsid w:val="00A75499"/>
    <w:rsid w:val="00A75B63"/>
    <w:rsid w:val="00A76C7F"/>
    <w:rsid w:val="00A76CD8"/>
    <w:rsid w:val="00A772F4"/>
    <w:rsid w:val="00A776BD"/>
    <w:rsid w:val="00A77A41"/>
    <w:rsid w:val="00A8040F"/>
    <w:rsid w:val="00A809B9"/>
    <w:rsid w:val="00A80FFC"/>
    <w:rsid w:val="00A8161E"/>
    <w:rsid w:val="00A81B4D"/>
    <w:rsid w:val="00A81C57"/>
    <w:rsid w:val="00A81D1F"/>
    <w:rsid w:val="00A81F24"/>
    <w:rsid w:val="00A82131"/>
    <w:rsid w:val="00A82D89"/>
    <w:rsid w:val="00A82FBF"/>
    <w:rsid w:val="00A83993"/>
    <w:rsid w:val="00A83BD7"/>
    <w:rsid w:val="00A83DB0"/>
    <w:rsid w:val="00A83FB9"/>
    <w:rsid w:val="00A840AF"/>
    <w:rsid w:val="00A84123"/>
    <w:rsid w:val="00A84369"/>
    <w:rsid w:val="00A844C2"/>
    <w:rsid w:val="00A84898"/>
    <w:rsid w:val="00A84BE6"/>
    <w:rsid w:val="00A84C9C"/>
    <w:rsid w:val="00A8505B"/>
    <w:rsid w:val="00A8526C"/>
    <w:rsid w:val="00A853DA"/>
    <w:rsid w:val="00A85CE2"/>
    <w:rsid w:val="00A860AC"/>
    <w:rsid w:val="00A861DD"/>
    <w:rsid w:val="00A86DB7"/>
    <w:rsid w:val="00A86E95"/>
    <w:rsid w:val="00A86F71"/>
    <w:rsid w:val="00A8713B"/>
    <w:rsid w:val="00A8754F"/>
    <w:rsid w:val="00A87D88"/>
    <w:rsid w:val="00A907A6"/>
    <w:rsid w:val="00A91021"/>
    <w:rsid w:val="00A9186D"/>
    <w:rsid w:val="00A92B15"/>
    <w:rsid w:val="00A92CCE"/>
    <w:rsid w:val="00A930E4"/>
    <w:rsid w:val="00A9329F"/>
    <w:rsid w:val="00A93A8E"/>
    <w:rsid w:val="00A9435B"/>
    <w:rsid w:val="00A9468B"/>
    <w:rsid w:val="00A946C1"/>
    <w:rsid w:val="00A94BDF"/>
    <w:rsid w:val="00A95498"/>
    <w:rsid w:val="00A95541"/>
    <w:rsid w:val="00A955BF"/>
    <w:rsid w:val="00A95F29"/>
    <w:rsid w:val="00A95F91"/>
    <w:rsid w:val="00A96B5A"/>
    <w:rsid w:val="00A96CC2"/>
    <w:rsid w:val="00A9760C"/>
    <w:rsid w:val="00A97F4D"/>
    <w:rsid w:val="00AA00C6"/>
    <w:rsid w:val="00AA0550"/>
    <w:rsid w:val="00AA08FE"/>
    <w:rsid w:val="00AA29B3"/>
    <w:rsid w:val="00AA360B"/>
    <w:rsid w:val="00AA40DF"/>
    <w:rsid w:val="00AA4146"/>
    <w:rsid w:val="00AA41B7"/>
    <w:rsid w:val="00AA4233"/>
    <w:rsid w:val="00AA46EE"/>
    <w:rsid w:val="00AA4F0C"/>
    <w:rsid w:val="00AA55EF"/>
    <w:rsid w:val="00AA73A7"/>
    <w:rsid w:val="00AA7514"/>
    <w:rsid w:val="00AB040F"/>
    <w:rsid w:val="00AB0E0A"/>
    <w:rsid w:val="00AB2A3B"/>
    <w:rsid w:val="00AB2AEA"/>
    <w:rsid w:val="00AB374F"/>
    <w:rsid w:val="00AB3848"/>
    <w:rsid w:val="00AB3948"/>
    <w:rsid w:val="00AB4713"/>
    <w:rsid w:val="00AB4FC6"/>
    <w:rsid w:val="00AB5687"/>
    <w:rsid w:val="00AB59EF"/>
    <w:rsid w:val="00AB65D3"/>
    <w:rsid w:val="00AB7111"/>
    <w:rsid w:val="00AB7849"/>
    <w:rsid w:val="00AC0810"/>
    <w:rsid w:val="00AC11D7"/>
    <w:rsid w:val="00AC18CF"/>
    <w:rsid w:val="00AC1AE2"/>
    <w:rsid w:val="00AC2914"/>
    <w:rsid w:val="00AC33D4"/>
    <w:rsid w:val="00AC384B"/>
    <w:rsid w:val="00AC3A1F"/>
    <w:rsid w:val="00AC3BA9"/>
    <w:rsid w:val="00AC3F1B"/>
    <w:rsid w:val="00AC47E8"/>
    <w:rsid w:val="00AC4C09"/>
    <w:rsid w:val="00AC552C"/>
    <w:rsid w:val="00AC647A"/>
    <w:rsid w:val="00AC6E9C"/>
    <w:rsid w:val="00AC71A5"/>
    <w:rsid w:val="00AC78C3"/>
    <w:rsid w:val="00AC7B1C"/>
    <w:rsid w:val="00AC7DCF"/>
    <w:rsid w:val="00AD17D1"/>
    <w:rsid w:val="00AD2817"/>
    <w:rsid w:val="00AD4062"/>
    <w:rsid w:val="00AD464D"/>
    <w:rsid w:val="00AD47B6"/>
    <w:rsid w:val="00AD47E8"/>
    <w:rsid w:val="00AD4B7E"/>
    <w:rsid w:val="00AD4BE0"/>
    <w:rsid w:val="00AD4D60"/>
    <w:rsid w:val="00AD51DB"/>
    <w:rsid w:val="00AD56F9"/>
    <w:rsid w:val="00AD5DB8"/>
    <w:rsid w:val="00AD5E83"/>
    <w:rsid w:val="00AD66F6"/>
    <w:rsid w:val="00AD6E14"/>
    <w:rsid w:val="00AD7D79"/>
    <w:rsid w:val="00AE031D"/>
    <w:rsid w:val="00AE03EF"/>
    <w:rsid w:val="00AE0921"/>
    <w:rsid w:val="00AE0CE0"/>
    <w:rsid w:val="00AE14E5"/>
    <w:rsid w:val="00AE15E3"/>
    <w:rsid w:val="00AE1B43"/>
    <w:rsid w:val="00AE1DB2"/>
    <w:rsid w:val="00AE1F9C"/>
    <w:rsid w:val="00AE292E"/>
    <w:rsid w:val="00AE3131"/>
    <w:rsid w:val="00AE3E84"/>
    <w:rsid w:val="00AE3F83"/>
    <w:rsid w:val="00AE4544"/>
    <w:rsid w:val="00AE4D5A"/>
    <w:rsid w:val="00AE5703"/>
    <w:rsid w:val="00AE5865"/>
    <w:rsid w:val="00AE5943"/>
    <w:rsid w:val="00AE5A17"/>
    <w:rsid w:val="00AE656A"/>
    <w:rsid w:val="00AE698A"/>
    <w:rsid w:val="00AE7210"/>
    <w:rsid w:val="00AE7DEB"/>
    <w:rsid w:val="00AF031D"/>
    <w:rsid w:val="00AF153E"/>
    <w:rsid w:val="00AF2019"/>
    <w:rsid w:val="00AF23D3"/>
    <w:rsid w:val="00AF408D"/>
    <w:rsid w:val="00AF47B9"/>
    <w:rsid w:val="00AF48BE"/>
    <w:rsid w:val="00AF497E"/>
    <w:rsid w:val="00AF4FA1"/>
    <w:rsid w:val="00AF5473"/>
    <w:rsid w:val="00AF56F1"/>
    <w:rsid w:val="00AF57EE"/>
    <w:rsid w:val="00AF5B7A"/>
    <w:rsid w:val="00AF5EDD"/>
    <w:rsid w:val="00AF611C"/>
    <w:rsid w:val="00AF61E5"/>
    <w:rsid w:val="00AF6DA2"/>
    <w:rsid w:val="00AF6E1D"/>
    <w:rsid w:val="00AF735F"/>
    <w:rsid w:val="00AF7B06"/>
    <w:rsid w:val="00AF7DBF"/>
    <w:rsid w:val="00AF7F5C"/>
    <w:rsid w:val="00B00887"/>
    <w:rsid w:val="00B00A1D"/>
    <w:rsid w:val="00B011E7"/>
    <w:rsid w:val="00B01234"/>
    <w:rsid w:val="00B01C26"/>
    <w:rsid w:val="00B01CF7"/>
    <w:rsid w:val="00B01D99"/>
    <w:rsid w:val="00B02147"/>
    <w:rsid w:val="00B0281E"/>
    <w:rsid w:val="00B028C3"/>
    <w:rsid w:val="00B02C67"/>
    <w:rsid w:val="00B03EBB"/>
    <w:rsid w:val="00B04DCD"/>
    <w:rsid w:val="00B05A46"/>
    <w:rsid w:val="00B05E46"/>
    <w:rsid w:val="00B06055"/>
    <w:rsid w:val="00B06357"/>
    <w:rsid w:val="00B0670F"/>
    <w:rsid w:val="00B069A1"/>
    <w:rsid w:val="00B06D74"/>
    <w:rsid w:val="00B1111E"/>
    <w:rsid w:val="00B117C8"/>
    <w:rsid w:val="00B11F18"/>
    <w:rsid w:val="00B11FA7"/>
    <w:rsid w:val="00B12177"/>
    <w:rsid w:val="00B1334B"/>
    <w:rsid w:val="00B133D1"/>
    <w:rsid w:val="00B13B57"/>
    <w:rsid w:val="00B13FE5"/>
    <w:rsid w:val="00B14945"/>
    <w:rsid w:val="00B15427"/>
    <w:rsid w:val="00B1545B"/>
    <w:rsid w:val="00B15CBC"/>
    <w:rsid w:val="00B16147"/>
    <w:rsid w:val="00B17882"/>
    <w:rsid w:val="00B17C06"/>
    <w:rsid w:val="00B20E05"/>
    <w:rsid w:val="00B21228"/>
    <w:rsid w:val="00B21697"/>
    <w:rsid w:val="00B23003"/>
    <w:rsid w:val="00B236DD"/>
    <w:rsid w:val="00B2382E"/>
    <w:rsid w:val="00B23997"/>
    <w:rsid w:val="00B23AC4"/>
    <w:rsid w:val="00B23D98"/>
    <w:rsid w:val="00B24388"/>
    <w:rsid w:val="00B24846"/>
    <w:rsid w:val="00B2490D"/>
    <w:rsid w:val="00B24B4D"/>
    <w:rsid w:val="00B24B83"/>
    <w:rsid w:val="00B24EB3"/>
    <w:rsid w:val="00B25953"/>
    <w:rsid w:val="00B25999"/>
    <w:rsid w:val="00B2604E"/>
    <w:rsid w:val="00B26518"/>
    <w:rsid w:val="00B270AB"/>
    <w:rsid w:val="00B271E4"/>
    <w:rsid w:val="00B274BA"/>
    <w:rsid w:val="00B30011"/>
    <w:rsid w:val="00B303BE"/>
    <w:rsid w:val="00B31043"/>
    <w:rsid w:val="00B312BF"/>
    <w:rsid w:val="00B314AE"/>
    <w:rsid w:val="00B31806"/>
    <w:rsid w:val="00B31DE0"/>
    <w:rsid w:val="00B31E3A"/>
    <w:rsid w:val="00B31F0F"/>
    <w:rsid w:val="00B32614"/>
    <w:rsid w:val="00B326EF"/>
    <w:rsid w:val="00B33DCA"/>
    <w:rsid w:val="00B3457D"/>
    <w:rsid w:val="00B346DF"/>
    <w:rsid w:val="00B3495D"/>
    <w:rsid w:val="00B349F5"/>
    <w:rsid w:val="00B34D62"/>
    <w:rsid w:val="00B34E32"/>
    <w:rsid w:val="00B35635"/>
    <w:rsid w:val="00B35BCA"/>
    <w:rsid w:val="00B3682C"/>
    <w:rsid w:val="00B36DC4"/>
    <w:rsid w:val="00B36EDC"/>
    <w:rsid w:val="00B372E7"/>
    <w:rsid w:val="00B378AA"/>
    <w:rsid w:val="00B40341"/>
    <w:rsid w:val="00B40346"/>
    <w:rsid w:val="00B40647"/>
    <w:rsid w:val="00B406A7"/>
    <w:rsid w:val="00B40E5E"/>
    <w:rsid w:val="00B4112B"/>
    <w:rsid w:val="00B419F9"/>
    <w:rsid w:val="00B42061"/>
    <w:rsid w:val="00B43209"/>
    <w:rsid w:val="00B43471"/>
    <w:rsid w:val="00B434B7"/>
    <w:rsid w:val="00B4360A"/>
    <w:rsid w:val="00B44024"/>
    <w:rsid w:val="00B4438C"/>
    <w:rsid w:val="00B4449E"/>
    <w:rsid w:val="00B449A5"/>
    <w:rsid w:val="00B44A91"/>
    <w:rsid w:val="00B451A4"/>
    <w:rsid w:val="00B5024E"/>
    <w:rsid w:val="00B505D5"/>
    <w:rsid w:val="00B50DC6"/>
    <w:rsid w:val="00B5123D"/>
    <w:rsid w:val="00B516C6"/>
    <w:rsid w:val="00B51E7B"/>
    <w:rsid w:val="00B51E89"/>
    <w:rsid w:val="00B520FD"/>
    <w:rsid w:val="00B52736"/>
    <w:rsid w:val="00B52E08"/>
    <w:rsid w:val="00B52F2C"/>
    <w:rsid w:val="00B536F7"/>
    <w:rsid w:val="00B53B4A"/>
    <w:rsid w:val="00B54297"/>
    <w:rsid w:val="00B54832"/>
    <w:rsid w:val="00B55183"/>
    <w:rsid w:val="00B55497"/>
    <w:rsid w:val="00B55AE9"/>
    <w:rsid w:val="00B5642F"/>
    <w:rsid w:val="00B56A21"/>
    <w:rsid w:val="00B56C6F"/>
    <w:rsid w:val="00B572B7"/>
    <w:rsid w:val="00B574E5"/>
    <w:rsid w:val="00B60104"/>
    <w:rsid w:val="00B6029E"/>
    <w:rsid w:val="00B61639"/>
    <w:rsid w:val="00B61A2A"/>
    <w:rsid w:val="00B61F30"/>
    <w:rsid w:val="00B61F4D"/>
    <w:rsid w:val="00B62072"/>
    <w:rsid w:val="00B62B19"/>
    <w:rsid w:val="00B62B3E"/>
    <w:rsid w:val="00B63133"/>
    <w:rsid w:val="00B63135"/>
    <w:rsid w:val="00B63227"/>
    <w:rsid w:val="00B635A7"/>
    <w:rsid w:val="00B63C17"/>
    <w:rsid w:val="00B64A0A"/>
    <w:rsid w:val="00B64C72"/>
    <w:rsid w:val="00B658E5"/>
    <w:rsid w:val="00B65DDF"/>
    <w:rsid w:val="00B671AC"/>
    <w:rsid w:val="00B67611"/>
    <w:rsid w:val="00B67DC0"/>
    <w:rsid w:val="00B67FA4"/>
    <w:rsid w:val="00B703CC"/>
    <w:rsid w:val="00B7174B"/>
    <w:rsid w:val="00B72BE5"/>
    <w:rsid w:val="00B731CA"/>
    <w:rsid w:val="00B73A9A"/>
    <w:rsid w:val="00B74D14"/>
    <w:rsid w:val="00B74F16"/>
    <w:rsid w:val="00B758C8"/>
    <w:rsid w:val="00B75CC3"/>
    <w:rsid w:val="00B76A38"/>
    <w:rsid w:val="00B76C6D"/>
    <w:rsid w:val="00B76E89"/>
    <w:rsid w:val="00B774B1"/>
    <w:rsid w:val="00B77882"/>
    <w:rsid w:val="00B77AC7"/>
    <w:rsid w:val="00B77CF7"/>
    <w:rsid w:val="00B803B6"/>
    <w:rsid w:val="00B80976"/>
    <w:rsid w:val="00B8105E"/>
    <w:rsid w:val="00B817FF"/>
    <w:rsid w:val="00B81BFA"/>
    <w:rsid w:val="00B8212C"/>
    <w:rsid w:val="00B82174"/>
    <w:rsid w:val="00B829DA"/>
    <w:rsid w:val="00B83015"/>
    <w:rsid w:val="00B837F5"/>
    <w:rsid w:val="00B83D49"/>
    <w:rsid w:val="00B83EEB"/>
    <w:rsid w:val="00B843B1"/>
    <w:rsid w:val="00B856D4"/>
    <w:rsid w:val="00B85878"/>
    <w:rsid w:val="00B85C8D"/>
    <w:rsid w:val="00B86F12"/>
    <w:rsid w:val="00B87299"/>
    <w:rsid w:val="00B87393"/>
    <w:rsid w:val="00B87586"/>
    <w:rsid w:val="00B87F68"/>
    <w:rsid w:val="00B90019"/>
    <w:rsid w:val="00B90376"/>
    <w:rsid w:val="00B907C6"/>
    <w:rsid w:val="00B91B5C"/>
    <w:rsid w:val="00B91BE6"/>
    <w:rsid w:val="00B92244"/>
    <w:rsid w:val="00B92252"/>
    <w:rsid w:val="00B936D7"/>
    <w:rsid w:val="00B94B4E"/>
    <w:rsid w:val="00B95A4F"/>
    <w:rsid w:val="00B95D36"/>
    <w:rsid w:val="00B96126"/>
    <w:rsid w:val="00B96BBE"/>
    <w:rsid w:val="00B96DAF"/>
    <w:rsid w:val="00B96F2C"/>
    <w:rsid w:val="00B9753C"/>
    <w:rsid w:val="00BA0480"/>
    <w:rsid w:val="00BA0AE0"/>
    <w:rsid w:val="00BA1127"/>
    <w:rsid w:val="00BA1463"/>
    <w:rsid w:val="00BA16DC"/>
    <w:rsid w:val="00BA2143"/>
    <w:rsid w:val="00BA2C0B"/>
    <w:rsid w:val="00BA2EC9"/>
    <w:rsid w:val="00BA3071"/>
    <w:rsid w:val="00BA3CE6"/>
    <w:rsid w:val="00BA41FF"/>
    <w:rsid w:val="00BA4B5F"/>
    <w:rsid w:val="00BA538D"/>
    <w:rsid w:val="00BA5566"/>
    <w:rsid w:val="00BA5E64"/>
    <w:rsid w:val="00BA6492"/>
    <w:rsid w:val="00BA69A1"/>
    <w:rsid w:val="00BA6ADE"/>
    <w:rsid w:val="00BA73F9"/>
    <w:rsid w:val="00BA7529"/>
    <w:rsid w:val="00BA79E2"/>
    <w:rsid w:val="00BA7D84"/>
    <w:rsid w:val="00BA7EEA"/>
    <w:rsid w:val="00BB03D8"/>
    <w:rsid w:val="00BB08DE"/>
    <w:rsid w:val="00BB1232"/>
    <w:rsid w:val="00BB141C"/>
    <w:rsid w:val="00BB1561"/>
    <w:rsid w:val="00BB1A67"/>
    <w:rsid w:val="00BB3035"/>
    <w:rsid w:val="00BB37B2"/>
    <w:rsid w:val="00BB38D0"/>
    <w:rsid w:val="00BB3A68"/>
    <w:rsid w:val="00BB421C"/>
    <w:rsid w:val="00BB443E"/>
    <w:rsid w:val="00BB4AF6"/>
    <w:rsid w:val="00BB56D7"/>
    <w:rsid w:val="00BB5DE1"/>
    <w:rsid w:val="00BB5F9F"/>
    <w:rsid w:val="00BB67D3"/>
    <w:rsid w:val="00BB6ACB"/>
    <w:rsid w:val="00BB6FFA"/>
    <w:rsid w:val="00BB7719"/>
    <w:rsid w:val="00BB79F6"/>
    <w:rsid w:val="00BB7AB8"/>
    <w:rsid w:val="00BC0540"/>
    <w:rsid w:val="00BC0C55"/>
    <w:rsid w:val="00BC14E2"/>
    <w:rsid w:val="00BC1685"/>
    <w:rsid w:val="00BC17E5"/>
    <w:rsid w:val="00BC2D35"/>
    <w:rsid w:val="00BC2EC8"/>
    <w:rsid w:val="00BC31E5"/>
    <w:rsid w:val="00BC39BA"/>
    <w:rsid w:val="00BC4217"/>
    <w:rsid w:val="00BC43F7"/>
    <w:rsid w:val="00BC58B4"/>
    <w:rsid w:val="00BC59C3"/>
    <w:rsid w:val="00BC6386"/>
    <w:rsid w:val="00BC685B"/>
    <w:rsid w:val="00BC6A02"/>
    <w:rsid w:val="00BC7318"/>
    <w:rsid w:val="00BC7A12"/>
    <w:rsid w:val="00BD07C5"/>
    <w:rsid w:val="00BD105C"/>
    <w:rsid w:val="00BD1248"/>
    <w:rsid w:val="00BD1DEB"/>
    <w:rsid w:val="00BD2937"/>
    <w:rsid w:val="00BD3148"/>
    <w:rsid w:val="00BD3222"/>
    <w:rsid w:val="00BD3303"/>
    <w:rsid w:val="00BD3B9E"/>
    <w:rsid w:val="00BD457B"/>
    <w:rsid w:val="00BD4F5C"/>
    <w:rsid w:val="00BD558B"/>
    <w:rsid w:val="00BD59BE"/>
    <w:rsid w:val="00BD6A60"/>
    <w:rsid w:val="00BD6CA4"/>
    <w:rsid w:val="00BD78F4"/>
    <w:rsid w:val="00BD7A7C"/>
    <w:rsid w:val="00BE0A9C"/>
    <w:rsid w:val="00BE10A0"/>
    <w:rsid w:val="00BE14CE"/>
    <w:rsid w:val="00BE2079"/>
    <w:rsid w:val="00BE2336"/>
    <w:rsid w:val="00BE26A2"/>
    <w:rsid w:val="00BE29FF"/>
    <w:rsid w:val="00BE3D65"/>
    <w:rsid w:val="00BE4D18"/>
    <w:rsid w:val="00BE5F38"/>
    <w:rsid w:val="00BE620A"/>
    <w:rsid w:val="00BE6B32"/>
    <w:rsid w:val="00BE6E59"/>
    <w:rsid w:val="00BF0E10"/>
    <w:rsid w:val="00BF16E3"/>
    <w:rsid w:val="00BF1D28"/>
    <w:rsid w:val="00BF202D"/>
    <w:rsid w:val="00BF2043"/>
    <w:rsid w:val="00BF266F"/>
    <w:rsid w:val="00BF2826"/>
    <w:rsid w:val="00BF2B9A"/>
    <w:rsid w:val="00BF2CF9"/>
    <w:rsid w:val="00BF3068"/>
    <w:rsid w:val="00BF328F"/>
    <w:rsid w:val="00BF3E59"/>
    <w:rsid w:val="00BF40DC"/>
    <w:rsid w:val="00BF540C"/>
    <w:rsid w:val="00BF54C0"/>
    <w:rsid w:val="00BF59F0"/>
    <w:rsid w:val="00BF5F5C"/>
    <w:rsid w:val="00BF62C6"/>
    <w:rsid w:val="00BF66D1"/>
    <w:rsid w:val="00BF753C"/>
    <w:rsid w:val="00C002CA"/>
    <w:rsid w:val="00C0040A"/>
    <w:rsid w:val="00C0069C"/>
    <w:rsid w:val="00C01D6B"/>
    <w:rsid w:val="00C01ED9"/>
    <w:rsid w:val="00C024B3"/>
    <w:rsid w:val="00C02936"/>
    <w:rsid w:val="00C03C2B"/>
    <w:rsid w:val="00C048A2"/>
    <w:rsid w:val="00C04BC3"/>
    <w:rsid w:val="00C04E96"/>
    <w:rsid w:val="00C05020"/>
    <w:rsid w:val="00C054E6"/>
    <w:rsid w:val="00C062AA"/>
    <w:rsid w:val="00C06847"/>
    <w:rsid w:val="00C0717F"/>
    <w:rsid w:val="00C10677"/>
    <w:rsid w:val="00C10994"/>
    <w:rsid w:val="00C10E95"/>
    <w:rsid w:val="00C11144"/>
    <w:rsid w:val="00C11A39"/>
    <w:rsid w:val="00C1231E"/>
    <w:rsid w:val="00C12849"/>
    <w:rsid w:val="00C129DA"/>
    <w:rsid w:val="00C12A61"/>
    <w:rsid w:val="00C1305C"/>
    <w:rsid w:val="00C137F2"/>
    <w:rsid w:val="00C13A44"/>
    <w:rsid w:val="00C1413E"/>
    <w:rsid w:val="00C144F9"/>
    <w:rsid w:val="00C14790"/>
    <w:rsid w:val="00C14E29"/>
    <w:rsid w:val="00C156AF"/>
    <w:rsid w:val="00C158A6"/>
    <w:rsid w:val="00C15A45"/>
    <w:rsid w:val="00C16337"/>
    <w:rsid w:val="00C168FC"/>
    <w:rsid w:val="00C16C48"/>
    <w:rsid w:val="00C177E7"/>
    <w:rsid w:val="00C17A0A"/>
    <w:rsid w:val="00C20589"/>
    <w:rsid w:val="00C20B01"/>
    <w:rsid w:val="00C20C05"/>
    <w:rsid w:val="00C20C31"/>
    <w:rsid w:val="00C216DC"/>
    <w:rsid w:val="00C21826"/>
    <w:rsid w:val="00C218A7"/>
    <w:rsid w:val="00C21A61"/>
    <w:rsid w:val="00C21D20"/>
    <w:rsid w:val="00C22485"/>
    <w:rsid w:val="00C23409"/>
    <w:rsid w:val="00C23482"/>
    <w:rsid w:val="00C2369A"/>
    <w:rsid w:val="00C24122"/>
    <w:rsid w:val="00C2563C"/>
    <w:rsid w:val="00C256B6"/>
    <w:rsid w:val="00C26345"/>
    <w:rsid w:val="00C26B47"/>
    <w:rsid w:val="00C26F64"/>
    <w:rsid w:val="00C27F13"/>
    <w:rsid w:val="00C3155F"/>
    <w:rsid w:val="00C3312D"/>
    <w:rsid w:val="00C33BB7"/>
    <w:rsid w:val="00C33CAA"/>
    <w:rsid w:val="00C33F76"/>
    <w:rsid w:val="00C34821"/>
    <w:rsid w:val="00C348B6"/>
    <w:rsid w:val="00C34AAD"/>
    <w:rsid w:val="00C34D35"/>
    <w:rsid w:val="00C34F99"/>
    <w:rsid w:val="00C35498"/>
    <w:rsid w:val="00C35D89"/>
    <w:rsid w:val="00C3629A"/>
    <w:rsid w:val="00C36C6A"/>
    <w:rsid w:val="00C37C6B"/>
    <w:rsid w:val="00C37F27"/>
    <w:rsid w:val="00C37FAA"/>
    <w:rsid w:val="00C404F2"/>
    <w:rsid w:val="00C408C0"/>
    <w:rsid w:val="00C4229B"/>
    <w:rsid w:val="00C42AF3"/>
    <w:rsid w:val="00C43712"/>
    <w:rsid w:val="00C43F60"/>
    <w:rsid w:val="00C450B3"/>
    <w:rsid w:val="00C4592C"/>
    <w:rsid w:val="00C45E66"/>
    <w:rsid w:val="00C4602A"/>
    <w:rsid w:val="00C4647E"/>
    <w:rsid w:val="00C46521"/>
    <w:rsid w:val="00C469C5"/>
    <w:rsid w:val="00C46B35"/>
    <w:rsid w:val="00C46B4E"/>
    <w:rsid w:val="00C5006E"/>
    <w:rsid w:val="00C5017E"/>
    <w:rsid w:val="00C505FF"/>
    <w:rsid w:val="00C506FB"/>
    <w:rsid w:val="00C513C7"/>
    <w:rsid w:val="00C532EC"/>
    <w:rsid w:val="00C538E1"/>
    <w:rsid w:val="00C53E19"/>
    <w:rsid w:val="00C53FAF"/>
    <w:rsid w:val="00C5416B"/>
    <w:rsid w:val="00C544A4"/>
    <w:rsid w:val="00C54518"/>
    <w:rsid w:val="00C54C4C"/>
    <w:rsid w:val="00C54E6D"/>
    <w:rsid w:val="00C5532C"/>
    <w:rsid w:val="00C556E2"/>
    <w:rsid w:val="00C55CE5"/>
    <w:rsid w:val="00C56213"/>
    <w:rsid w:val="00C5625B"/>
    <w:rsid w:val="00C56989"/>
    <w:rsid w:val="00C56AFA"/>
    <w:rsid w:val="00C56DD3"/>
    <w:rsid w:val="00C57270"/>
    <w:rsid w:val="00C572CF"/>
    <w:rsid w:val="00C57615"/>
    <w:rsid w:val="00C57BFE"/>
    <w:rsid w:val="00C57D34"/>
    <w:rsid w:val="00C57FB8"/>
    <w:rsid w:val="00C60382"/>
    <w:rsid w:val="00C61383"/>
    <w:rsid w:val="00C6182D"/>
    <w:rsid w:val="00C6204B"/>
    <w:rsid w:val="00C62420"/>
    <w:rsid w:val="00C62AFB"/>
    <w:rsid w:val="00C631B3"/>
    <w:rsid w:val="00C63AE8"/>
    <w:rsid w:val="00C6430C"/>
    <w:rsid w:val="00C6476A"/>
    <w:rsid w:val="00C64AF0"/>
    <w:rsid w:val="00C64B1C"/>
    <w:rsid w:val="00C65F28"/>
    <w:rsid w:val="00C65F2D"/>
    <w:rsid w:val="00C66501"/>
    <w:rsid w:val="00C7023F"/>
    <w:rsid w:val="00C702D9"/>
    <w:rsid w:val="00C705A1"/>
    <w:rsid w:val="00C70748"/>
    <w:rsid w:val="00C70AF9"/>
    <w:rsid w:val="00C70F15"/>
    <w:rsid w:val="00C71FDC"/>
    <w:rsid w:val="00C724E1"/>
    <w:rsid w:val="00C727E0"/>
    <w:rsid w:val="00C73424"/>
    <w:rsid w:val="00C74365"/>
    <w:rsid w:val="00C74B1C"/>
    <w:rsid w:val="00C74FA7"/>
    <w:rsid w:val="00C75549"/>
    <w:rsid w:val="00C75E3D"/>
    <w:rsid w:val="00C760CC"/>
    <w:rsid w:val="00C7665F"/>
    <w:rsid w:val="00C76B58"/>
    <w:rsid w:val="00C76B75"/>
    <w:rsid w:val="00C77348"/>
    <w:rsid w:val="00C77C1F"/>
    <w:rsid w:val="00C800DC"/>
    <w:rsid w:val="00C80138"/>
    <w:rsid w:val="00C80AF1"/>
    <w:rsid w:val="00C82278"/>
    <w:rsid w:val="00C83362"/>
    <w:rsid w:val="00C8394A"/>
    <w:rsid w:val="00C83999"/>
    <w:rsid w:val="00C83E80"/>
    <w:rsid w:val="00C8500B"/>
    <w:rsid w:val="00C85223"/>
    <w:rsid w:val="00C8777F"/>
    <w:rsid w:val="00C87CB0"/>
    <w:rsid w:val="00C9031E"/>
    <w:rsid w:val="00C910E2"/>
    <w:rsid w:val="00C916F2"/>
    <w:rsid w:val="00C91D30"/>
    <w:rsid w:val="00C9271E"/>
    <w:rsid w:val="00C92B62"/>
    <w:rsid w:val="00C93020"/>
    <w:rsid w:val="00C9314A"/>
    <w:rsid w:val="00C94136"/>
    <w:rsid w:val="00C948F5"/>
    <w:rsid w:val="00C94917"/>
    <w:rsid w:val="00C94A91"/>
    <w:rsid w:val="00C94CE7"/>
    <w:rsid w:val="00C94D2B"/>
    <w:rsid w:val="00C94D9C"/>
    <w:rsid w:val="00C95259"/>
    <w:rsid w:val="00C952DE"/>
    <w:rsid w:val="00C95E4F"/>
    <w:rsid w:val="00C964B9"/>
    <w:rsid w:val="00CA00A0"/>
    <w:rsid w:val="00CA0234"/>
    <w:rsid w:val="00CA0843"/>
    <w:rsid w:val="00CA0A5A"/>
    <w:rsid w:val="00CA0E22"/>
    <w:rsid w:val="00CA1467"/>
    <w:rsid w:val="00CA25D0"/>
    <w:rsid w:val="00CA2FEC"/>
    <w:rsid w:val="00CA417E"/>
    <w:rsid w:val="00CA48F5"/>
    <w:rsid w:val="00CA4CAB"/>
    <w:rsid w:val="00CA5CBA"/>
    <w:rsid w:val="00CA5F20"/>
    <w:rsid w:val="00CA613D"/>
    <w:rsid w:val="00CA61F4"/>
    <w:rsid w:val="00CA6BC6"/>
    <w:rsid w:val="00CA78D5"/>
    <w:rsid w:val="00CA7FDC"/>
    <w:rsid w:val="00CB0081"/>
    <w:rsid w:val="00CB0F36"/>
    <w:rsid w:val="00CB1018"/>
    <w:rsid w:val="00CB16C1"/>
    <w:rsid w:val="00CB1BC1"/>
    <w:rsid w:val="00CB392B"/>
    <w:rsid w:val="00CB3CB3"/>
    <w:rsid w:val="00CB4132"/>
    <w:rsid w:val="00CB440E"/>
    <w:rsid w:val="00CB47B8"/>
    <w:rsid w:val="00CB50AB"/>
    <w:rsid w:val="00CB5D64"/>
    <w:rsid w:val="00CB6DA8"/>
    <w:rsid w:val="00CB712D"/>
    <w:rsid w:val="00CB74D0"/>
    <w:rsid w:val="00CB7A9F"/>
    <w:rsid w:val="00CC001B"/>
    <w:rsid w:val="00CC02CC"/>
    <w:rsid w:val="00CC0318"/>
    <w:rsid w:val="00CC1827"/>
    <w:rsid w:val="00CC1A2C"/>
    <w:rsid w:val="00CC1C39"/>
    <w:rsid w:val="00CC1F17"/>
    <w:rsid w:val="00CC27E4"/>
    <w:rsid w:val="00CC35FE"/>
    <w:rsid w:val="00CC4934"/>
    <w:rsid w:val="00CC4F68"/>
    <w:rsid w:val="00CC51CD"/>
    <w:rsid w:val="00CC562D"/>
    <w:rsid w:val="00CC5D2E"/>
    <w:rsid w:val="00CC5F05"/>
    <w:rsid w:val="00CC5FBD"/>
    <w:rsid w:val="00CC629D"/>
    <w:rsid w:val="00CC7F72"/>
    <w:rsid w:val="00CD017D"/>
    <w:rsid w:val="00CD0425"/>
    <w:rsid w:val="00CD1A0A"/>
    <w:rsid w:val="00CD1AB3"/>
    <w:rsid w:val="00CD25B1"/>
    <w:rsid w:val="00CD267C"/>
    <w:rsid w:val="00CD26BD"/>
    <w:rsid w:val="00CD2735"/>
    <w:rsid w:val="00CD2C51"/>
    <w:rsid w:val="00CD38F2"/>
    <w:rsid w:val="00CD40C2"/>
    <w:rsid w:val="00CD4480"/>
    <w:rsid w:val="00CD465C"/>
    <w:rsid w:val="00CD4681"/>
    <w:rsid w:val="00CD4EFA"/>
    <w:rsid w:val="00CD53A4"/>
    <w:rsid w:val="00CD5561"/>
    <w:rsid w:val="00CD5701"/>
    <w:rsid w:val="00CD5784"/>
    <w:rsid w:val="00CD5D26"/>
    <w:rsid w:val="00CD5D3A"/>
    <w:rsid w:val="00CD5ED0"/>
    <w:rsid w:val="00CD6114"/>
    <w:rsid w:val="00CD6BC4"/>
    <w:rsid w:val="00CD71BA"/>
    <w:rsid w:val="00CD7E68"/>
    <w:rsid w:val="00CE0798"/>
    <w:rsid w:val="00CE2A98"/>
    <w:rsid w:val="00CE2DFB"/>
    <w:rsid w:val="00CE32B2"/>
    <w:rsid w:val="00CE33DD"/>
    <w:rsid w:val="00CE39B7"/>
    <w:rsid w:val="00CE3B05"/>
    <w:rsid w:val="00CE3F42"/>
    <w:rsid w:val="00CE4A03"/>
    <w:rsid w:val="00CE52D3"/>
    <w:rsid w:val="00CE5763"/>
    <w:rsid w:val="00CE6FF8"/>
    <w:rsid w:val="00CE7108"/>
    <w:rsid w:val="00CE74D1"/>
    <w:rsid w:val="00CF039C"/>
    <w:rsid w:val="00CF09A9"/>
    <w:rsid w:val="00CF162F"/>
    <w:rsid w:val="00CF18FE"/>
    <w:rsid w:val="00CF1B77"/>
    <w:rsid w:val="00CF34CA"/>
    <w:rsid w:val="00CF4D6F"/>
    <w:rsid w:val="00CF4DAF"/>
    <w:rsid w:val="00CF5130"/>
    <w:rsid w:val="00CF557B"/>
    <w:rsid w:val="00CF5903"/>
    <w:rsid w:val="00CF62E1"/>
    <w:rsid w:val="00CF649B"/>
    <w:rsid w:val="00CF6C14"/>
    <w:rsid w:val="00CF78E2"/>
    <w:rsid w:val="00CF7A3F"/>
    <w:rsid w:val="00CF7E60"/>
    <w:rsid w:val="00D000B6"/>
    <w:rsid w:val="00D013C4"/>
    <w:rsid w:val="00D02574"/>
    <w:rsid w:val="00D030DC"/>
    <w:rsid w:val="00D03540"/>
    <w:rsid w:val="00D0384F"/>
    <w:rsid w:val="00D040BB"/>
    <w:rsid w:val="00D04158"/>
    <w:rsid w:val="00D04B40"/>
    <w:rsid w:val="00D0542D"/>
    <w:rsid w:val="00D05749"/>
    <w:rsid w:val="00D057CF"/>
    <w:rsid w:val="00D05CB6"/>
    <w:rsid w:val="00D064D2"/>
    <w:rsid w:val="00D06FCE"/>
    <w:rsid w:val="00D07F10"/>
    <w:rsid w:val="00D10B7D"/>
    <w:rsid w:val="00D1190A"/>
    <w:rsid w:val="00D11B9F"/>
    <w:rsid w:val="00D11C03"/>
    <w:rsid w:val="00D1345A"/>
    <w:rsid w:val="00D136FC"/>
    <w:rsid w:val="00D13A65"/>
    <w:rsid w:val="00D1540B"/>
    <w:rsid w:val="00D155FA"/>
    <w:rsid w:val="00D15BEE"/>
    <w:rsid w:val="00D1660A"/>
    <w:rsid w:val="00D1686A"/>
    <w:rsid w:val="00D16C6B"/>
    <w:rsid w:val="00D1755A"/>
    <w:rsid w:val="00D1763D"/>
    <w:rsid w:val="00D2027D"/>
    <w:rsid w:val="00D20356"/>
    <w:rsid w:val="00D20CE3"/>
    <w:rsid w:val="00D225CF"/>
    <w:rsid w:val="00D22663"/>
    <w:rsid w:val="00D22FF7"/>
    <w:rsid w:val="00D23152"/>
    <w:rsid w:val="00D24059"/>
    <w:rsid w:val="00D24AC3"/>
    <w:rsid w:val="00D2526A"/>
    <w:rsid w:val="00D255E9"/>
    <w:rsid w:val="00D25961"/>
    <w:rsid w:val="00D25E89"/>
    <w:rsid w:val="00D25FF8"/>
    <w:rsid w:val="00D26A42"/>
    <w:rsid w:val="00D26D68"/>
    <w:rsid w:val="00D26DE0"/>
    <w:rsid w:val="00D27655"/>
    <w:rsid w:val="00D278BE"/>
    <w:rsid w:val="00D27CA7"/>
    <w:rsid w:val="00D30216"/>
    <w:rsid w:val="00D30680"/>
    <w:rsid w:val="00D30DCD"/>
    <w:rsid w:val="00D31688"/>
    <w:rsid w:val="00D31E07"/>
    <w:rsid w:val="00D3223F"/>
    <w:rsid w:val="00D322F3"/>
    <w:rsid w:val="00D32A9D"/>
    <w:rsid w:val="00D32B50"/>
    <w:rsid w:val="00D32F77"/>
    <w:rsid w:val="00D3440C"/>
    <w:rsid w:val="00D34740"/>
    <w:rsid w:val="00D347E9"/>
    <w:rsid w:val="00D34A18"/>
    <w:rsid w:val="00D35282"/>
    <w:rsid w:val="00D35790"/>
    <w:rsid w:val="00D3726E"/>
    <w:rsid w:val="00D37857"/>
    <w:rsid w:val="00D3793F"/>
    <w:rsid w:val="00D40730"/>
    <w:rsid w:val="00D40E71"/>
    <w:rsid w:val="00D41ACC"/>
    <w:rsid w:val="00D41B50"/>
    <w:rsid w:val="00D422E7"/>
    <w:rsid w:val="00D426F5"/>
    <w:rsid w:val="00D42E20"/>
    <w:rsid w:val="00D4301C"/>
    <w:rsid w:val="00D43B88"/>
    <w:rsid w:val="00D43D0C"/>
    <w:rsid w:val="00D44263"/>
    <w:rsid w:val="00D448FC"/>
    <w:rsid w:val="00D453BA"/>
    <w:rsid w:val="00D45D43"/>
    <w:rsid w:val="00D46146"/>
    <w:rsid w:val="00D465EC"/>
    <w:rsid w:val="00D47398"/>
    <w:rsid w:val="00D502DC"/>
    <w:rsid w:val="00D503C2"/>
    <w:rsid w:val="00D50578"/>
    <w:rsid w:val="00D50BD1"/>
    <w:rsid w:val="00D51BB6"/>
    <w:rsid w:val="00D526E6"/>
    <w:rsid w:val="00D53FAB"/>
    <w:rsid w:val="00D540B4"/>
    <w:rsid w:val="00D5421D"/>
    <w:rsid w:val="00D5475B"/>
    <w:rsid w:val="00D54A17"/>
    <w:rsid w:val="00D54B26"/>
    <w:rsid w:val="00D55663"/>
    <w:rsid w:val="00D558C6"/>
    <w:rsid w:val="00D55D84"/>
    <w:rsid w:val="00D56383"/>
    <w:rsid w:val="00D56B2A"/>
    <w:rsid w:val="00D57C48"/>
    <w:rsid w:val="00D57CBE"/>
    <w:rsid w:val="00D609D4"/>
    <w:rsid w:val="00D60AC5"/>
    <w:rsid w:val="00D60DDB"/>
    <w:rsid w:val="00D61805"/>
    <w:rsid w:val="00D62150"/>
    <w:rsid w:val="00D62661"/>
    <w:rsid w:val="00D62B49"/>
    <w:rsid w:val="00D63903"/>
    <w:rsid w:val="00D64F09"/>
    <w:rsid w:val="00D64FC8"/>
    <w:rsid w:val="00D653D5"/>
    <w:rsid w:val="00D65649"/>
    <w:rsid w:val="00D657FC"/>
    <w:rsid w:val="00D65CC2"/>
    <w:rsid w:val="00D6654A"/>
    <w:rsid w:val="00D672BC"/>
    <w:rsid w:val="00D674B8"/>
    <w:rsid w:val="00D67B91"/>
    <w:rsid w:val="00D702E9"/>
    <w:rsid w:val="00D7092A"/>
    <w:rsid w:val="00D70957"/>
    <w:rsid w:val="00D70F0D"/>
    <w:rsid w:val="00D7182A"/>
    <w:rsid w:val="00D718C4"/>
    <w:rsid w:val="00D71941"/>
    <w:rsid w:val="00D71A1E"/>
    <w:rsid w:val="00D725CE"/>
    <w:rsid w:val="00D727DE"/>
    <w:rsid w:val="00D729E7"/>
    <w:rsid w:val="00D72D92"/>
    <w:rsid w:val="00D736D2"/>
    <w:rsid w:val="00D73FE7"/>
    <w:rsid w:val="00D75410"/>
    <w:rsid w:val="00D764D1"/>
    <w:rsid w:val="00D7716B"/>
    <w:rsid w:val="00D77184"/>
    <w:rsid w:val="00D77DEB"/>
    <w:rsid w:val="00D80214"/>
    <w:rsid w:val="00D804C0"/>
    <w:rsid w:val="00D80741"/>
    <w:rsid w:val="00D80FD9"/>
    <w:rsid w:val="00D81A5F"/>
    <w:rsid w:val="00D82770"/>
    <w:rsid w:val="00D82A19"/>
    <w:rsid w:val="00D830A9"/>
    <w:rsid w:val="00D83231"/>
    <w:rsid w:val="00D84667"/>
    <w:rsid w:val="00D855C9"/>
    <w:rsid w:val="00D8592A"/>
    <w:rsid w:val="00D85C61"/>
    <w:rsid w:val="00D85F1A"/>
    <w:rsid w:val="00D8620E"/>
    <w:rsid w:val="00D862CE"/>
    <w:rsid w:val="00D8678B"/>
    <w:rsid w:val="00D8774D"/>
    <w:rsid w:val="00D87788"/>
    <w:rsid w:val="00D901AD"/>
    <w:rsid w:val="00D90296"/>
    <w:rsid w:val="00D90C59"/>
    <w:rsid w:val="00D916AC"/>
    <w:rsid w:val="00D92EC7"/>
    <w:rsid w:val="00D92F3F"/>
    <w:rsid w:val="00D93179"/>
    <w:rsid w:val="00D9317C"/>
    <w:rsid w:val="00D933BE"/>
    <w:rsid w:val="00D9358D"/>
    <w:rsid w:val="00D93993"/>
    <w:rsid w:val="00D9467E"/>
    <w:rsid w:val="00D9478A"/>
    <w:rsid w:val="00D94808"/>
    <w:rsid w:val="00D94BC3"/>
    <w:rsid w:val="00D95C2C"/>
    <w:rsid w:val="00D969B5"/>
    <w:rsid w:val="00D96AF9"/>
    <w:rsid w:val="00D97035"/>
    <w:rsid w:val="00D971DB"/>
    <w:rsid w:val="00D97F67"/>
    <w:rsid w:val="00DA02F6"/>
    <w:rsid w:val="00DA048F"/>
    <w:rsid w:val="00DA0FDD"/>
    <w:rsid w:val="00DA1650"/>
    <w:rsid w:val="00DA18B0"/>
    <w:rsid w:val="00DA2067"/>
    <w:rsid w:val="00DA2971"/>
    <w:rsid w:val="00DA2C67"/>
    <w:rsid w:val="00DA3436"/>
    <w:rsid w:val="00DA3936"/>
    <w:rsid w:val="00DA4009"/>
    <w:rsid w:val="00DA4941"/>
    <w:rsid w:val="00DA4D9E"/>
    <w:rsid w:val="00DA535B"/>
    <w:rsid w:val="00DA665D"/>
    <w:rsid w:val="00DA6D25"/>
    <w:rsid w:val="00DA7A2B"/>
    <w:rsid w:val="00DB0F67"/>
    <w:rsid w:val="00DB1375"/>
    <w:rsid w:val="00DB17BA"/>
    <w:rsid w:val="00DB1BB2"/>
    <w:rsid w:val="00DB1FE5"/>
    <w:rsid w:val="00DB2716"/>
    <w:rsid w:val="00DB43CC"/>
    <w:rsid w:val="00DB4782"/>
    <w:rsid w:val="00DB4BF8"/>
    <w:rsid w:val="00DB4FA6"/>
    <w:rsid w:val="00DB55D7"/>
    <w:rsid w:val="00DB5E61"/>
    <w:rsid w:val="00DB671F"/>
    <w:rsid w:val="00DB67C7"/>
    <w:rsid w:val="00DB6DEE"/>
    <w:rsid w:val="00DB7442"/>
    <w:rsid w:val="00DB7E65"/>
    <w:rsid w:val="00DC1062"/>
    <w:rsid w:val="00DC1CB1"/>
    <w:rsid w:val="00DC2582"/>
    <w:rsid w:val="00DC278B"/>
    <w:rsid w:val="00DC2810"/>
    <w:rsid w:val="00DC397B"/>
    <w:rsid w:val="00DC39BE"/>
    <w:rsid w:val="00DC3BA5"/>
    <w:rsid w:val="00DC3F6A"/>
    <w:rsid w:val="00DC43C9"/>
    <w:rsid w:val="00DC5623"/>
    <w:rsid w:val="00DC577F"/>
    <w:rsid w:val="00DC5881"/>
    <w:rsid w:val="00DC5F13"/>
    <w:rsid w:val="00DC6306"/>
    <w:rsid w:val="00DC6544"/>
    <w:rsid w:val="00DC69DC"/>
    <w:rsid w:val="00DD03BE"/>
    <w:rsid w:val="00DD0854"/>
    <w:rsid w:val="00DD08E9"/>
    <w:rsid w:val="00DD1B55"/>
    <w:rsid w:val="00DD3C31"/>
    <w:rsid w:val="00DD3C6D"/>
    <w:rsid w:val="00DD4F95"/>
    <w:rsid w:val="00DD54CC"/>
    <w:rsid w:val="00DD56AF"/>
    <w:rsid w:val="00DD5B21"/>
    <w:rsid w:val="00DD605A"/>
    <w:rsid w:val="00DD61B8"/>
    <w:rsid w:val="00DD6280"/>
    <w:rsid w:val="00DD6418"/>
    <w:rsid w:val="00DD6B44"/>
    <w:rsid w:val="00DD6C6E"/>
    <w:rsid w:val="00DE014D"/>
    <w:rsid w:val="00DE014E"/>
    <w:rsid w:val="00DE0BCF"/>
    <w:rsid w:val="00DE152E"/>
    <w:rsid w:val="00DE2CB4"/>
    <w:rsid w:val="00DE3077"/>
    <w:rsid w:val="00DE34F4"/>
    <w:rsid w:val="00DE43C9"/>
    <w:rsid w:val="00DE508A"/>
    <w:rsid w:val="00DE523D"/>
    <w:rsid w:val="00DE59FC"/>
    <w:rsid w:val="00DE5C08"/>
    <w:rsid w:val="00DE6673"/>
    <w:rsid w:val="00DE6B63"/>
    <w:rsid w:val="00DE6CC6"/>
    <w:rsid w:val="00DE70D0"/>
    <w:rsid w:val="00DE7A37"/>
    <w:rsid w:val="00DE7E1A"/>
    <w:rsid w:val="00DE7F4C"/>
    <w:rsid w:val="00DF0785"/>
    <w:rsid w:val="00DF1919"/>
    <w:rsid w:val="00DF1928"/>
    <w:rsid w:val="00DF1A94"/>
    <w:rsid w:val="00DF219C"/>
    <w:rsid w:val="00DF23A0"/>
    <w:rsid w:val="00DF2736"/>
    <w:rsid w:val="00DF2A8E"/>
    <w:rsid w:val="00DF2B4D"/>
    <w:rsid w:val="00DF3196"/>
    <w:rsid w:val="00DF372F"/>
    <w:rsid w:val="00DF3994"/>
    <w:rsid w:val="00DF423F"/>
    <w:rsid w:val="00DF48A5"/>
    <w:rsid w:val="00DF4D79"/>
    <w:rsid w:val="00DF54DB"/>
    <w:rsid w:val="00DF553C"/>
    <w:rsid w:val="00DF562D"/>
    <w:rsid w:val="00DF5F9F"/>
    <w:rsid w:val="00DF63D7"/>
    <w:rsid w:val="00DF6FCE"/>
    <w:rsid w:val="00DF7395"/>
    <w:rsid w:val="00E00046"/>
    <w:rsid w:val="00E002C8"/>
    <w:rsid w:val="00E003C7"/>
    <w:rsid w:val="00E0066D"/>
    <w:rsid w:val="00E011B6"/>
    <w:rsid w:val="00E019CF"/>
    <w:rsid w:val="00E024D3"/>
    <w:rsid w:val="00E03082"/>
    <w:rsid w:val="00E03964"/>
    <w:rsid w:val="00E045C6"/>
    <w:rsid w:val="00E04E9F"/>
    <w:rsid w:val="00E05DBA"/>
    <w:rsid w:val="00E06640"/>
    <w:rsid w:val="00E07702"/>
    <w:rsid w:val="00E07B21"/>
    <w:rsid w:val="00E07C00"/>
    <w:rsid w:val="00E10F0F"/>
    <w:rsid w:val="00E11D91"/>
    <w:rsid w:val="00E12F26"/>
    <w:rsid w:val="00E1335C"/>
    <w:rsid w:val="00E133E9"/>
    <w:rsid w:val="00E14681"/>
    <w:rsid w:val="00E14A5D"/>
    <w:rsid w:val="00E14C39"/>
    <w:rsid w:val="00E14EA4"/>
    <w:rsid w:val="00E1514E"/>
    <w:rsid w:val="00E15B7A"/>
    <w:rsid w:val="00E15D8B"/>
    <w:rsid w:val="00E1627F"/>
    <w:rsid w:val="00E1635C"/>
    <w:rsid w:val="00E1651A"/>
    <w:rsid w:val="00E1678F"/>
    <w:rsid w:val="00E168FB"/>
    <w:rsid w:val="00E16BA5"/>
    <w:rsid w:val="00E17E6A"/>
    <w:rsid w:val="00E20B27"/>
    <w:rsid w:val="00E20FC0"/>
    <w:rsid w:val="00E20FFE"/>
    <w:rsid w:val="00E210E5"/>
    <w:rsid w:val="00E2237C"/>
    <w:rsid w:val="00E2324B"/>
    <w:rsid w:val="00E23809"/>
    <w:rsid w:val="00E23C6E"/>
    <w:rsid w:val="00E247C0"/>
    <w:rsid w:val="00E255E0"/>
    <w:rsid w:val="00E25F43"/>
    <w:rsid w:val="00E26E97"/>
    <w:rsid w:val="00E2763E"/>
    <w:rsid w:val="00E27E10"/>
    <w:rsid w:val="00E30D17"/>
    <w:rsid w:val="00E31022"/>
    <w:rsid w:val="00E31413"/>
    <w:rsid w:val="00E31F9F"/>
    <w:rsid w:val="00E32A4C"/>
    <w:rsid w:val="00E330A0"/>
    <w:rsid w:val="00E334BD"/>
    <w:rsid w:val="00E33D08"/>
    <w:rsid w:val="00E33ED7"/>
    <w:rsid w:val="00E34EB1"/>
    <w:rsid w:val="00E350EA"/>
    <w:rsid w:val="00E362EE"/>
    <w:rsid w:val="00E363E5"/>
    <w:rsid w:val="00E36509"/>
    <w:rsid w:val="00E36670"/>
    <w:rsid w:val="00E36A17"/>
    <w:rsid w:val="00E36D96"/>
    <w:rsid w:val="00E37504"/>
    <w:rsid w:val="00E37A0F"/>
    <w:rsid w:val="00E41A4E"/>
    <w:rsid w:val="00E42CE6"/>
    <w:rsid w:val="00E43CD5"/>
    <w:rsid w:val="00E44A18"/>
    <w:rsid w:val="00E44AF1"/>
    <w:rsid w:val="00E44D1A"/>
    <w:rsid w:val="00E44F6C"/>
    <w:rsid w:val="00E456C5"/>
    <w:rsid w:val="00E45D9A"/>
    <w:rsid w:val="00E45FF5"/>
    <w:rsid w:val="00E461E8"/>
    <w:rsid w:val="00E46D4B"/>
    <w:rsid w:val="00E47154"/>
    <w:rsid w:val="00E4782B"/>
    <w:rsid w:val="00E50694"/>
    <w:rsid w:val="00E506B4"/>
    <w:rsid w:val="00E50938"/>
    <w:rsid w:val="00E509A2"/>
    <w:rsid w:val="00E5128B"/>
    <w:rsid w:val="00E5145B"/>
    <w:rsid w:val="00E5197D"/>
    <w:rsid w:val="00E53697"/>
    <w:rsid w:val="00E537EF"/>
    <w:rsid w:val="00E53C91"/>
    <w:rsid w:val="00E54B83"/>
    <w:rsid w:val="00E54F92"/>
    <w:rsid w:val="00E55424"/>
    <w:rsid w:val="00E55981"/>
    <w:rsid w:val="00E55B9B"/>
    <w:rsid w:val="00E5745D"/>
    <w:rsid w:val="00E574BF"/>
    <w:rsid w:val="00E57709"/>
    <w:rsid w:val="00E57844"/>
    <w:rsid w:val="00E57CF6"/>
    <w:rsid w:val="00E57DA5"/>
    <w:rsid w:val="00E57EA2"/>
    <w:rsid w:val="00E60AD2"/>
    <w:rsid w:val="00E60FFF"/>
    <w:rsid w:val="00E610DB"/>
    <w:rsid w:val="00E611A7"/>
    <w:rsid w:val="00E611BA"/>
    <w:rsid w:val="00E61932"/>
    <w:rsid w:val="00E61B09"/>
    <w:rsid w:val="00E61D21"/>
    <w:rsid w:val="00E62390"/>
    <w:rsid w:val="00E628F8"/>
    <w:rsid w:val="00E6296E"/>
    <w:rsid w:val="00E62AFE"/>
    <w:rsid w:val="00E62B13"/>
    <w:rsid w:val="00E62E2D"/>
    <w:rsid w:val="00E636B8"/>
    <w:rsid w:val="00E63CAA"/>
    <w:rsid w:val="00E63DA9"/>
    <w:rsid w:val="00E64E17"/>
    <w:rsid w:val="00E64E62"/>
    <w:rsid w:val="00E65384"/>
    <w:rsid w:val="00E66075"/>
    <w:rsid w:val="00E66ADE"/>
    <w:rsid w:val="00E67C6E"/>
    <w:rsid w:val="00E7011E"/>
    <w:rsid w:val="00E70E6A"/>
    <w:rsid w:val="00E71257"/>
    <w:rsid w:val="00E7156D"/>
    <w:rsid w:val="00E719BA"/>
    <w:rsid w:val="00E72406"/>
    <w:rsid w:val="00E73A90"/>
    <w:rsid w:val="00E73AC1"/>
    <w:rsid w:val="00E74387"/>
    <w:rsid w:val="00E7480E"/>
    <w:rsid w:val="00E7498A"/>
    <w:rsid w:val="00E74CD5"/>
    <w:rsid w:val="00E74E27"/>
    <w:rsid w:val="00E75492"/>
    <w:rsid w:val="00E76AB1"/>
    <w:rsid w:val="00E76FF4"/>
    <w:rsid w:val="00E77672"/>
    <w:rsid w:val="00E776DB"/>
    <w:rsid w:val="00E80648"/>
    <w:rsid w:val="00E81815"/>
    <w:rsid w:val="00E81F9C"/>
    <w:rsid w:val="00E821AB"/>
    <w:rsid w:val="00E82784"/>
    <w:rsid w:val="00E83350"/>
    <w:rsid w:val="00E837CE"/>
    <w:rsid w:val="00E839ED"/>
    <w:rsid w:val="00E851B3"/>
    <w:rsid w:val="00E8584A"/>
    <w:rsid w:val="00E85DDB"/>
    <w:rsid w:val="00E86053"/>
    <w:rsid w:val="00E8622F"/>
    <w:rsid w:val="00E868AF"/>
    <w:rsid w:val="00E86B2B"/>
    <w:rsid w:val="00E86DC8"/>
    <w:rsid w:val="00E9003E"/>
    <w:rsid w:val="00E9078E"/>
    <w:rsid w:val="00E913DB"/>
    <w:rsid w:val="00E922F7"/>
    <w:rsid w:val="00E925A8"/>
    <w:rsid w:val="00E934CF"/>
    <w:rsid w:val="00E940C7"/>
    <w:rsid w:val="00E940D6"/>
    <w:rsid w:val="00E94264"/>
    <w:rsid w:val="00E94812"/>
    <w:rsid w:val="00E9489C"/>
    <w:rsid w:val="00E951A7"/>
    <w:rsid w:val="00E960FE"/>
    <w:rsid w:val="00E968CF"/>
    <w:rsid w:val="00E96C45"/>
    <w:rsid w:val="00E97B01"/>
    <w:rsid w:val="00E97FD1"/>
    <w:rsid w:val="00EA09E9"/>
    <w:rsid w:val="00EA0A85"/>
    <w:rsid w:val="00EA1550"/>
    <w:rsid w:val="00EA15DF"/>
    <w:rsid w:val="00EA1658"/>
    <w:rsid w:val="00EA19BB"/>
    <w:rsid w:val="00EA1CAE"/>
    <w:rsid w:val="00EA1F91"/>
    <w:rsid w:val="00EA213A"/>
    <w:rsid w:val="00EA255E"/>
    <w:rsid w:val="00EA2E05"/>
    <w:rsid w:val="00EA2FF2"/>
    <w:rsid w:val="00EA3329"/>
    <w:rsid w:val="00EA3D12"/>
    <w:rsid w:val="00EA4819"/>
    <w:rsid w:val="00EA4CDC"/>
    <w:rsid w:val="00EA4D1F"/>
    <w:rsid w:val="00EA4D3F"/>
    <w:rsid w:val="00EA567E"/>
    <w:rsid w:val="00EA584F"/>
    <w:rsid w:val="00EA5EE2"/>
    <w:rsid w:val="00EA606D"/>
    <w:rsid w:val="00EA6B86"/>
    <w:rsid w:val="00EA77EC"/>
    <w:rsid w:val="00EA7A65"/>
    <w:rsid w:val="00EA7F98"/>
    <w:rsid w:val="00EB1132"/>
    <w:rsid w:val="00EB18E2"/>
    <w:rsid w:val="00EB1D6C"/>
    <w:rsid w:val="00EB237A"/>
    <w:rsid w:val="00EB24FC"/>
    <w:rsid w:val="00EB257E"/>
    <w:rsid w:val="00EB2680"/>
    <w:rsid w:val="00EB2E23"/>
    <w:rsid w:val="00EB33DF"/>
    <w:rsid w:val="00EB3828"/>
    <w:rsid w:val="00EB3D50"/>
    <w:rsid w:val="00EB3E99"/>
    <w:rsid w:val="00EB4392"/>
    <w:rsid w:val="00EB4C4A"/>
    <w:rsid w:val="00EB4FD9"/>
    <w:rsid w:val="00EB58FA"/>
    <w:rsid w:val="00EB5CB4"/>
    <w:rsid w:val="00EB68E2"/>
    <w:rsid w:val="00EB6AAD"/>
    <w:rsid w:val="00EB6EF1"/>
    <w:rsid w:val="00EB703D"/>
    <w:rsid w:val="00EB73EB"/>
    <w:rsid w:val="00EB7509"/>
    <w:rsid w:val="00EB7577"/>
    <w:rsid w:val="00EB75FE"/>
    <w:rsid w:val="00EB770D"/>
    <w:rsid w:val="00EB7867"/>
    <w:rsid w:val="00EB7C07"/>
    <w:rsid w:val="00EC10EF"/>
    <w:rsid w:val="00EC12D7"/>
    <w:rsid w:val="00EC1510"/>
    <w:rsid w:val="00EC16C8"/>
    <w:rsid w:val="00EC19CA"/>
    <w:rsid w:val="00EC2244"/>
    <w:rsid w:val="00EC2430"/>
    <w:rsid w:val="00EC2F9A"/>
    <w:rsid w:val="00EC3D70"/>
    <w:rsid w:val="00EC4AD7"/>
    <w:rsid w:val="00EC558B"/>
    <w:rsid w:val="00EC5641"/>
    <w:rsid w:val="00EC571C"/>
    <w:rsid w:val="00EC57BC"/>
    <w:rsid w:val="00EC6745"/>
    <w:rsid w:val="00EC69AA"/>
    <w:rsid w:val="00EC6C4F"/>
    <w:rsid w:val="00EC78DC"/>
    <w:rsid w:val="00ED1B4C"/>
    <w:rsid w:val="00ED1F16"/>
    <w:rsid w:val="00ED209B"/>
    <w:rsid w:val="00ED2153"/>
    <w:rsid w:val="00ED217D"/>
    <w:rsid w:val="00ED2323"/>
    <w:rsid w:val="00ED30A9"/>
    <w:rsid w:val="00ED3198"/>
    <w:rsid w:val="00ED3312"/>
    <w:rsid w:val="00ED3A87"/>
    <w:rsid w:val="00ED3B2A"/>
    <w:rsid w:val="00ED4737"/>
    <w:rsid w:val="00ED4E3C"/>
    <w:rsid w:val="00ED54EE"/>
    <w:rsid w:val="00ED69B0"/>
    <w:rsid w:val="00ED75AB"/>
    <w:rsid w:val="00ED7B34"/>
    <w:rsid w:val="00ED7CB9"/>
    <w:rsid w:val="00ED7EF6"/>
    <w:rsid w:val="00EE03FA"/>
    <w:rsid w:val="00EE0528"/>
    <w:rsid w:val="00EE05C0"/>
    <w:rsid w:val="00EE14FE"/>
    <w:rsid w:val="00EE19CA"/>
    <w:rsid w:val="00EE2696"/>
    <w:rsid w:val="00EE3480"/>
    <w:rsid w:val="00EE3788"/>
    <w:rsid w:val="00EE3B51"/>
    <w:rsid w:val="00EE3C17"/>
    <w:rsid w:val="00EE3CCF"/>
    <w:rsid w:val="00EE44CE"/>
    <w:rsid w:val="00EE4771"/>
    <w:rsid w:val="00EE4A57"/>
    <w:rsid w:val="00EE4AC2"/>
    <w:rsid w:val="00EE55F8"/>
    <w:rsid w:val="00EE5BE7"/>
    <w:rsid w:val="00EE5F0F"/>
    <w:rsid w:val="00EE651C"/>
    <w:rsid w:val="00EE7068"/>
    <w:rsid w:val="00EE7F7D"/>
    <w:rsid w:val="00EF1261"/>
    <w:rsid w:val="00EF16E6"/>
    <w:rsid w:val="00EF20C5"/>
    <w:rsid w:val="00EF21E2"/>
    <w:rsid w:val="00EF2323"/>
    <w:rsid w:val="00EF299F"/>
    <w:rsid w:val="00EF41F6"/>
    <w:rsid w:val="00EF4D09"/>
    <w:rsid w:val="00EF52E8"/>
    <w:rsid w:val="00EF590F"/>
    <w:rsid w:val="00EF5DF0"/>
    <w:rsid w:val="00EF5FC4"/>
    <w:rsid w:val="00EF60EA"/>
    <w:rsid w:val="00EF694D"/>
    <w:rsid w:val="00EF6A1C"/>
    <w:rsid w:val="00EF6DC6"/>
    <w:rsid w:val="00EF72B1"/>
    <w:rsid w:val="00F000EA"/>
    <w:rsid w:val="00F006DF"/>
    <w:rsid w:val="00F01237"/>
    <w:rsid w:val="00F013F1"/>
    <w:rsid w:val="00F01852"/>
    <w:rsid w:val="00F02A70"/>
    <w:rsid w:val="00F034D3"/>
    <w:rsid w:val="00F0393D"/>
    <w:rsid w:val="00F03B63"/>
    <w:rsid w:val="00F040C7"/>
    <w:rsid w:val="00F04329"/>
    <w:rsid w:val="00F0466D"/>
    <w:rsid w:val="00F048AC"/>
    <w:rsid w:val="00F05564"/>
    <w:rsid w:val="00F0582E"/>
    <w:rsid w:val="00F059FA"/>
    <w:rsid w:val="00F05C49"/>
    <w:rsid w:val="00F05DEC"/>
    <w:rsid w:val="00F079E5"/>
    <w:rsid w:val="00F07D43"/>
    <w:rsid w:val="00F07EA8"/>
    <w:rsid w:val="00F103DF"/>
    <w:rsid w:val="00F10AF8"/>
    <w:rsid w:val="00F11280"/>
    <w:rsid w:val="00F118EA"/>
    <w:rsid w:val="00F1231F"/>
    <w:rsid w:val="00F12DE7"/>
    <w:rsid w:val="00F139E3"/>
    <w:rsid w:val="00F1424D"/>
    <w:rsid w:val="00F14693"/>
    <w:rsid w:val="00F150F7"/>
    <w:rsid w:val="00F15D41"/>
    <w:rsid w:val="00F1705E"/>
    <w:rsid w:val="00F171D0"/>
    <w:rsid w:val="00F17988"/>
    <w:rsid w:val="00F20A4C"/>
    <w:rsid w:val="00F20AC3"/>
    <w:rsid w:val="00F214E3"/>
    <w:rsid w:val="00F21896"/>
    <w:rsid w:val="00F21DA3"/>
    <w:rsid w:val="00F22614"/>
    <w:rsid w:val="00F22DE7"/>
    <w:rsid w:val="00F233C5"/>
    <w:rsid w:val="00F23692"/>
    <w:rsid w:val="00F23A9C"/>
    <w:rsid w:val="00F23E91"/>
    <w:rsid w:val="00F24535"/>
    <w:rsid w:val="00F24718"/>
    <w:rsid w:val="00F2518F"/>
    <w:rsid w:val="00F25518"/>
    <w:rsid w:val="00F26614"/>
    <w:rsid w:val="00F26B24"/>
    <w:rsid w:val="00F26D35"/>
    <w:rsid w:val="00F26D79"/>
    <w:rsid w:val="00F27106"/>
    <w:rsid w:val="00F272CA"/>
    <w:rsid w:val="00F27344"/>
    <w:rsid w:val="00F273AE"/>
    <w:rsid w:val="00F274A3"/>
    <w:rsid w:val="00F2750B"/>
    <w:rsid w:val="00F27886"/>
    <w:rsid w:val="00F27E64"/>
    <w:rsid w:val="00F27F5C"/>
    <w:rsid w:val="00F303D4"/>
    <w:rsid w:val="00F32EA9"/>
    <w:rsid w:val="00F3301D"/>
    <w:rsid w:val="00F33118"/>
    <w:rsid w:val="00F3320B"/>
    <w:rsid w:val="00F3356D"/>
    <w:rsid w:val="00F3374B"/>
    <w:rsid w:val="00F33DCA"/>
    <w:rsid w:val="00F34077"/>
    <w:rsid w:val="00F34676"/>
    <w:rsid w:val="00F34713"/>
    <w:rsid w:val="00F34722"/>
    <w:rsid w:val="00F34935"/>
    <w:rsid w:val="00F35336"/>
    <w:rsid w:val="00F35474"/>
    <w:rsid w:val="00F35900"/>
    <w:rsid w:val="00F35DD0"/>
    <w:rsid w:val="00F36645"/>
    <w:rsid w:val="00F367B9"/>
    <w:rsid w:val="00F3682D"/>
    <w:rsid w:val="00F36AD3"/>
    <w:rsid w:val="00F37671"/>
    <w:rsid w:val="00F3770F"/>
    <w:rsid w:val="00F37CA1"/>
    <w:rsid w:val="00F40417"/>
    <w:rsid w:val="00F40508"/>
    <w:rsid w:val="00F40A26"/>
    <w:rsid w:val="00F40BFA"/>
    <w:rsid w:val="00F40D51"/>
    <w:rsid w:val="00F413C2"/>
    <w:rsid w:val="00F41403"/>
    <w:rsid w:val="00F416CF"/>
    <w:rsid w:val="00F41958"/>
    <w:rsid w:val="00F41B25"/>
    <w:rsid w:val="00F41C65"/>
    <w:rsid w:val="00F42178"/>
    <w:rsid w:val="00F42264"/>
    <w:rsid w:val="00F425A3"/>
    <w:rsid w:val="00F42D52"/>
    <w:rsid w:val="00F43454"/>
    <w:rsid w:val="00F43486"/>
    <w:rsid w:val="00F43FF9"/>
    <w:rsid w:val="00F443BE"/>
    <w:rsid w:val="00F44ECB"/>
    <w:rsid w:val="00F454BB"/>
    <w:rsid w:val="00F46B0E"/>
    <w:rsid w:val="00F47DFF"/>
    <w:rsid w:val="00F47F2F"/>
    <w:rsid w:val="00F50319"/>
    <w:rsid w:val="00F50DDF"/>
    <w:rsid w:val="00F52D90"/>
    <w:rsid w:val="00F53272"/>
    <w:rsid w:val="00F538DB"/>
    <w:rsid w:val="00F53B04"/>
    <w:rsid w:val="00F5468D"/>
    <w:rsid w:val="00F54BFF"/>
    <w:rsid w:val="00F56A3E"/>
    <w:rsid w:val="00F5721B"/>
    <w:rsid w:val="00F57317"/>
    <w:rsid w:val="00F5759E"/>
    <w:rsid w:val="00F577DD"/>
    <w:rsid w:val="00F57C67"/>
    <w:rsid w:val="00F57EBC"/>
    <w:rsid w:val="00F6046E"/>
    <w:rsid w:val="00F60716"/>
    <w:rsid w:val="00F6075B"/>
    <w:rsid w:val="00F60DAC"/>
    <w:rsid w:val="00F617FF"/>
    <w:rsid w:val="00F61860"/>
    <w:rsid w:val="00F62162"/>
    <w:rsid w:val="00F63E1A"/>
    <w:rsid w:val="00F658DB"/>
    <w:rsid w:val="00F65928"/>
    <w:rsid w:val="00F65D5F"/>
    <w:rsid w:val="00F66276"/>
    <w:rsid w:val="00F66672"/>
    <w:rsid w:val="00F67A7B"/>
    <w:rsid w:val="00F707D5"/>
    <w:rsid w:val="00F711D1"/>
    <w:rsid w:val="00F714D8"/>
    <w:rsid w:val="00F723DF"/>
    <w:rsid w:val="00F72AB6"/>
    <w:rsid w:val="00F72C8E"/>
    <w:rsid w:val="00F73A72"/>
    <w:rsid w:val="00F74112"/>
    <w:rsid w:val="00F74188"/>
    <w:rsid w:val="00F747DD"/>
    <w:rsid w:val="00F74AA8"/>
    <w:rsid w:val="00F74EBD"/>
    <w:rsid w:val="00F761C5"/>
    <w:rsid w:val="00F76B08"/>
    <w:rsid w:val="00F77631"/>
    <w:rsid w:val="00F77C56"/>
    <w:rsid w:val="00F77D4E"/>
    <w:rsid w:val="00F77DFB"/>
    <w:rsid w:val="00F800C4"/>
    <w:rsid w:val="00F80A27"/>
    <w:rsid w:val="00F81855"/>
    <w:rsid w:val="00F81898"/>
    <w:rsid w:val="00F81917"/>
    <w:rsid w:val="00F82378"/>
    <w:rsid w:val="00F82410"/>
    <w:rsid w:val="00F82EF4"/>
    <w:rsid w:val="00F83D61"/>
    <w:rsid w:val="00F843DD"/>
    <w:rsid w:val="00F85256"/>
    <w:rsid w:val="00F85ABB"/>
    <w:rsid w:val="00F86378"/>
    <w:rsid w:val="00F86620"/>
    <w:rsid w:val="00F8718D"/>
    <w:rsid w:val="00F8793D"/>
    <w:rsid w:val="00F9002C"/>
    <w:rsid w:val="00F90771"/>
    <w:rsid w:val="00F90DFD"/>
    <w:rsid w:val="00F910A4"/>
    <w:rsid w:val="00F9137F"/>
    <w:rsid w:val="00F91394"/>
    <w:rsid w:val="00F91BBD"/>
    <w:rsid w:val="00F91E8C"/>
    <w:rsid w:val="00F922E5"/>
    <w:rsid w:val="00F92796"/>
    <w:rsid w:val="00F9288E"/>
    <w:rsid w:val="00F9296E"/>
    <w:rsid w:val="00F92A75"/>
    <w:rsid w:val="00F9318B"/>
    <w:rsid w:val="00F931DC"/>
    <w:rsid w:val="00F93526"/>
    <w:rsid w:val="00F94DC8"/>
    <w:rsid w:val="00F95963"/>
    <w:rsid w:val="00F95C14"/>
    <w:rsid w:val="00F960E0"/>
    <w:rsid w:val="00F9669B"/>
    <w:rsid w:val="00F96B17"/>
    <w:rsid w:val="00F96E48"/>
    <w:rsid w:val="00F96EED"/>
    <w:rsid w:val="00F9744B"/>
    <w:rsid w:val="00FA0A6E"/>
    <w:rsid w:val="00FA153E"/>
    <w:rsid w:val="00FA1B20"/>
    <w:rsid w:val="00FA1C00"/>
    <w:rsid w:val="00FA3B97"/>
    <w:rsid w:val="00FA4143"/>
    <w:rsid w:val="00FA4151"/>
    <w:rsid w:val="00FA4B65"/>
    <w:rsid w:val="00FA4D54"/>
    <w:rsid w:val="00FA4FD2"/>
    <w:rsid w:val="00FA4FED"/>
    <w:rsid w:val="00FA52E1"/>
    <w:rsid w:val="00FA55C2"/>
    <w:rsid w:val="00FA5D79"/>
    <w:rsid w:val="00FA6D56"/>
    <w:rsid w:val="00FA6DAA"/>
    <w:rsid w:val="00FA749B"/>
    <w:rsid w:val="00FA7EFF"/>
    <w:rsid w:val="00FB003D"/>
    <w:rsid w:val="00FB0222"/>
    <w:rsid w:val="00FB05DE"/>
    <w:rsid w:val="00FB0659"/>
    <w:rsid w:val="00FB090E"/>
    <w:rsid w:val="00FB0C0D"/>
    <w:rsid w:val="00FB1E1E"/>
    <w:rsid w:val="00FB206F"/>
    <w:rsid w:val="00FB212B"/>
    <w:rsid w:val="00FB232C"/>
    <w:rsid w:val="00FB3567"/>
    <w:rsid w:val="00FB3915"/>
    <w:rsid w:val="00FB3A65"/>
    <w:rsid w:val="00FB3A7B"/>
    <w:rsid w:val="00FB3C63"/>
    <w:rsid w:val="00FB59BA"/>
    <w:rsid w:val="00FB7B4A"/>
    <w:rsid w:val="00FB7E60"/>
    <w:rsid w:val="00FC07CD"/>
    <w:rsid w:val="00FC0FBC"/>
    <w:rsid w:val="00FC172E"/>
    <w:rsid w:val="00FC1D78"/>
    <w:rsid w:val="00FC22CE"/>
    <w:rsid w:val="00FC23EF"/>
    <w:rsid w:val="00FC4BB5"/>
    <w:rsid w:val="00FC5A9A"/>
    <w:rsid w:val="00FC60F8"/>
    <w:rsid w:val="00FC66A9"/>
    <w:rsid w:val="00FC66E9"/>
    <w:rsid w:val="00FC68B0"/>
    <w:rsid w:val="00FC7864"/>
    <w:rsid w:val="00FC7905"/>
    <w:rsid w:val="00FC7A52"/>
    <w:rsid w:val="00FD0609"/>
    <w:rsid w:val="00FD0F85"/>
    <w:rsid w:val="00FD122E"/>
    <w:rsid w:val="00FD131E"/>
    <w:rsid w:val="00FD27A6"/>
    <w:rsid w:val="00FD3103"/>
    <w:rsid w:val="00FD40C7"/>
    <w:rsid w:val="00FD4E0D"/>
    <w:rsid w:val="00FD57C9"/>
    <w:rsid w:val="00FD6951"/>
    <w:rsid w:val="00FD71CF"/>
    <w:rsid w:val="00FD7D1E"/>
    <w:rsid w:val="00FD7F48"/>
    <w:rsid w:val="00FE0174"/>
    <w:rsid w:val="00FE0804"/>
    <w:rsid w:val="00FE0EDD"/>
    <w:rsid w:val="00FE1B7C"/>
    <w:rsid w:val="00FE1BCC"/>
    <w:rsid w:val="00FE1DFD"/>
    <w:rsid w:val="00FE2314"/>
    <w:rsid w:val="00FE24DE"/>
    <w:rsid w:val="00FE24F1"/>
    <w:rsid w:val="00FE25AE"/>
    <w:rsid w:val="00FE29FC"/>
    <w:rsid w:val="00FE2BD9"/>
    <w:rsid w:val="00FE2C8B"/>
    <w:rsid w:val="00FE2CC4"/>
    <w:rsid w:val="00FE2E25"/>
    <w:rsid w:val="00FE32E1"/>
    <w:rsid w:val="00FE4639"/>
    <w:rsid w:val="00FE4E57"/>
    <w:rsid w:val="00FE4EAB"/>
    <w:rsid w:val="00FE505D"/>
    <w:rsid w:val="00FE5536"/>
    <w:rsid w:val="00FE55C6"/>
    <w:rsid w:val="00FE757D"/>
    <w:rsid w:val="00FE7863"/>
    <w:rsid w:val="00FE7E7E"/>
    <w:rsid w:val="00FF0499"/>
    <w:rsid w:val="00FF0562"/>
    <w:rsid w:val="00FF0DF8"/>
    <w:rsid w:val="00FF0F1D"/>
    <w:rsid w:val="00FF1739"/>
    <w:rsid w:val="00FF1840"/>
    <w:rsid w:val="00FF19FE"/>
    <w:rsid w:val="00FF3158"/>
    <w:rsid w:val="00FF3CA6"/>
    <w:rsid w:val="00FF4396"/>
    <w:rsid w:val="00FF4B0E"/>
    <w:rsid w:val="00FF52B5"/>
    <w:rsid w:val="00FF541E"/>
    <w:rsid w:val="00FF5BC4"/>
    <w:rsid w:val="00FF6A2D"/>
    <w:rsid w:val="00FF6F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639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semiHidden="1" w:unhideWhenUsed="1"/>
    <w:lsdException w:name="annotation text" w:semiHidden="1" w:unhideWhenUsed="1"/>
    <w:lsdException w:name="header"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semiHidden="1" w:unhideWhenUsed="1"/>
    <w:lsdException w:name="Subtitle" w:locked="1" w:qFormat="1"/>
    <w:lsdException w:name="Date" w:locked="1"/>
    <w:lsdException w:name="Body Text First Indent 2" w:semiHidden="1" w:unhideWhenUsed="1"/>
    <w:lsdException w:name="Note Heading"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iPriority="99"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3415BE"/>
    <w:pPr>
      <w:spacing w:after="240" w:line="240" w:lineRule="atLeast"/>
      <w:ind w:left="624"/>
      <w:jc w:val="both"/>
    </w:pPr>
    <w:rPr>
      <w:rFonts w:cs="Times New Roman"/>
      <w:lang w:eastAsia="en-US"/>
    </w:rPr>
  </w:style>
  <w:style w:type="paragraph" w:styleId="10">
    <w:name w:val="heading 1"/>
    <w:aliases w:val="1,H1"/>
    <w:basedOn w:val="a2"/>
    <w:next w:val="a1"/>
    <w:link w:val="11"/>
    <w:qFormat/>
    <w:rsid w:val="00420BB6"/>
    <w:pPr>
      <w:keepNext/>
      <w:keepLines/>
      <w:pBdr>
        <w:bottom w:val="none" w:sz="0" w:space="0" w:color="auto"/>
      </w:pBdr>
      <w:suppressAutoHyphens/>
      <w:spacing w:before="220" w:after="60" w:line="320" w:lineRule="atLeast"/>
      <w:ind w:left="0"/>
      <w:contextualSpacing w:val="0"/>
      <w:outlineLvl w:val="0"/>
    </w:pPr>
    <w:rPr>
      <w:rFonts w:ascii="Arial Bold" w:hAnsi="Arial Bold"/>
      <w:b/>
      <w:caps/>
      <w:color w:val="auto"/>
      <w:spacing w:val="0"/>
      <w:sz w:val="40"/>
      <w:szCs w:val="40"/>
    </w:rPr>
  </w:style>
  <w:style w:type="paragraph" w:styleId="2">
    <w:name w:val="heading 2"/>
    <w:aliases w:val="2,H2,h2,Numbered text 3"/>
    <w:basedOn w:val="a2"/>
    <w:next w:val="a1"/>
    <w:link w:val="20"/>
    <w:qFormat/>
    <w:rsid w:val="00420BB6"/>
    <w:pPr>
      <w:keepNext/>
      <w:keepLines/>
      <w:pBdr>
        <w:bottom w:val="none" w:sz="0" w:space="0" w:color="auto"/>
      </w:pBdr>
      <w:suppressAutoHyphens/>
      <w:spacing w:after="240"/>
      <w:ind w:left="0"/>
      <w:contextualSpacing w:val="0"/>
      <w:jc w:val="left"/>
      <w:outlineLvl w:val="1"/>
    </w:pPr>
    <w:rPr>
      <w:rFonts w:ascii="Arial" w:eastAsia="Times New Roman" w:hAnsi="Arial"/>
      <w:b/>
      <w:color w:val="auto"/>
      <w:spacing w:val="0"/>
      <w:sz w:val="24"/>
      <w:szCs w:val="24"/>
    </w:rPr>
  </w:style>
  <w:style w:type="paragraph" w:styleId="3">
    <w:name w:val="heading 3"/>
    <w:aliases w:val="3,H3"/>
    <w:basedOn w:val="a2"/>
    <w:next w:val="a1"/>
    <w:link w:val="30"/>
    <w:autoRedefine/>
    <w:qFormat/>
    <w:rsid w:val="00E61D21"/>
    <w:pPr>
      <w:pBdr>
        <w:bottom w:val="none" w:sz="0" w:space="0" w:color="auto"/>
      </w:pBdr>
      <w:tabs>
        <w:tab w:val="left" w:pos="360"/>
        <w:tab w:val="left" w:pos="1080"/>
      </w:tabs>
      <w:spacing w:before="240" w:after="0"/>
      <w:ind w:left="0"/>
      <w:contextualSpacing w:val="0"/>
      <w:outlineLvl w:val="2"/>
    </w:pPr>
    <w:rPr>
      <w:rFonts w:ascii="Times New Roman" w:hAnsi="Times New Roman"/>
      <w:b/>
      <w:color w:val="auto"/>
      <w:spacing w:val="0"/>
      <w:kern w:val="0"/>
      <w:sz w:val="20"/>
      <w:szCs w:val="20"/>
    </w:rPr>
  </w:style>
  <w:style w:type="paragraph" w:styleId="4">
    <w:name w:val="heading 4"/>
    <w:basedOn w:val="a2"/>
    <w:next w:val="a1"/>
    <w:link w:val="40"/>
    <w:qFormat/>
    <w:rsid w:val="0067583F"/>
    <w:pPr>
      <w:keepNext/>
      <w:keepLines/>
      <w:pBdr>
        <w:bottom w:val="none" w:sz="0" w:space="0" w:color="auto"/>
      </w:pBdr>
      <w:suppressAutoHyphens/>
      <w:spacing w:after="240"/>
      <w:ind w:left="0"/>
      <w:contextualSpacing w:val="0"/>
      <w:outlineLvl w:val="3"/>
    </w:pPr>
    <w:rPr>
      <w:rFonts w:ascii="Arial" w:eastAsia="Times New Roman" w:hAnsi="Arial"/>
      <w:b/>
      <w:color w:val="auto"/>
      <w:spacing w:val="0"/>
      <w:sz w:val="24"/>
      <w:szCs w:val="24"/>
    </w:rPr>
  </w:style>
  <w:style w:type="paragraph" w:styleId="5">
    <w:name w:val="heading 5"/>
    <w:aliases w:val="h5"/>
    <w:basedOn w:val="a2"/>
    <w:next w:val="a1"/>
    <w:link w:val="50"/>
    <w:qFormat/>
    <w:rsid w:val="0067583F"/>
    <w:pPr>
      <w:keepNext/>
      <w:keepLines/>
      <w:pBdr>
        <w:top w:val="single" w:sz="6" w:space="16" w:color="auto"/>
        <w:bottom w:val="none" w:sz="0" w:space="0" w:color="auto"/>
      </w:pBdr>
      <w:suppressAutoHyphens/>
      <w:spacing w:before="220" w:after="60" w:line="320" w:lineRule="atLeast"/>
      <w:ind w:left="0"/>
      <w:contextualSpacing w:val="0"/>
      <w:jc w:val="left"/>
      <w:outlineLvl w:val="4"/>
    </w:pPr>
    <w:rPr>
      <w:rFonts w:ascii="Arial" w:hAnsi="Arial"/>
      <w:b/>
      <w:i/>
      <w:color w:val="auto"/>
      <w:spacing w:val="-20"/>
      <w:sz w:val="20"/>
      <w:szCs w:val="40"/>
    </w:rPr>
  </w:style>
  <w:style w:type="paragraph" w:styleId="6">
    <w:name w:val="heading 6"/>
    <w:basedOn w:val="a2"/>
    <w:next w:val="a1"/>
    <w:link w:val="60"/>
    <w:qFormat/>
    <w:rsid w:val="0067583F"/>
    <w:pPr>
      <w:keepNext/>
      <w:keepLines/>
      <w:numPr>
        <w:ilvl w:val="5"/>
        <w:numId w:val="7"/>
      </w:numPr>
      <w:pBdr>
        <w:top w:val="single" w:sz="6" w:space="16" w:color="auto"/>
        <w:bottom w:val="none" w:sz="0" w:space="0" w:color="auto"/>
      </w:pBdr>
      <w:spacing w:before="220" w:after="60" w:line="320" w:lineRule="atLeast"/>
      <w:ind w:left="0"/>
      <w:contextualSpacing w:val="0"/>
      <w:jc w:val="left"/>
      <w:outlineLvl w:val="5"/>
    </w:pPr>
    <w:rPr>
      <w:rFonts w:ascii="Arial" w:hAnsi="Arial"/>
      <w:b/>
      <w:i/>
      <w:color w:val="auto"/>
      <w:spacing w:val="-20"/>
      <w:sz w:val="18"/>
      <w:szCs w:val="40"/>
    </w:rPr>
  </w:style>
  <w:style w:type="paragraph" w:styleId="7">
    <w:name w:val="heading 7"/>
    <w:basedOn w:val="a2"/>
    <w:next w:val="a1"/>
    <w:link w:val="70"/>
    <w:qFormat/>
    <w:rsid w:val="0067583F"/>
    <w:pPr>
      <w:keepNext/>
      <w:keepLines/>
      <w:numPr>
        <w:ilvl w:val="6"/>
        <w:numId w:val="7"/>
      </w:numPr>
      <w:pBdr>
        <w:top w:val="single" w:sz="6" w:space="16" w:color="auto"/>
        <w:bottom w:val="none" w:sz="0" w:space="0" w:color="auto"/>
      </w:pBdr>
      <w:spacing w:before="220" w:after="60" w:line="320" w:lineRule="atLeast"/>
      <w:ind w:left="0"/>
      <w:contextualSpacing w:val="0"/>
      <w:jc w:val="left"/>
      <w:outlineLvl w:val="6"/>
    </w:pPr>
    <w:rPr>
      <w:rFonts w:ascii="Arial" w:hAnsi="Arial"/>
      <w:b/>
      <w:color w:val="auto"/>
      <w:spacing w:val="-20"/>
      <w:sz w:val="18"/>
      <w:szCs w:val="40"/>
    </w:rPr>
  </w:style>
  <w:style w:type="paragraph" w:styleId="8">
    <w:name w:val="heading 8"/>
    <w:basedOn w:val="a2"/>
    <w:next w:val="a1"/>
    <w:link w:val="80"/>
    <w:qFormat/>
    <w:rsid w:val="0067583F"/>
    <w:pPr>
      <w:keepNext/>
      <w:keepLines/>
      <w:numPr>
        <w:ilvl w:val="7"/>
        <w:numId w:val="7"/>
      </w:numPr>
      <w:pBdr>
        <w:top w:val="single" w:sz="6" w:space="16" w:color="auto"/>
        <w:bottom w:val="none" w:sz="0" w:space="0" w:color="auto"/>
      </w:pBdr>
      <w:spacing w:before="220" w:after="60" w:line="320" w:lineRule="atLeast"/>
      <w:ind w:left="0"/>
      <w:contextualSpacing w:val="0"/>
      <w:jc w:val="left"/>
      <w:outlineLvl w:val="7"/>
    </w:pPr>
    <w:rPr>
      <w:rFonts w:ascii="Arial" w:hAnsi="Arial"/>
      <w:b/>
      <w:i/>
      <w:color w:val="auto"/>
      <w:spacing w:val="-20"/>
      <w:sz w:val="18"/>
      <w:szCs w:val="40"/>
    </w:rPr>
  </w:style>
  <w:style w:type="paragraph" w:styleId="9">
    <w:name w:val="heading 9"/>
    <w:basedOn w:val="a2"/>
    <w:next w:val="a1"/>
    <w:link w:val="90"/>
    <w:qFormat/>
    <w:rsid w:val="0067583F"/>
    <w:pPr>
      <w:keepNext/>
      <w:keepLines/>
      <w:numPr>
        <w:ilvl w:val="8"/>
        <w:numId w:val="7"/>
      </w:numPr>
      <w:pBdr>
        <w:top w:val="single" w:sz="6" w:space="16" w:color="auto"/>
        <w:bottom w:val="none" w:sz="0" w:space="0" w:color="auto"/>
      </w:pBdr>
      <w:spacing w:before="220" w:after="60" w:line="320" w:lineRule="atLeast"/>
      <w:ind w:left="0"/>
      <w:contextualSpacing w:val="0"/>
      <w:jc w:val="left"/>
      <w:outlineLvl w:val="8"/>
    </w:pPr>
    <w:rPr>
      <w:rFonts w:ascii="Arial" w:hAnsi="Arial"/>
      <w:b/>
      <w:color w:val="auto"/>
      <w:spacing w:val="-20"/>
      <w:sz w:val="18"/>
      <w:szCs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Title"/>
    <w:basedOn w:val="a1"/>
    <w:next w:val="a1"/>
    <w:link w:val="a6"/>
    <w:qFormat/>
    <w:rsid w:val="003415BE"/>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a6">
    <w:name w:val="Заголовок Знак"/>
    <w:link w:val="a2"/>
    <w:locked/>
    <w:rsid w:val="003415BE"/>
    <w:rPr>
      <w:rFonts w:ascii="Cambria" w:hAnsi="Cambria" w:cs="Times New Roman"/>
      <w:color w:val="17365D"/>
      <w:spacing w:val="5"/>
      <w:kern w:val="28"/>
      <w:sz w:val="52"/>
      <w:szCs w:val="52"/>
      <w:lang w:val="ru-RU"/>
    </w:rPr>
  </w:style>
  <w:style w:type="character" w:customStyle="1" w:styleId="11">
    <w:name w:val="Заголовок 1 Знак"/>
    <w:aliases w:val="1 Знак,H1 Знак"/>
    <w:link w:val="10"/>
    <w:locked/>
    <w:rsid w:val="00420BB6"/>
    <w:rPr>
      <w:rFonts w:ascii="Arial Bold" w:hAnsi="Arial Bold" w:cs="Times New Roman"/>
      <w:b/>
      <w:caps/>
      <w:kern w:val="28"/>
      <w:sz w:val="40"/>
      <w:szCs w:val="40"/>
      <w:lang w:val="ru-RU"/>
    </w:rPr>
  </w:style>
  <w:style w:type="character" w:customStyle="1" w:styleId="20">
    <w:name w:val="Заголовок 2 Знак"/>
    <w:aliases w:val="2 Знак,H2 Знак,h2 Знак,Numbered text 3 Знак"/>
    <w:link w:val="2"/>
    <w:locked/>
    <w:rsid w:val="00420BB6"/>
    <w:rPr>
      <w:rFonts w:eastAsia="Times New Roman" w:cs="Times New Roman"/>
      <w:b/>
      <w:kern w:val="28"/>
      <w:sz w:val="24"/>
      <w:szCs w:val="24"/>
      <w:lang w:val="ru-RU"/>
    </w:rPr>
  </w:style>
  <w:style w:type="character" w:customStyle="1" w:styleId="30">
    <w:name w:val="Заголовок 3 Знак"/>
    <w:aliases w:val="3 Знак,H3 Знак"/>
    <w:link w:val="3"/>
    <w:locked/>
    <w:rsid w:val="00E61D21"/>
    <w:rPr>
      <w:rFonts w:ascii="Times New Roman" w:hAnsi="Times New Roman" w:cs="Times New Roman"/>
      <w:b/>
      <w:lang w:eastAsia="en-US"/>
    </w:rPr>
  </w:style>
  <w:style w:type="character" w:customStyle="1" w:styleId="40">
    <w:name w:val="Заголовок 4 Знак"/>
    <w:link w:val="4"/>
    <w:locked/>
    <w:rsid w:val="0067583F"/>
    <w:rPr>
      <w:rFonts w:eastAsia="Times New Roman" w:cs="Times New Roman"/>
      <w:b/>
      <w:kern w:val="28"/>
      <w:sz w:val="24"/>
      <w:szCs w:val="24"/>
      <w:lang w:val="ru-RU"/>
    </w:rPr>
  </w:style>
  <w:style w:type="character" w:customStyle="1" w:styleId="50">
    <w:name w:val="Заголовок 5 Знак"/>
    <w:aliases w:val="h5 Знак"/>
    <w:link w:val="5"/>
    <w:locked/>
    <w:rsid w:val="0067583F"/>
    <w:rPr>
      <w:rFonts w:cs="Times New Roman"/>
      <w:b/>
      <w:i/>
      <w:spacing w:val="-20"/>
      <w:kern w:val="28"/>
      <w:szCs w:val="40"/>
      <w:lang w:eastAsia="en-US"/>
    </w:rPr>
  </w:style>
  <w:style w:type="character" w:customStyle="1" w:styleId="60">
    <w:name w:val="Заголовок 6 Знак"/>
    <w:link w:val="6"/>
    <w:locked/>
    <w:rsid w:val="0067583F"/>
    <w:rPr>
      <w:rFonts w:cs="Times New Roman"/>
      <w:b/>
      <w:i/>
      <w:spacing w:val="-20"/>
      <w:kern w:val="28"/>
      <w:sz w:val="18"/>
      <w:szCs w:val="40"/>
      <w:lang w:eastAsia="en-US"/>
    </w:rPr>
  </w:style>
  <w:style w:type="character" w:customStyle="1" w:styleId="70">
    <w:name w:val="Заголовок 7 Знак"/>
    <w:link w:val="7"/>
    <w:locked/>
    <w:rsid w:val="0067583F"/>
    <w:rPr>
      <w:rFonts w:cs="Times New Roman"/>
      <w:b/>
      <w:spacing w:val="-20"/>
      <w:kern w:val="28"/>
      <w:sz w:val="18"/>
      <w:szCs w:val="40"/>
      <w:lang w:eastAsia="en-US"/>
    </w:rPr>
  </w:style>
  <w:style w:type="character" w:customStyle="1" w:styleId="80">
    <w:name w:val="Заголовок 8 Знак"/>
    <w:link w:val="8"/>
    <w:locked/>
    <w:rsid w:val="0067583F"/>
    <w:rPr>
      <w:rFonts w:cs="Times New Roman"/>
      <w:b/>
      <w:i/>
      <w:spacing w:val="-20"/>
      <w:kern w:val="28"/>
      <w:sz w:val="18"/>
      <w:szCs w:val="40"/>
      <w:lang w:eastAsia="en-US"/>
    </w:rPr>
  </w:style>
  <w:style w:type="character" w:customStyle="1" w:styleId="90">
    <w:name w:val="Заголовок 9 Знак"/>
    <w:link w:val="9"/>
    <w:locked/>
    <w:rsid w:val="0067583F"/>
    <w:rPr>
      <w:rFonts w:cs="Times New Roman"/>
      <w:b/>
      <w:spacing w:val="-20"/>
      <w:kern w:val="28"/>
      <w:sz w:val="18"/>
      <w:szCs w:val="40"/>
      <w:lang w:eastAsia="en-US"/>
    </w:rPr>
  </w:style>
  <w:style w:type="paragraph" w:customStyle="1" w:styleId="pnumbered">
    <w:name w:val="pnumbered"/>
    <w:basedOn w:val="a1"/>
    <w:rsid w:val="003415BE"/>
    <w:pPr>
      <w:spacing w:before="100" w:beforeAutospacing="1" w:after="100" w:afterAutospacing="1" w:line="240" w:lineRule="auto"/>
      <w:ind w:left="0"/>
      <w:jc w:val="left"/>
    </w:pPr>
    <w:rPr>
      <w:rFonts w:ascii="Times New Roman" w:hAnsi="Times New Roman"/>
      <w:sz w:val="24"/>
      <w:szCs w:val="24"/>
      <w:lang w:eastAsia="ru-RU"/>
    </w:rPr>
  </w:style>
  <w:style w:type="paragraph" w:customStyle="1" w:styleId="Iauiue">
    <w:name w:val="Iau.iue"/>
    <w:basedOn w:val="a1"/>
    <w:next w:val="a1"/>
    <w:rsid w:val="003415BE"/>
    <w:pPr>
      <w:autoSpaceDE w:val="0"/>
      <w:autoSpaceDN w:val="0"/>
      <w:adjustRightInd w:val="0"/>
      <w:spacing w:after="0" w:line="240" w:lineRule="auto"/>
      <w:ind w:left="0"/>
      <w:jc w:val="left"/>
    </w:pPr>
    <w:rPr>
      <w:rFonts w:ascii="Times New Roman" w:hAnsi="Times New Roman"/>
      <w:sz w:val="24"/>
      <w:szCs w:val="24"/>
      <w:lang w:eastAsia="ru-RU"/>
    </w:rPr>
  </w:style>
  <w:style w:type="paragraph" w:customStyle="1" w:styleId="ABC-paragrahinNotes">
    <w:name w:val="ABC - paragrah in Notes"/>
    <w:link w:val="ABC-paragrahinNotesChar"/>
    <w:rsid w:val="003415BE"/>
    <w:pPr>
      <w:spacing w:after="240"/>
      <w:jc w:val="both"/>
    </w:pPr>
    <w:rPr>
      <w:rFonts w:cs="Times New Roman"/>
      <w:sz w:val="18"/>
      <w:lang w:val="en-GB"/>
    </w:rPr>
  </w:style>
  <w:style w:type="character" w:customStyle="1" w:styleId="ABC-paragrahinNotesChar">
    <w:name w:val="ABC - paragrah in Notes Char"/>
    <w:link w:val="ABC-paragrahinNotes"/>
    <w:locked/>
    <w:rsid w:val="003415BE"/>
    <w:rPr>
      <w:rFonts w:cs="Times New Roman"/>
      <w:sz w:val="18"/>
      <w:lang w:val="en-GB" w:eastAsia="ru-RU" w:bidi="ar-SA"/>
    </w:rPr>
  </w:style>
  <w:style w:type="character" w:styleId="a7">
    <w:name w:val="annotation reference"/>
    <w:semiHidden/>
    <w:rsid w:val="003415BE"/>
    <w:rPr>
      <w:rFonts w:cs="Times New Roman"/>
      <w:sz w:val="16"/>
      <w:szCs w:val="16"/>
    </w:rPr>
  </w:style>
  <w:style w:type="paragraph" w:styleId="a8">
    <w:name w:val="annotation text"/>
    <w:basedOn w:val="a1"/>
    <w:link w:val="a9"/>
    <w:rsid w:val="003415BE"/>
    <w:pPr>
      <w:spacing w:line="240" w:lineRule="auto"/>
    </w:pPr>
    <w:rPr>
      <w:rFonts w:eastAsia="Times New Roman"/>
    </w:rPr>
  </w:style>
  <w:style w:type="character" w:customStyle="1" w:styleId="a9">
    <w:name w:val="Текст примечания Знак"/>
    <w:link w:val="a8"/>
    <w:locked/>
    <w:rsid w:val="003415BE"/>
    <w:rPr>
      <w:rFonts w:eastAsia="Times New Roman" w:cs="Times New Roman"/>
      <w:lang w:val="ru-RU"/>
    </w:rPr>
  </w:style>
  <w:style w:type="paragraph" w:styleId="aa">
    <w:name w:val="List Paragraph"/>
    <w:aliases w:val="lp1,Preambuła"/>
    <w:basedOn w:val="a1"/>
    <w:link w:val="ab"/>
    <w:uiPriority w:val="34"/>
    <w:qFormat/>
    <w:rsid w:val="003415BE"/>
    <w:pPr>
      <w:ind w:left="720"/>
      <w:contextualSpacing/>
    </w:pPr>
  </w:style>
  <w:style w:type="paragraph" w:customStyle="1" w:styleId="Default">
    <w:name w:val="Default"/>
    <w:rsid w:val="003415BE"/>
    <w:pPr>
      <w:autoSpaceDE w:val="0"/>
      <w:autoSpaceDN w:val="0"/>
      <w:adjustRightInd w:val="0"/>
    </w:pPr>
    <w:rPr>
      <w:rFonts w:ascii="Times New Roman" w:eastAsia="Times New Roman" w:hAnsi="Times New Roman" w:cs="Times New Roman"/>
      <w:color w:val="000000"/>
      <w:sz w:val="24"/>
      <w:szCs w:val="24"/>
      <w:lang w:val="en-US" w:eastAsia="en-US"/>
    </w:rPr>
  </w:style>
  <w:style w:type="paragraph" w:styleId="ac">
    <w:name w:val="Balloon Text"/>
    <w:basedOn w:val="a1"/>
    <w:link w:val="ad"/>
    <w:semiHidden/>
    <w:rsid w:val="003415BE"/>
    <w:pPr>
      <w:spacing w:after="0" w:line="240" w:lineRule="auto"/>
    </w:pPr>
    <w:rPr>
      <w:rFonts w:ascii="Tahoma" w:hAnsi="Tahoma"/>
      <w:sz w:val="16"/>
      <w:szCs w:val="16"/>
    </w:rPr>
  </w:style>
  <w:style w:type="character" w:customStyle="1" w:styleId="ad">
    <w:name w:val="Текст выноски Знак"/>
    <w:link w:val="ac"/>
    <w:semiHidden/>
    <w:locked/>
    <w:rsid w:val="003415BE"/>
    <w:rPr>
      <w:rFonts w:ascii="Tahoma" w:hAnsi="Tahoma" w:cs="Tahoma"/>
      <w:sz w:val="16"/>
      <w:szCs w:val="16"/>
      <w:lang w:val="ru-RU"/>
    </w:rPr>
  </w:style>
  <w:style w:type="paragraph" w:styleId="ae">
    <w:name w:val="header"/>
    <w:aliases w:val=" Знак3,Знак3"/>
    <w:basedOn w:val="a1"/>
    <w:link w:val="af"/>
    <w:uiPriority w:val="99"/>
    <w:rsid w:val="002716B1"/>
    <w:pPr>
      <w:tabs>
        <w:tab w:val="center" w:pos="4844"/>
        <w:tab w:val="right" w:pos="9689"/>
      </w:tabs>
      <w:spacing w:after="0"/>
      <w:ind w:left="0"/>
    </w:pPr>
    <w:rPr>
      <w:rFonts w:eastAsia="Times New Roman"/>
      <w:sz w:val="16"/>
      <w:szCs w:val="16"/>
    </w:rPr>
  </w:style>
  <w:style w:type="character" w:customStyle="1" w:styleId="af">
    <w:name w:val="Верхний колонтитул Знак"/>
    <w:aliases w:val=" Знак3 Знак,Знак3 Знак"/>
    <w:link w:val="ae"/>
    <w:uiPriority w:val="99"/>
    <w:locked/>
    <w:rsid w:val="002716B1"/>
    <w:rPr>
      <w:rFonts w:eastAsia="Times New Roman" w:cs="Times New Roman"/>
      <w:sz w:val="16"/>
      <w:szCs w:val="16"/>
      <w:lang w:val="ru-RU"/>
    </w:rPr>
  </w:style>
  <w:style w:type="paragraph" w:styleId="af0">
    <w:name w:val="footer"/>
    <w:basedOn w:val="a1"/>
    <w:link w:val="af1"/>
    <w:uiPriority w:val="99"/>
    <w:rsid w:val="002716B1"/>
    <w:pPr>
      <w:tabs>
        <w:tab w:val="center" w:pos="4844"/>
        <w:tab w:val="right" w:pos="9689"/>
      </w:tabs>
      <w:spacing w:after="0" w:line="240" w:lineRule="auto"/>
    </w:pPr>
    <w:rPr>
      <w:rFonts w:eastAsia="Times New Roman"/>
    </w:rPr>
  </w:style>
  <w:style w:type="character" w:customStyle="1" w:styleId="af1">
    <w:name w:val="Нижний колонтитул Знак"/>
    <w:link w:val="af0"/>
    <w:uiPriority w:val="99"/>
    <w:locked/>
    <w:rsid w:val="002716B1"/>
    <w:rPr>
      <w:rFonts w:eastAsia="Times New Roman" w:cs="Times New Roman"/>
      <w:lang w:val="ru-RU"/>
    </w:rPr>
  </w:style>
  <w:style w:type="paragraph" w:styleId="af2">
    <w:name w:val="annotation subject"/>
    <w:basedOn w:val="a8"/>
    <w:next w:val="a8"/>
    <w:link w:val="af3"/>
    <w:semiHidden/>
    <w:rsid w:val="0035373D"/>
    <w:rPr>
      <w:b/>
      <w:bCs/>
    </w:rPr>
  </w:style>
  <w:style w:type="character" w:customStyle="1" w:styleId="af3">
    <w:name w:val="Тема примечания Знак"/>
    <w:link w:val="af2"/>
    <w:semiHidden/>
    <w:locked/>
    <w:rsid w:val="0035373D"/>
    <w:rPr>
      <w:rFonts w:eastAsia="Times New Roman" w:cs="Times New Roman"/>
      <w:b/>
      <w:bCs/>
      <w:lang w:val="ru-RU"/>
    </w:rPr>
  </w:style>
  <w:style w:type="paragraph" w:customStyle="1" w:styleId="1">
    <w:name w:val="_уп кц нумерация 1"/>
    <w:basedOn w:val="a1"/>
    <w:link w:val="12"/>
    <w:rsid w:val="0067583F"/>
    <w:pPr>
      <w:numPr>
        <w:numId w:val="6"/>
      </w:numPr>
      <w:tabs>
        <w:tab w:val="left" w:pos="-3420"/>
      </w:tabs>
      <w:spacing w:after="0" w:line="240" w:lineRule="auto"/>
    </w:pPr>
    <w:rPr>
      <w:rFonts w:ascii="Times New Roman" w:hAnsi="Times New Roman"/>
      <w:sz w:val="28"/>
      <w:szCs w:val="28"/>
    </w:rPr>
  </w:style>
  <w:style w:type="character" w:customStyle="1" w:styleId="12">
    <w:name w:val="_уп кц нумерация 1 Знак"/>
    <w:link w:val="1"/>
    <w:locked/>
    <w:rsid w:val="0067583F"/>
    <w:rPr>
      <w:rFonts w:ascii="Times New Roman" w:hAnsi="Times New Roman" w:cs="Times New Roman"/>
      <w:sz w:val="28"/>
      <w:szCs w:val="28"/>
      <w:lang w:eastAsia="en-US"/>
    </w:rPr>
  </w:style>
  <w:style w:type="paragraph" w:customStyle="1" w:styleId="13">
    <w:name w:val="_уп кц раздел 1"/>
    <w:basedOn w:val="a1"/>
    <w:next w:val="a1"/>
    <w:rsid w:val="0067583F"/>
    <w:pPr>
      <w:keepNext/>
      <w:tabs>
        <w:tab w:val="num" w:pos="709"/>
      </w:tabs>
      <w:spacing w:after="0" w:line="240" w:lineRule="auto"/>
      <w:ind w:left="0"/>
      <w:jc w:val="center"/>
    </w:pPr>
    <w:rPr>
      <w:rFonts w:ascii="Times New Roman" w:hAnsi="Times New Roman"/>
      <w:b/>
      <w:sz w:val="28"/>
      <w:szCs w:val="28"/>
    </w:rPr>
  </w:style>
  <w:style w:type="paragraph" w:customStyle="1" w:styleId="14">
    <w:name w:val="_уп кц подраздел 1"/>
    <w:basedOn w:val="a1"/>
    <w:next w:val="a1"/>
    <w:rsid w:val="0067583F"/>
    <w:pPr>
      <w:keepNext/>
      <w:keepLines/>
      <w:tabs>
        <w:tab w:val="num" w:pos="567"/>
      </w:tabs>
      <w:suppressAutoHyphens/>
      <w:spacing w:after="0" w:line="240" w:lineRule="auto"/>
      <w:ind w:left="0"/>
      <w:jc w:val="center"/>
    </w:pPr>
    <w:rPr>
      <w:rFonts w:ascii="Times New Roman" w:hAnsi="Times New Roman"/>
      <w:b/>
      <w:sz w:val="28"/>
      <w:szCs w:val="28"/>
    </w:rPr>
  </w:style>
  <w:style w:type="paragraph" w:customStyle="1" w:styleId="15">
    <w:name w:val="_уп кц глава 1"/>
    <w:basedOn w:val="a1"/>
    <w:next w:val="a1"/>
    <w:rsid w:val="0067583F"/>
    <w:pPr>
      <w:keepNext/>
      <w:keepLines/>
      <w:tabs>
        <w:tab w:val="num" w:pos="1314"/>
      </w:tabs>
      <w:suppressAutoHyphens/>
      <w:spacing w:after="0" w:line="240" w:lineRule="auto"/>
      <w:ind w:left="180"/>
      <w:jc w:val="center"/>
    </w:pPr>
    <w:rPr>
      <w:rFonts w:ascii="Times New Roman" w:hAnsi="Times New Roman"/>
      <w:b/>
      <w:sz w:val="28"/>
      <w:szCs w:val="28"/>
    </w:rPr>
  </w:style>
  <w:style w:type="paragraph" w:customStyle="1" w:styleId="16">
    <w:name w:val="_уп кц параграф 1"/>
    <w:basedOn w:val="a1"/>
    <w:next w:val="a1"/>
    <w:rsid w:val="0067583F"/>
    <w:pPr>
      <w:keepNext/>
      <w:keepLines/>
      <w:tabs>
        <w:tab w:val="num" w:pos="567"/>
      </w:tabs>
      <w:suppressAutoHyphens/>
      <w:spacing w:after="0" w:line="240" w:lineRule="auto"/>
      <w:ind w:left="0"/>
      <w:jc w:val="center"/>
    </w:pPr>
    <w:rPr>
      <w:rFonts w:ascii="Times New Roman" w:hAnsi="Times New Roman"/>
      <w:b/>
      <w:sz w:val="28"/>
      <w:szCs w:val="28"/>
    </w:rPr>
  </w:style>
  <w:style w:type="paragraph" w:customStyle="1" w:styleId="21">
    <w:name w:val="_уп кц нумерация 2"/>
    <w:basedOn w:val="a1"/>
    <w:rsid w:val="0067583F"/>
    <w:pPr>
      <w:tabs>
        <w:tab w:val="num" w:pos="1134"/>
      </w:tabs>
      <w:spacing w:after="0" w:line="240" w:lineRule="auto"/>
      <w:ind w:left="0" w:firstLine="720"/>
    </w:pPr>
    <w:rPr>
      <w:rFonts w:ascii="Times New Roman" w:hAnsi="Times New Roman"/>
      <w:sz w:val="28"/>
      <w:szCs w:val="28"/>
    </w:rPr>
  </w:style>
  <w:style w:type="paragraph" w:customStyle="1" w:styleId="af4">
    <w:name w:val="_осн текст уп кц"/>
    <w:basedOn w:val="a1"/>
    <w:rsid w:val="0067583F"/>
    <w:pPr>
      <w:spacing w:after="0" w:line="240" w:lineRule="auto"/>
      <w:ind w:left="0" w:firstLine="720"/>
    </w:pPr>
    <w:rPr>
      <w:rFonts w:ascii="Times New Roman" w:hAnsi="Times New Roman"/>
      <w:sz w:val="28"/>
      <w:szCs w:val="28"/>
    </w:rPr>
  </w:style>
  <w:style w:type="paragraph" w:customStyle="1" w:styleId="HeadingBase">
    <w:name w:val="Heading Base"/>
    <w:basedOn w:val="a1"/>
    <w:next w:val="a1"/>
    <w:link w:val="HeadingBaseChar"/>
    <w:rsid w:val="0067583F"/>
    <w:pPr>
      <w:keepNext/>
      <w:keepLines/>
      <w:spacing w:before="140" w:line="220" w:lineRule="atLeast"/>
      <w:ind w:left="1080"/>
    </w:pPr>
    <w:rPr>
      <w:rFonts w:eastAsia="Times New Roman"/>
      <w:b/>
      <w:spacing w:val="-20"/>
      <w:kern w:val="28"/>
      <w:sz w:val="22"/>
    </w:rPr>
  </w:style>
  <w:style w:type="character" w:customStyle="1" w:styleId="HeadingBaseChar">
    <w:name w:val="Heading Base Char"/>
    <w:link w:val="HeadingBase"/>
    <w:locked/>
    <w:rsid w:val="0067583F"/>
    <w:rPr>
      <w:rFonts w:eastAsia="Times New Roman" w:cs="Times New Roman"/>
      <w:b/>
      <w:spacing w:val="-20"/>
      <w:kern w:val="28"/>
      <w:sz w:val="22"/>
      <w:lang w:val="ru-RU"/>
    </w:rPr>
  </w:style>
  <w:style w:type="paragraph" w:styleId="af5">
    <w:name w:val="Subtitle"/>
    <w:basedOn w:val="a2"/>
    <w:next w:val="a1"/>
    <w:link w:val="af6"/>
    <w:qFormat/>
    <w:rsid w:val="0067583F"/>
    <w:pPr>
      <w:keepNext/>
      <w:keepLines/>
      <w:pBdr>
        <w:top w:val="single" w:sz="6" w:space="16" w:color="auto"/>
        <w:bottom w:val="none" w:sz="0" w:space="0" w:color="auto"/>
      </w:pBdr>
      <w:spacing w:before="60" w:after="120" w:line="340" w:lineRule="atLeast"/>
      <w:ind w:left="0"/>
      <w:contextualSpacing w:val="0"/>
      <w:jc w:val="left"/>
    </w:pPr>
    <w:rPr>
      <w:rFonts w:ascii="Arial" w:eastAsia="Times New Roman" w:hAnsi="Arial"/>
      <w:b/>
      <w:caps/>
      <w:color w:val="auto"/>
      <w:spacing w:val="-16"/>
      <w:sz w:val="40"/>
      <w:szCs w:val="40"/>
    </w:rPr>
  </w:style>
  <w:style w:type="character" w:customStyle="1" w:styleId="af6">
    <w:name w:val="Подзаголовок Знак"/>
    <w:link w:val="af5"/>
    <w:locked/>
    <w:rsid w:val="0067583F"/>
    <w:rPr>
      <w:rFonts w:eastAsia="Times New Roman" w:cs="Times New Roman"/>
      <w:b/>
      <w:caps/>
      <w:spacing w:val="-16"/>
      <w:kern w:val="28"/>
      <w:sz w:val="40"/>
      <w:szCs w:val="40"/>
      <w:lang w:val="ru-RU"/>
    </w:rPr>
  </w:style>
  <w:style w:type="paragraph" w:customStyle="1" w:styleId="ChapterSubtitle">
    <w:name w:val="Chapter Subtitle"/>
    <w:basedOn w:val="af5"/>
    <w:next w:val="10"/>
    <w:rsid w:val="0067583F"/>
    <w:rPr>
      <w:b w:val="0"/>
      <w:i/>
      <w:caps w:val="0"/>
      <w:sz w:val="28"/>
    </w:rPr>
  </w:style>
  <w:style w:type="paragraph" w:customStyle="1" w:styleId="af7">
    <w:name w:val="Простой"/>
    <w:basedOn w:val="a1"/>
    <w:rsid w:val="0067583F"/>
    <w:pPr>
      <w:spacing w:after="0" w:line="240" w:lineRule="auto"/>
      <w:ind w:left="0"/>
      <w:jc w:val="left"/>
    </w:pPr>
  </w:style>
  <w:style w:type="paragraph" w:customStyle="1" w:styleId="FootnoteBase">
    <w:name w:val="Footnote Base"/>
    <w:basedOn w:val="a1"/>
    <w:rsid w:val="0067583F"/>
    <w:pPr>
      <w:keepLines/>
      <w:spacing w:line="200" w:lineRule="atLeast"/>
      <w:ind w:left="1080"/>
    </w:pPr>
    <w:rPr>
      <w:sz w:val="16"/>
    </w:rPr>
  </w:style>
  <w:style w:type="paragraph" w:customStyle="1" w:styleId="BlockQuotation">
    <w:name w:val="Block Quotation"/>
    <w:basedOn w:val="a1"/>
    <w:rsid w:val="0067583F"/>
    <w:pPr>
      <w:pBdr>
        <w:top w:val="single" w:sz="12" w:space="0" w:color="FFFFFF"/>
        <w:left w:val="single" w:sz="6" w:space="0" w:color="FFFFFF"/>
        <w:bottom w:val="single" w:sz="6" w:space="0" w:color="FFFFFF"/>
        <w:right w:val="single" w:sz="6" w:space="0" w:color="FFFFFF"/>
      </w:pBdr>
      <w:shd w:val="pct5" w:color="auto" w:fill="auto"/>
      <w:spacing w:after="120" w:line="220" w:lineRule="atLeast"/>
      <w:ind w:left="1366" w:right="238"/>
    </w:pPr>
    <w:rPr>
      <w:rFonts w:ascii="Chicago" w:hAnsi="Chicago"/>
    </w:rPr>
  </w:style>
  <w:style w:type="paragraph" w:customStyle="1" w:styleId="BodyTextKeep">
    <w:name w:val="Body Text Keep"/>
    <w:basedOn w:val="a1"/>
    <w:rsid w:val="0067583F"/>
    <w:pPr>
      <w:keepNext/>
      <w:tabs>
        <w:tab w:val="left" w:pos="3345"/>
      </w:tabs>
    </w:pPr>
  </w:style>
  <w:style w:type="paragraph" w:styleId="af8">
    <w:name w:val="caption"/>
    <w:basedOn w:val="Picture"/>
    <w:next w:val="a1"/>
    <w:link w:val="af9"/>
    <w:qFormat/>
    <w:rsid w:val="0067583F"/>
    <w:pPr>
      <w:spacing w:before="60" w:line="220" w:lineRule="atLeast"/>
      <w:ind w:left="1920" w:hanging="120"/>
    </w:pPr>
    <w:rPr>
      <w:sz w:val="16"/>
    </w:rPr>
  </w:style>
  <w:style w:type="paragraph" w:customStyle="1" w:styleId="Picture">
    <w:name w:val="Picture"/>
    <w:basedOn w:val="a1"/>
    <w:next w:val="af8"/>
    <w:link w:val="PictureChar"/>
    <w:rsid w:val="0067583F"/>
    <w:pPr>
      <w:keepNext/>
      <w:ind w:left="0"/>
      <w:jc w:val="center"/>
    </w:pPr>
    <w:rPr>
      <w:rFonts w:eastAsia="Times New Roman"/>
      <w:i/>
      <w:iCs/>
    </w:rPr>
  </w:style>
  <w:style w:type="character" w:customStyle="1" w:styleId="PictureChar">
    <w:name w:val="Picture Char"/>
    <w:link w:val="Picture"/>
    <w:locked/>
    <w:rsid w:val="0067583F"/>
    <w:rPr>
      <w:rFonts w:eastAsia="Times New Roman" w:cs="Times New Roman"/>
      <w:i/>
      <w:iCs/>
      <w:lang w:val="ru-RU"/>
    </w:rPr>
  </w:style>
  <w:style w:type="character" w:customStyle="1" w:styleId="af9">
    <w:name w:val="Название объекта Знак"/>
    <w:link w:val="af8"/>
    <w:locked/>
    <w:rsid w:val="0067583F"/>
    <w:rPr>
      <w:rFonts w:eastAsia="Times New Roman" w:cs="Times New Roman"/>
      <w:i/>
      <w:iCs/>
      <w:sz w:val="16"/>
      <w:lang w:val="ru-RU"/>
    </w:rPr>
  </w:style>
  <w:style w:type="paragraph" w:customStyle="1" w:styleId="DocumentLabel">
    <w:name w:val="Document Label"/>
    <w:basedOn w:val="CoverTitle"/>
    <w:rsid w:val="0067583F"/>
    <w:pPr>
      <w:tabs>
        <w:tab w:val="left" w:pos="0"/>
      </w:tabs>
      <w:ind w:left="-840" w:right="-840"/>
    </w:pPr>
    <w:rPr>
      <w:caps/>
    </w:rPr>
  </w:style>
  <w:style w:type="paragraph" w:customStyle="1" w:styleId="CoverTitle">
    <w:name w:val="Cover Title"/>
    <w:basedOn w:val="HeadingBase"/>
    <w:next w:val="CoverSubtitle"/>
    <w:rsid w:val="0067583F"/>
    <w:pPr>
      <w:pBdr>
        <w:top w:val="single" w:sz="48" w:space="31" w:color="auto"/>
      </w:pBdr>
      <w:tabs>
        <w:tab w:val="left" w:pos="2835"/>
      </w:tabs>
      <w:suppressAutoHyphens/>
      <w:spacing w:before="240" w:after="500" w:line="640" w:lineRule="exact"/>
      <w:ind w:left="11" w:hanging="11"/>
      <w:jc w:val="left"/>
    </w:pPr>
    <w:rPr>
      <w:sz w:val="64"/>
      <w:szCs w:val="64"/>
    </w:rPr>
  </w:style>
  <w:style w:type="paragraph" w:customStyle="1" w:styleId="CoverSubtitle">
    <w:name w:val="Cover Subtitle"/>
    <w:basedOn w:val="CoverTitle"/>
    <w:next w:val="CoverAuthor"/>
    <w:rsid w:val="0067583F"/>
    <w:pPr>
      <w:pBdr>
        <w:top w:val="single" w:sz="6" w:space="24" w:color="99CC00"/>
      </w:pBdr>
      <w:spacing w:before="0" w:after="0" w:line="480" w:lineRule="atLeast"/>
      <w:ind w:firstLine="0"/>
    </w:pPr>
    <w:rPr>
      <w:spacing w:val="-30"/>
      <w:sz w:val="48"/>
    </w:rPr>
  </w:style>
  <w:style w:type="paragraph" w:customStyle="1" w:styleId="CoverAuthor">
    <w:name w:val="Cover Author"/>
    <w:basedOn w:val="a1"/>
    <w:rsid w:val="0067583F"/>
    <w:pPr>
      <w:spacing w:after="0"/>
      <w:ind w:left="0"/>
      <w:jc w:val="left"/>
    </w:pPr>
    <w:rPr>
      <w:sz w:val="28"/>
    </w:rPr>
  </w:style>
  <w:style w:type="character" w:customStyle="1" w:styleId="afa">
    <w:name w:val="Текст концевой сноски Знак"/>
    <w:link w:val="afb"/>
    <w:semiHidden/>
    <w:locked/>
    <w:rsid w:val="0067583F"/>
    <w:rPr>
      <w:rFonts w:eastAsia="Times New Roman" w:cs="Times New Roman"/>
      <w:sz w:val="16"/>
      <w:lang w:val="ru-RU"/>
    </w:rPr>
  </w:style>
  <w:style w:type="paragraph" w:styleId="afb">
    <w:name w:val="endnote text"/>
    <w:basedOn w:val="FootnoteBase"/>
    <w:link w:val="afa"/>
    <w:semiHidden/>
    <w:rsid w:val="0067583F"/>
    <w:pPr>
      <w:spacing w:after="0"/>
      <w:jc w:val="left"/>
    </w:pPr>
    <w:rPr>
      <w:rFonts w:eastAsia="Times New Roman"/>
    </w:rPr>
  </w:style>
  <w:style w:type="paragraph" w:customStyle="1" w:styleId="HeaderBase">
    <w:name w:val="Header Base"/>
    <w:basedOn w:val="a1"/>
    <w:rsid w:val="0067583F"/>
    <w:pPr>
      <w:widowControl w:val="0"/>
      <w:tabs>
        <w:tab w:val="center" w:pos="4320"/>
        <w:tab w:val="right" w:pos="8640"/>
      </w:tabs>
      <w:jc w:val="right"/>
    </w:pPr>
    <w:rPr>
      <w:smallCaps/>
      <w:sz w:val="15"/>
    </w:rPr>
  </w:style>
  <w:style w:type="paragraph" w:styleId="afc">
    <w:name w:val="footnote text"/>
    <w:basedOn w:val="FootnoteBase"/>
    <w:link w:val="afd"/>
    <w:semiHidden/>
    <w:rsid w:val="0067583F"/>
    <w:rPr>
      <w:rFonts w:eastAsia="Times New Roman"/>
    </w:rPr>
  </w:style>
  <w:style w:type="character" w:customStyle="1" w:styleId="afd">
    <w:name w:val="Текст сноски Знак"/>
    <w:link w:val="afc"/>
    <w:semiHidden/>
    <w:locked/>
    <w:rsid w:val="0067583F"/>
    <w:rPr>
      <w:rFonts w:eastAsia="Times New Roman" w:cs="Times New Roman"/>
      <w:sz w:val="16"/>
      <w:lang w:val="ru-RU"/>
    </w:rPr>
  </w:style>
  <w:style w:type="paragraph" w:customStyle="1" w:styleId="IndexBase">
    <w:name w:val="Index Base"/>
    <w:basedOn w:val="a1"/>
    <w:rsid w:val="0067583F"/>
    <w:pPr>
      <w:ind w:left="360" w:hanging="360"/>
    </w:pPr>
    <w:rPr>
      <w:sz w:val="18"/>
    </w:rPr>
  </w:style>
  <w:style w:type="paragraph" w:styleId="22">
    <w:name w:val="index 2"/>
    <w:basedOn w:val="IndexBase"/>
    <w:autoRedefine/>
    <w:semiHidden/>
    <w:rsid w:val="0067583F"/>
    <w:pPr>
      <w:spacing w:line="240" w:lineRule="auto"/>
      <w:ind w:left="720"/>
    </w:pPr>
  </w:style>
  <w:style w:type="paragraph" w:customStyle="1" w:styleId="BlockDefinition">
    <w:name w:val="Block Definition"/>
    <w:basedOn w:val="a1"/>
    <w:rsid w:val="0067583F"/>
    <w:pPr>
      <w:tabs>
        <w:tab w:val="left" w:pos="3345"/>
      </w:tabs>
      <w:ind w:left="3345" w:hanging="2268"/>
    </w:pPr>
  </w:style>
  <w:style w:type="character" w:customStyle="1" w:styleId="CODE">
    <w:name w:val="CODE"/>
    <w:rsid w:val="0067583F"/>
    <w:rPr>
      <w:rFonts w:ascii="Courier New" w:hAnsi="Courier New" w:cs="Times New Roman"/>
      <w:noProof/>
    </w:rPr>
  </w:style>
  <w:style w:type="character" w:styleId="afe">
    <w:name w:val="line number"/>
    <w:rsid w:val="0067583F"/>
    <w:rPr>
      <w:rFonts w:cs="Times New Roman"/>
      <w:sz w:val="18"/>
    </w:rPr>
  </w:style>
  <w:style w:type="paragraph" w:styleId="aff">
    <w:name w:val="List"/>
    <w:basedOn w:val="a1"/>
    <w:rsid w:val="0067583F"/>
    <w:pPr>
      <w:tabs>
        <w:tab w:val="left" w:pos="3345"/>
      </w:tabs>
      <w:ind w:left="1440" w:hanging="360"/>
    </w:pPr>
  </w:style>
  <w:style w:type="paragraph" w:styleId="aff0">
    <w:name w:val="List Bullet"/>
    <w:basedOn w:val="aff"/>
    <w:autoRedefine/>
    <w:rsid w:val="0067583F"/>
  </w:style>
  <w:style w:type="paragraph" w:styleId="aff1">
    <w:name w:val="List Number"/>
    <w:basedOn w:val="aff"/>
    <w:rsid w:val="0067583F"/>
    <w:pPr>
      <w:tabs>
        <w:tab w:val="num" w:pos="1440"/>
      </w:tabs>
    </w:pPr>
  </w:style>
  <w:style w:type="character" w:customStyle="1" w:styleId="aff2">
    <w:name w:val="Текст макроса Знак"/>
    <w:link w:val="aff3"/>
    <w:semiHidden/>
    <w:locked/>
    <w:rsid w:val="0067583F"/>
    <w:rPr>
      <w:rFonts w:ascii="Courier New" w:hAnsi="Courier New" w:cs="Times New Roman"/>
      <w:lang w:val="ru-RU"/>
    </w:rPr>
  </w:style>
  <w:style w:type="paragraph" w:styleId="aff3">
    <w:name w:val="macro"/>
    <w:basedOn w:val="a1"/>
    <w:link w:val="aff2"/>
    <w:semiHidden/>
    <w:rsid w:val="0067583F"/>
    <w:pPr>
      <w:ind w:left="1080"/>
    </w:pPr>
    <w:rPr>
      <w:rFonts w:ascii="Courier New" w:hAnsi="Courier New"/>
    </w:rPr>
  </w:style>
  <w:style w:type="character" w:styleId="aff4">
    <w:name w:val="page number"/>
    <w:rsid w:val="0067583F"/>
    <w:rPr>
      <w:rFonts w:ascii="Arial" w:hAnsi="Arial" w:cs="Times New Roman"/>
      <w:b/>
      <w:color w:val="auto"/>
      <w:spacing w:val="0"/>
      <w:sz w:val="18"/>
      <w:szCs w:val="18"/>
    </w:rPr>
  </w:style>
  <w:style w:type="character" w:customStyle="1" w:styleId="Superscript">
    <w:name w:val="Superscript"/>
    <w:rsid w:val="0067583F"/>
    <w:rPr>
      <w:b/>
      <w:vertAlign w:val="superscript"/>
    </w:rPr>
  </w:style>
  <w:style w:type="paragraph" w:customStyle="1" w:styleId="TOCBase">
    <w:name w:val="TOC Base"/>
    <w:basedOn w:val="a1"/>
    <w:rsid w:val="0067583F"/>
    <w:pPr>
      <w:tabs>
        <w:tab w:val="right" w:leader="dot" w:pos="6480"/>
      </w:tabs>
      <w:ind w:left="0"/>
    </w:pPr>
  </w:style>
  <w:style w:type="paragraph" w:customStyle="1" w:styleId="BlockIcon">
    <w:name w:val="Block Icon"/>
    <w:basedOn w:val="a1"/>
    <w:rsid w:val="0067583F"/>
    <w:pPr>
      <w:framePr w:w="1440" w:h="1440" w:hRule="exact" w:wrap="auto" w:vAnchor="text" w:hAnchor="page" w:x="1201" w:y="1"/>
      <w:shd w:val="pct30" w:color="auto" w:fill="auto"/>
      <w:spacing w:before="60" w:line="1440" w:lineRule="exact"/>
      <w:ind w:left="0"/>
      <w:jc w:val="center"/>
    </w:pPr>
    <w:rPr>
      <w:rFonts w:ascii="Wingdings" w:hAnsi="Wingdings"/>
      <w:b/>
      <w:color w:val="FFFFFF"/>
      <w:spacing w:val="-10"/>
      <w:position w:val="-10"/>
      <w:sz w:val="160"/>
    </w:rPr>
  </w:style>
  <w:style w:type="paragraph" w:customStyle="1" w:styleId="FooterFirst">
    <w:name w:val="Footer First"/>
    <w:basedOn w:val="af0"/>
    <w:rsid w:val="0067583F"/>
    <w:pPr>
      <w:widowControl w:val="0"/>
      <w:pBdr>
        <w:top w:val="single" w:sz="6" w:space="4" w:color="auto"/>
      </w:pBdr>
      <w:tabs>
        <w:tab w:val="clear" w:pos="4844"/>
        <w:tab w:val="clear" w:pos="9689"/>
        <w:tab w:val="center" w:pos="4320"/>
        <w:tab w:val="right" w:pos="8640"/>
        <w:tab w:val="center" w:pos="14175"/>
      </w:tabs>
      <w:spacing w:after="240" w:line="190" w:lineRule="atLeast"/>
      <w:ind w:left="0"/>
      <w:jc w:val="left"/>
    </w:pPr>
    <w:rPr>
      <w:caps/>
      <w:spacing w:val="-14"/>
      <w:sz w:val="15"/>
      <w:szCs w:val="15"/>
    </w:rPr>
  </w:style>
  <w:style w:type="paragraph" w:customStyle="1" w:styleId="FooterEven">
    <w:name w:val="Footer Even"/>
    <w:basedOn w:val="af0"/>
    <w:rsid w:val="0067583F"/>
    <w:pPr>
      <w:widowControl w:val="0"/>
      <w:pBdr>
        <w:top w:val="single" w:sz="6" w:space="2" w:color="auto"/>
      </w:pBdr>
      <w:tabs>
        <w:tab w:val="clear" w:pos="4844"/>
        <w:tab w:val="clear" w:pos="9689"/>
        <w:tab w:val="center" w:pos="4320"/>
        <w:tab w:val="right" w:pos="8640"/>
        <w:tab w:val="center" w:pos="14175"/>
      </w:tabs>
      <w:spacing w:after="240" w:line="190" w:lineRule="atLeast"/>
      <w:ind w:left="0"/>
      <w:jc w:val="left"/>
    </w:pPr>
    <w:rPr>
      <w:caps/>
      <w:spacing w:val="-14"/>
      <w:sz w:val="15"/>
      <w:szCs w:val="15"/>
    </w:rPr>
  </w:style>
  <w:style w:type="paragraph" w:customStyle="1" w:styleId="FooterOdd">
    <w:name w:val="Footer Odd"/>
    <w:basedOn w:val="af0"/>
    <w:rsid w:val="0067583F"/>
    <w:pPr>
      <w:widowControl w:val="0"/>
      <w:pBdr>
        <w:top w:val="single" w:sz="6" w:space="2" w:color="auto"/>
      </w:pBdr>
      <w:tabs>
        <w:tab w:val="clear" w:pos="4844"/>
        <w:tab w:val="clear" w:pos="9689"/>
        <w:tab w:val="center" w:pos="4320"/>
        <w:tab w:val="right" w:pos="8640"/>
        <w:tab w:val="center" w:pos="14175"/>
      </w:tabs>
      <w:spacing w:before="600" w:after="240" w:line="190" w:lineRule="atLeast"/>
      <w:ind w:left="0"/>
      <w:jc w:val="left"/>
    </w:pPr>
    <w:rPr>
      <w:caps/>
      <w:spacing w:val="-14"/>
      <w:sz w:val="15"/>
      <w:szCs w:val="15"/>
    </w:rPr>
  </w:style>
  <w:style w:type="paragraph" w:customStyle="1" w:styleId="HeaderFirst">
    <w:name w:val="Header First"/>
    <w:basedOn w:val="ae"/>
    <w:rsid w:val="0067583F"/>
    <w:pPr>
      <w:widowControl w:val="0"/>
      <w:pBdr>
        <w:top w:val="single" w:sz="6" w:space="2" w:color="auto"/>
      </w:pBdr>
      <w:tabs>
        <w:tab w:val="clear" w:pos="4844"/>
        <w:tab w:val="clear" w:pos="9689"/>
        <w:tab w:val="center" w:pos="4320"/>
        <w:tab w:val="right" w:pos="8640"/>
      </w:tabs>
      <w:spacing w:after="240"/>
      <w:jc w:val="left"/>
    </w:pPr>
    <w:rPr>
      <w:rFonts w:ascii="PwC_Logo" w:hAnsi="PwC_Logo"/>
      <w:caps/>
      <w:sz w:val="48"/>
      <w:szCs w:val="15"/>
    </w:rPr>
  </w:style>
  <w:style w:type="paragraph" w:customStyle="1" w:styleId="HeaderEven">
    <w:name w:val="Header Even"/>
    <w:basedOn w:val="ae"/>
    <w:rsid w:val="0067583F"/>
    <w:pPr>
      <w:widowControl w:val="0"/>
      <w:pBdr>
        <w:bottom w:val="single" w:sz="6" w:space="1" w:color="auto"/>
      </w:pBdr>
      <w:tabs>
        <w:tab w:val="clear" w:pos="4844"/>
        <w:tab w:val="clear" w:pos="9689"/>
        <w:tab w:val="center" w:pos="4320"/>
        <w:tab w:val="right" w:pos="8640"/>
      </w:tabs>
      <w:spacing w:after="600"/>
      <w:jc w:val="left"/>
    </w:pPr>
    <w:rPr>
      <w:rFonts w:ascii="PwC_Logo" w:hAnsi="PwC_Logo"/>
      <w:caps/>
      <w:sz w:val="48"/>
      <w:szCs w:val="15"/>
    </w:rPr>
  </w:style>
  <w:style w:type="paragraph" w:customStyle="1" w:styleId="HeaderOdd">
    <w:name w:val="Header Odd"/>
    <w:basedOn w:val="ae"/>
    <w:rsid w:val="0067583F"/>
    <w:pPr>
      <w:widowControl w:val="0"/>
      <w:pBdr>
        <w:bottom w:val="single" w:sz="6" w:space="1" w:color="auto"/>
      </w:pBdr>
      <w:tabs>
        <w:tab w:val="clear" w:pos="4844"/>
        <w:tab w:val="clear" w:pos="9689"/>
        <w:tab w:val="center" w:pos="4320"/>
        <w:tab w:val="right" w:pos="8640"/>
      </w:tabs>
      <w:spacing w:after="600"/>
      <w:jc w:val="left"/>
    </w:pPr>
    <w:rPr>
      <w:rFonts w:ascii="PwC_Logo" w:hAnsi="PwC_Logo"/>
      <w:caps/>
      <w:sz w:val="48"/>
      <w:szCs w:val="15"/>
    </w:rPr>
  </w:style>
  <w:style w:type="paragraph" w:styleId="aff5">
    <w:name w:val="Body Text Indent"/>
    <w:basedOn w:val="a1"/>
    <w:link w:val="aff6"/>
    <w:rsid w:val="0067583F"/>
    <w:pPr>
      <w:tabs>
        <w:tab w:val="left" w:pos="3345"/>
      </w:tabs>
      <w:ind w:left="1440"/>
    </w:pPr>
    <w:rPr>
      <w:rFonts w:eastAsia="Times New Roman"/>
    </w:rPr>
  </w:style>
  <w:style w:type="character" w:customStyle="1" w:styleId="aff6">
    <w:name w:val="Основной текст с отступом Знак"/>
    <w:link w:val="aff5"/>
    <w:locked/>
    <w:rsid w:val="0067583F"/>
    <w:rPr>
      <w:rFonts w:eastAsia="Times New Roman" w:cs="Times New Roman"/>
      <w:lang w:val="ru-RU"/>
    </w:rPr>
  </w:style>
  <w:style w:type="paragraph" w:styleId="51">
    <w:name w:val="List Number 5"/>
    <w:basedOn w:val="aff1"/>
    <w:rsid w:val="0067583F"/>
    <w:pPr>
      <w:ind w:left="3240"/>
    </w:pPr>
  </w:style>
  <w:style w:type="paragraph" w:styleId="41">
    <w:name w:val="List Number 4"/>
    <w:basedOn w:val="aff1"/>
    <w:rsid w:val="0067583F"/>
    <w:pPr>
      <w:ind w:left="2880"/>
    </w:pPr>
  </w:style>
  <w:style w:type="paragraph" w:styleId="31">
    <w:name w:val="List Number 3"/>
    <w:basedOn w:val="aff1"/>
    <w:rsid w:val="0067583F"/>
    <w:pPr>
      <w:ind w:left="2520"/>
    </w:pPr>
  </w:style>
  <w:style w:type="paragraph" w:styleId="52">
    <w:name w:val="List Bullet 5"/>
    <w:basedOn w:val="aff0"/>
    <w:autoRedefine/>
    <w:rsid w:val="0067583F"/>
    <w:pPr>
      <w:ind w:left="3240"/>
    </w:pPr>
  </w:style>
  <w:style w:type="paragraph" w:styleId="42">
    <w:name w:val="List Bullet 4"/>
    <w:basedOn w:val="aff0"/>
    <w:autoRedefine/>
    <w:rsid w:val="0067583F"/>
    <w:pPr>
      <w:ind w:left="2880"/>
    </w:pPr>
  </w:style>
  <w:style w:type="paragraph" w:styleId="32">
    <w:name w:val="List Bullet 3"/>
    <w:basedOn w:val="aff0"/>
    <w:autoRedefine/>
    <w:rsid w:val="0067583F"/>
    <w:pPr>
      <w:ind w:left="2520"/>
    </w:pPr>
  </w:style>
  <w:style w:type="paragraph" w:styleId="23">
    <w:name w:val="List Bullet 2"/>
    <w:basedOn w:val="aff0"/>
    <w:autoRedefine/>
    <w:rsid w:val="0067583F"/>
    <w:pPr>
      <w:ind w:left="2160"/>
    </w:pPr>
  </w:style>
  <w:style w:type="paragraph" w:styleId="53">
    <w:name w:val="List 5"/>
    <w:basedOn w:val="aff"/>
    <w:rsid w:val="0067583F"/>
    <w:pPr>
      <w:ind w:left="2880"/>
    </w:pPr>
  </w:style>
  <w:style w:type="paragraph" w:styleId="43">
    <w:name w:val="List 4"/>
    <w:basedOn w:val="aff"/>
    <w:rsid w:val="0067583F"/>
    <w:pPr>
      <w:ind w:left="2520"/>
    </w:pPr>
  </w:style>
  <w:style w:type="paragraph" w:styleId="33">
    <w:name w:val="List 3"/>
    <w:basedOn w:val="aff"/>
    <w:rsid w:val="0067583F"/>
    <w:pPr>
      <w:ind w:left="2160"/>
    </w:pPr>
  </w:style>
  <w:style w:type="paragraph" w:styleId="24">
    <w:name w:val="List 2"/>
    <w:basedOn w:val="aff"/>
    <w:rsid w:val="0067583F"/>
    <w:pPr>
      <w:ind w:left="1800"/>
    </w:pPr>
  </w:style>
  <w:style w:type="character" w:styleId="aff7">
    <w:name w:val="Emphasis"/>
    <w:qFormat/>
    <w:rsid w:val="0067583F"/>
    <w:rPr>
      <w:rFonts w:cs="Times New Roman"/>
      <w:i/>
      <w:spacing w:val="0"/>
    </w:rPr>
  </w:style>
  <w:style w:type="paragraph" w:styleId="25">
    <w:name w:val="List Number 2"/>
    <w:basedOn w:val="aff"/>
    <w:rsid w:val="0067583F"/>
    <w:pPr>
      <w:ind w:left="2197" w:hanging="397"/>
    </w:pPr>
  </w:style>
  <w:style w:type="paragraph" w:styleId="aff8">
    <w:name w:val="List Continue"/>
    <w:basedOn w:val="aff"/>
    <w:rsid w:val="0067583F"/>
    <w:pPr>
      <w:ind w:firstLine="0"/>
    </w:pPr>
  </w:style>
  <w:style w:type="paragraph" w:styleId="26">
    <w:name w:val="List Continue 2"/>
    <w:basedOn w:val="aff8"/>
    <w:rsid w:val="0067583F"/>
    <w:pPr>
      <w:ind w:left="2160"/>
    </w:pPr>
  </w:style>
  <w:style w:type="paragraph" w:styleId="34">
    <w:name w:val="List Continue 3"/>
    <w:basedOn w:val="aff8"/>
    <w:rsid w:val="0067583F"/>
    <w:pPr>
      <w:ind w:left="2520"/>
    </w:pPr>
  </w:style>
  <w:style w:type="paragraph" w:styleId="44">
    <w:name w:val="List Continue 4"/>
    <w:basedOn w:val="aff8"/>
    <w:rsid w:val="0067583F"/>
    <w:pPr>
      <w:ind w:left="2880"/>
    </w:pPr>
  </w:style>
  <w:style w:type="paragraph" w:styleId="54">
    <w:name w:val="List Continue 5"/>
    <w:basedOn w:val="aff8"/>
    <w:rsid w:val="0067583F"/>
    <w:pPr>
      <w:ind w:left="3240"/>
    </w:pPr>
  </w:style>
  <w:style w:type="paragraph" w:styleId="aff9">
    <w:name w:val="Normal Indent"/>
    <w:basedOn w:val="a1"/>
    <w:rsid w:val="0067583F"/>
    <w:pPr>
      <w:ind w:left="1440"/>
    </w:pPr>
  </w:style>
  <w:style w:type="paragraph" w:customStyle="1" w:styleId="TitleAddress">
    <w:name w:val="Title Address"/>
    <w:basedOn w:val="a1"/>
    <w:rsid w:val="0067583F"/>
    <w:pPr>
      <w:keepLines/>
      <w:framePr w:w="5160" w:h="840" w:wrap="notBeside" w:vAnchor="page" w:hAnchor="page" w:x="6121" w:y="915" w:anchorLock="1"/>
      <w:tabs>
        <w:tab w:val="left" w:pos="2160"/>
      </w:tabs>
      <w:spacing w:line="160" w:lineRule="atLeast"/>
      <w:ind w:left="0"/>
    </w:pPr>
    <w:rPr>
      <w:sz w:val="14"/>
    </w:rPr>
  </w:style>
  <w:style w:type="character" w:customStyle="1" w:styleId="Slogan">
    <w:name w:val="Slogan"/>
    <w:rsid w:val="0067583F"/>
    <w:rPr>
      <w:rFonts w:cs="Times New Roman"/>
      <w:i/>
      <w:spacing w:val="-6"/>
      <w:sz w:val="24"/>
    </w:rPr>
  </w:style>
  <w:style w:type="paragraph" w:customStyle="1" w:styleId="TitleCover">
    <w:name w:val="Title Cover"/>
    <w:basedOn w:val="HeadingBase"/>
    <w:next w:val="SubtitleCover"/>
    <w:rsid w:val="0067583F"/>
    <w:pPr>
      <w:keepLines w:val="0"/>
      <w:pBdr>
        <w:bottom w:val="single" w:sz="18" w:space="20" w:color="auto"/>
      </w:pBdr>
      <w:spacing w:before="480" w:line="560" w:lineRule="exact"/>
      <w:ind w:left="0"/>
      <w:jc w:val="center"/>
    </w:pPr>
    <w:rPr>
      <w:rFonts w:ascii="Arial Narrow" w:hAnsi="Arial Narrow"/>
      <w:spacing w:val="0"/>
      <w:kern w:val="0"/>
      <w:sz w:val="56"/>
    </w:rPr>
  </w:style>
  <w:style w:type="paragraph" w:customStyle="1" w:styleId="SubtitleCover">
    <w:name w:val="Subtitle Cover"/>
    <w:basedOn w:val="TitleCover"/>
    <w:next w:val="a1"/>
    <w:rsid w:val="0067583F"/>
    <w:pPr>
      <w:pBdr>
        <w:bottom w:val="none" w:sz="0" w:space="0" w:color="auto"/>
      </w:pBdr>
      <w:spacing w:before="120" w:after="480" w:line="480" w:lineRule="exact"/>
    </w:pPr>
    <w:rPr>
      <w:i/>
      <w:sz w:val="36"/>
    </w:rPr>
  </w:style>
  <w:style w:type="paragraph" w:customStyle="1" w:styleId="ChapterLabel">
    <w:name w:val="Chapter Label"/>
    <w:basedOn w:val="a1"/>
    <w:next w:val="ChapterNumber"/>
    <w:rsid w:val="0067583F"/>
    <w:pPr>
      <w:pageBreakBefore/>
      <w:framePr w:h="1247" w:hRule="exact" w:hSpace="181" w:vSpace="181" w:wrap="notBeside" w:vAnchor="page" w:hAnchor="page" w:x="1861" w:y="1203"/>
      <w:pBdr>
        <w:top w:val="single" w:sz="6" w:space="1" w:color="auto"/>
        <w:left w:val="single" w:sz="6" w:space="1" w:color="auto"/>
      </w:pBdr>
      <w:shd w:val="solid" w:color="auto" w:fill="auto"/>
      <w:spacing w:after="120" w:line="360" w:lineRule="exact"/>
      <w:ind w:left="0" w:right="7655"/>
      <w:jc w:val="center"/>
    </w:pPr>
    <w:rPr>
      <w:color w:val="FFFFFF"/>
      <w:sz w:val="26"/>
    </w:rPr>
  </w:style>
  <w:style w:type="paragraph" w:customStyle="1" w:styleId="ChapterNumber">
    <w:name w:val="Chapter Number"/>
    <w:basedOn w:val="a1"/>
    <w:next w:val="10"/>
    <w:rsid w:val="0067583F"/>
    <w:pPr>
      <w:framePr w:h="1247" w:hRule="exact" w:hSpace="181" w:vSpace="181" w:wrap="notBeside" w:vAnchor="page" w:hAnchor="page" w:x="1861" w:y="1203"/>
      <w:pBdr>
        <w:top w:val="single" w:sz="6" w:space="1" w:color="auto"/>
        <w:left w:val="single" w:sz="6" w:space="1" w:color="auto"/>
      </w:pBdr>
      <w:shd w:val="solid" w:color="auto" w:fill="auto"/>
      <w:spacing w:line="660" w:lineRule="exact"/>
      <w:ind w:left="0" w:right="7655"/>
      <w:jc w:val="center"/>
    </w:pPr>
    <w:rPr>
      <w:b/>
      <w:color w:val="FFFFFF"/>
      <w:position w:val="-8"/>
      <w:sz w:val="84"/>
    </w:rPr>
  </w:style>
  <w:style w:type="paragraph" w:customStyle="1" w:styleId="ListLast">
    <w:name w:val="List Last"/>
    <w:basedOn w:val="aff"/>
    <w:next w:val="a1"/>
    <w:rsid w:val="0067583F"/>
    <w:pPr>
      <w:tabs>
        <w:tab w:val="left" w:pos="720"/>
      </w:tabs>
      <w:spacing w:line="240" w:lineRule="auto"/>
      <w:ind w:left="720"/>
    </w:pPr>
  </w:style>
  <w:style w:type="character" w:customStyle="1" w:styleId="DFN">
    <w:name w:val="DFN"/>
    <w:rsid w:val="0067583F"/>
    <w:rPr>
      <w:rFonts w:cs="Times New Roman"/>
      <w:b/>
    </w:rPr>
  </w:style>
  <w:style w:type="paragraph" w:customStyle="1" w:styleId="ListBulletFirst">
    <w:name w:val="List Bullet First"/>
    <w:basedOn w:val="aff0"/>
    <w:next w:val="aff0"/>
    <w:rsid w:val="0067583F"/>
  </w:style>
  <w:style w:type="paragraph" w:customStyle="1" w:styleId="ListBulletLast">
    <w:name w:val="List Bullet Last"/>
    <w:basedOn w:val="aff0"/>
    <w:next w:val="a1"/>
    <w:rsid w:val="0067583F"/>
  </w:style>
  <w:style w:type="paragraph" w:customStyle="1" w:styleId="ListNumberFirst">
    <w:name w:val="List Number First"/>
    <w:basedOn w:val="aff1"/>
    <w:next w:val="aff1"/>
    <w:rsid w:val="0067583F"/>
  </w:style>
  <w:style w:type="paragraph" w:customStyle="1" w:styleId="ListNumberLast">
    <w:name w:val="List Number Last"/>
    <w:basedOn w:val="aff1"/>
    <w:next w:val="a1"/>
    <w:rsid w:val="0067583F"/>
  </w:style>
  <w:style w:type="paragraph" w:customStyle="1" w:styleId="affa">
    <w:name w:val="СписокСвойств"/>
    <w:basedOn w:val="a1"/>
    <w:rsid w:val="0067583F"/>
    <w:pPr>
      <w:shd w:val="pct12" w:color="auto" w:fill="auto"/>
      <w:tabs>
        <w:tab w:val="left" w:pos="3402"/>
      </w:tabs>
      <w:suppressAutoHyphens/>
      <w:spacing w:after="0" w:line="240" w:lineRule="auto"/>
      <w:ind w:right="567"/>
      <w:jc w:val="left"/>
    </w:pPr>
    <w:rPr>
      <w:rFonts w:ascii="Courier New" w:hAnsi="Courier New"/>
    </w:rPr>
  </w:style>
  <w:style w:type="paragraph" w:customStyle="1" w:styleId="BlockQuotationFirst">
    <w:name w:val="Block Quotation First"/>
    <w:basedOn w:val="BlockQuotation"/>
    <w:next w:val="BlockQuotation"/>
    <w:rsid w:val="0067583F"/>
    <w:pPr>
      <w:keepNext/>
      <w:pBdr>
        <w:top w:val="none" w:sz="0" w:space="0" w:color="auto"/>
        <w:left w:val="none" w:sz="0" w:space="0" w:color="auto"/>
        <w:bottom w:val="none" w:sz="0" w:space="0" w:color="auto"/>
        <w:right w:val="none" w:sz="0" w:space="0" w:color="auto"/>
      </w:pBdr>
      <w:shd w:val="pct20" w:color="auto" w:fill="auto"/>
    </w:pPr>
    <w:rPr>
      <w:b/>
    </w:rPr>
  </w:style>
  <w:style w:type="paragraph" w:customStyle="1" w:styleId="SectionHeading">
    <w:name w:val="Section Heading"/>
    <w:basedOn w:val="10"/>
    <w:rsid w:val="0067583F"/>
    <w:pPr>
      <w:spacing w:before="0" w:after="240" w:line="240" w:lineRule="atLeast"/>
      <w:outlineLvl w:val="9"/>
    </w:pPr>
    <w:rPr>
      <w:kern w:val="20"/>
    </w:rPr>
  </w:style>
  <w:style w:type="paragraph" w:customStyle="1" w:styleId="BlockQuotationLast">
    <w:name w:val="Block Quotation Last"/>
    <w:basedOn w:val="BlockQuotation"/>
    <w:next w:val="a1"/>
    <w:rsid w:val="0067583F"/>
    <w:pPr>
      <w:pBdr>
        <w:top w:val="none" w:sz="0" w:space="0" w:color="auto"/>
        <w:left w:val="none" w:sz="0" w:space="0" w:color="auto"/>
        <w:bottom w:val="none" w:sz="0" w:space="0" w:color="auto"/>
        <w:right w:val="none" w:sz="0" w:space="0" w:color="auto"/>
      </w:pBdr>
    </w:pPr>
  </w:style>
  <w:style w:type="paragraph" w:customStyle="1" w:styleId="ListFirst">
    <w:name w:val="List First"/>
    <w:basedOn w:val="aff"/>
    <w:next w:val="aff"/>
    <w:rsid w:val="0067583F"/>
    <w:pPr>
      <w:tabs>
        <w:tab w:val="left" w:pos="720"/>
      </w:tabs>
      <w:spacing w:before="80" w:after="80" w:line="240" w:lineRule="auto"/>
      <w:ind w:left="720"/>
    </w:pPr>
  </w:style>
  <w:style w:type="paragraph" w:styleId="affb">
    <w:name w:val="Date"/>
    <w:basedOn w:val="a1"/>
    <w:link w:val="affc"/>
    <w:rsid w:val="0067583F"/>
    <w:pPr>
      <w:spacing w:after="0"/>
      <w:ind w:left="0"/>
      <w:jc w:val="left"/>
    </w:pPr>
    <w:rPr>
      <w:rFonts w:eastAsia="Times New Roman"/>
      <w:sz w:val="28"/>
    </w:rPr>
  </w:style>
  <w:style w:type="character" w:customStyle="1" w:styleId="affc">
    <w:name w:val="Дата Знак"/>
    <w:link w:val="affb"/>
    <w:locked/>
    <w:rsid w:val="0067583F"/>
    <w:rPr>
      <w:rFonts w:eastAsia="Times New Roman" w:cs="Times New Roman"/>
      <w:sz w:val="28"/>
      <w:lang w:val="ru-RU"/>
    </w:rPr>
  </w:style>
  <w:style w:type="paragraph" w:customStyle="1" w:styleId="BlockMarginComment">
    <w:name w:val="Block Margin Comment"/>
    <w:basedOn w:val="a1"/>
    <w:rsid w:val="0067583F"/>
    <w:pPr>
      <w:keepNext/>
      <w:framePr w:w="1134" w:hSpace="181" w:vSpace="181" w:wrap="auto" w:vAnchor="text" w:hAnchor="margin" w:xAlign="right" w:y="1"/>
      <w:widowControl w:val="0"/>
      <w:pBdr>
        <w:left w:val="double" w:sz="12" w:space="1" w:color="auto"/>
      </w:pBdr>
      <w:spacing w:line="240" w:lineRule="auto"/>
      <w:ind w:left="0"/>
      <w:jc w:val="left"/>
    </w:pPr>
    <w:rPr>
      <w:rFonts w:ascii="Times New Roman" w:hAnsi="Times New Roman"/>
    </w:rPr>
  </w:style>
  <w:style w:type="paragraph" w:customStyle="1" w:styleId="CoverAddress">
    <w:name w:val="Cover Address"/>
    <w:basedOn w:val="a1"/>
    <w:rsid w:val="0067583F"/>
    <w:pPr>
      <w:spacing w:after="0"/>
      <w:ind w:left="0"/>
      <w:jc w:val="left"/>
    </w:pPr>
  </w:style>
  <w:style w:type="paragraph" w:customStyle="1" w:styleId="comments">
    <w:name w:val="comments"/>
    <w:basedOn w:val="a1"/>
    <w:next w:val="a1"/>
    <w:rsid w:val="0067583F"/>
    <w:pPr>
      <w:ind w:left="720" w:hanging="720"/>
    </w:pPr>
    <w:rPr>
      <w:rFonts w:ascii="HelvCondenced" w:hAnsi="HelvCondenced"/>
      <w:color w:val="0000FF"/>
    </w:rPr>
  </w:style>
  <w:style w:type="paragraph" w:customStyle="1" w:styleId="CoverCompany">
    <w:name w:val="Cover Company"/>
    <w:basedOn w:val="CoverAddress"/>
    <w:rsid w:val="0067583F"/>
    <w:pPr>
      <w:spacing w:after="120" w:line="360" w:lineRule="exact"/>
      <w:jc w:val="right"/>
    </w:pPr>
    <w:rPr>
      <w:b/>
      <w:sz w:val="36"/>
    </w:rPr>
  </w:style>
  <w:style w:type="paragraph" w:customStyle="1" w:styleId="CoverComment">
    <w:name w:val="Cover Comment"/>
    <w:basedOn w:val="HeadingBase"/>
    <w:next w:val="a1"/>
    <w:rsid w:val="0067583F"/>
    <w:pPr>
      <w:keepLines w:val="0"/>
      <w:pBdr>
        <w:bottom w:val="single" w:sz="18" w:space="20" w:color="auto"/>
      </w:pBdr>
      <w:spacing w:before="480" w:line="560" w:lineRule="exact"/>
      <w:ind w:left="0"/>
    </w:pPr>
    <w:rPr>
      <w:rFonts w:ascii="Arial Narrow" w:hAnsi="Arial Narrow"/>
      <w:spacing w:val="0"/>
      <w:kern w:val="0"/>
      <w:sz w:val="56"/>
    </w:rPr>
  </w:style>
  <w:style w:type="paragraph" w:customStyle="1" w:styleId="CoverMessage">
    <w:name w:val="Cover Message"/>
    <w:basedOn w:val="a1"/>
    <w:next w:val="a1"/>
    <w:rsid w:val="0067583F"/>
    <w:pPr>
      <w:spacing w:after="0"/>
      <w:ind w:left="0"/>
      <w:jc w:val="left"/>
    </w:pPr>
    <w:rPr>
      <w:sz w:val="28"/>
    </w:rPr>
  </w:style>
  <w:style w:type="paragraph" w:styleId="affd">
    <w:name w:val="TOC Heading"/>
    <w:basedOn w:val="10"/>
    <w:uiPriority w:val="39"/>
    <w:qFormat/>
    <w:rsid w:val="0067583F"/>
    <w:pPr>
      <w:outlineLvl w:val="9"/>
    </w:pPr>
  </w:style>
  <w:style w:type="character" w:customStyle="1" w:styleId="17">
    <w:name w:val="Строгий1"/>
    <w:rsid w:val="0067583F"/>
    <w:rPr>
      <w:rFonts w:cs="Times New Roman"/>
      <w:b/>
      <w:i/>
    </w:rPr>
  </w:style>
  <w:style w:type="paragraph" w:customStyle="1" w:styleId="affe">
    <w:name w:val="СписокСвойствПервый"/>
    <w:basedOn w:val="affa"/>
    <w:next w:val="affa"/>
    <w:rsid w:val="0067583F"/>
    <w:pPr>
      <w:spacing w:before="240"/>
    </w:pPr>
  </w:style>
  <w:style w:type="paragraph" w:customStyle="1" w:styleId="afff">
    <w:name w:val="СписокСвойствПоследний"/>
    <w:basedOn w:val="affa"/>
    <w:next w:val="a1"/>
    <w:rsid w:val="0067583F"/>
    <w:pPr>
      <w:spacing w:after="240"/>
    </w:pPr>
  </w:style>
  <w:style w:type="paragraph" w:customStyle="1" w:styleId="ReportAnnotation">
    <w:name w:val="ReportAnnotation"/>
    <w:basedOn w:val="af7"/>
    <w:next w:val="af7"/>
    <w:rsid w:val="0067583F"/>
    <w:pPr>
      <w:ind w:left="1077"/>
    </w:pPr>
    <w:rPr>
      <w:sz w:val="16"/>
    </w:rPr>
  </w:style>
  <w:style w:type="paragraph" w:customStyle="1" w:styleId="ReportAnnotationHDR">
    <w:name w:val="ReportAnnotationHDR"/>
    <w:basedOn w:val="ReportAnnotation"/>
    <w:next w:val="ReportAnnotation"/>
    <w:rsid w:val="0067583F"/>
    <w:pPr>
      <w:spacing w:before="60" w:after="60"/>
    </w:pPr>
    <w:rPr>
      <w:b/>
    </w:rPr>
  </w:style>
  <w:style w:type="character" w:customStyle="1" w:styleId="FileName">
    <w:name w:val="FileName"/>
    <w:rsid w:val="0067583F"/>
    <w:rPr>
      <w:smallCaps/>
      <w:noProof/>
    </w:rPr>
  </w:style>
  <w:style w:type="paragraph" w:customStyle="1" w:styleId="TableNormal">
    <w:name w:val="TableNormal"/>
    <w:basedOn w:val="af7"/>
    <w:rsid w:val="0067583F"/>
    <w:pPr>
      <w:keepLines/>
      <w:spacing w:before="120"/>
    </w:pPr>
  </w:style>
  <w:style w:type="paragraph" w:customStyle="1" w:styleId="TableTitle">
    <w:name w:val="TableTitle"/>
    <w:basedOn w:val="af7"/>
    <w:rsid w:val="0067583F"/>
    <w:pPr>
      <w:keepNext/>
      <w:keepLines/>
      <w:framePr w:wrap="around" w:vAnchor="text" w:hAnchor="text" w:y="1"/>
      <w:shd w:val="clear" w:color="auto" w:fill="CFE06E"/>
      <w:ind w:left="-113" w:right="-113"/>
      <w:jc w:val="center"/>
    </w:pPr>
    <w:rPr>
      <w:b/>
      <w:color w:val="8D9C00"/>
    </w:rPr>
  </w:style>
  <w:style w:type="paragraph" w:customStyle="1" w:styleId="Status">
    <w:name w:val="Status"/>
    <w:basedOn w:val="a1"/>
    <w:link w:val="StatusChar"/>
    <w:rsid w:val="0067583F"/>
    <w:pPr>
      <w:shd w:val="pct20" w:color="auto" w:fill="auto"/>
      <w:ind w:left="0" w:firstLine="454"/>
    </w:pPr>
    <w:rPr>
      <w:rFonts w:eastAsia="Times New Roman"/>
      <w:sz w:val="24"/>
    </w:rPr>
  </w:style>
  <w:style w:type="character" w:customStyle="1" w:styleId="StatusChar">
    <w:name w:val="Status Char"/>
    <w:link w:val="Status"/>
    <w:locked/>
    <w:rsid w:val="0067583F"/>
    <w:rPr>
      <w:rFonts w:eastAsia="Times New Roman" w:cs="Times New Roman"/>
      <w:sz w:val="24"/>
      <w:shd w:val="pct20" w:color="auto" w:fill="auto"/>
      <w:lang w:val="ru-RU"/>
    </w:rPr>
  </w:style>
  <w:style w:type="character" w:styleId="afff0">
    <w:name w:val="Hyperlink"/>
    <w:uiPriority w:val="99"/>
    <w:rsid w:val="0067583F"/>
    <w:rPr>
      <w:rFonts w:ascii="Arial" w:hAnsi="Arial" w:cs="Times New Roman"/>
      <w:color w:val="0000FF"/>
      <w:u w:val="single"/>
    </w:rPr>
  </w:style>
  <w:style w:type="paragraph" w:customStyle="1" w:styleId="StyleCoverSubtitle20pt">
    <w:name w:val="Style Cover Subtitle + 20 pt"/>
    <w:basedOn w:val="CoverSubtitle"/>
    <w:rsid w:val="0067583F"/>
    <w:pPr>
      <w:pBdr>
        <w:top w:val="single" w:sz="6" w:space="24" w:color="auto"/>
      </w:pBdr>
    </w:pPr>
    <w:rPr>
      <w:bCs/>
      <w:sz w:val="40"/>
    </w:rPr>
  </w:style>
  <w:style w:type="paragraph" w:customStyle="1" w:styleId="Bullet1">
    <w:name w:val="Bullet 1"/>
    <w:basedOn w:val="a1"/>
    <w:rsid w:val="0067583F"/>
    <w:pPr>
      <w:tabs>
        <w:tab w:val="num" w:pos="360"/>
      </w:tabs>
      <w:autoSpaceDE w:val="0"/>
      <w:autoSpaceDN w:val="0"/>
      <w:spacing w:after="120" w:line="240" w:lineRule="auto"/>
      <w:ind w:left="0"/>
      <w:jc w:val="left"/>
    </w:pPr>
    <w:rPr>
      <w:rFonts w:ascii="Times New Roman" w:hAnsi="Times New Roman"/>
      <w:sz w:val="24"/>
      <w:szCs w:val="24"/>
      <w:lang w:val="en-AU"/>
    </w:rPr>
  </w:style>
  <w:style w:type="paragraph" w:customStyle="1" w:styleId="Bullet2">
    <w:name w:val="Bullet 2"/>
    <w:basedOn w:val="a1"/>
    <w:rsid w:val="0067583F"/>
    <w:pPr>
      <w:tabs>
        <w:tab w:val="num" w:pos="360"/>
      </w:tabs>
      <w:autoSpaceDE w:val="0"/>
      <w:autoSpaceDN w:val="0"/>
      <w:spacing w:after="120" w:line="240" w:lineRule="auto"/>
      <w:ind w:left="1077" w:hanging="357"/>
      <w:jc w:val="left"/>
    </w:pPr>
    <w:rPr>
      <w:rFonts w:ascii="Times New Roman" w:hAnsi="Times New Roman"/>
      <w:sz w:val="24"/>
      <w:szCs w:val="24"/>
      <w:lang w:val="en-AU"/>
    </w:rPr>
  </w:style>
  <w:style w:type="paragraph" w:customStyle="1" w:styleId="Bullet3">
    <w:name w:val="Bullet 3"/>
    <w:basedOn w:val="a1"/>
    <w:rsid w:val="0067583F"/>
    <w:pPr>
      <w:tabs>
        <w:tab w:val="num" w:pos="360"/>
      </w:tabs>
      <w:autoSpaceDE w:val="0"/>
      <w:autoSpaceDN w:val="0"/>
      <w:spacing w:after="120" w:line="240" w:lineRule="auto"/>
      <w:ind w:left="0"/>
      <w:jc w:val="left"/>
    </w:pPr>
    <w:rPr>
      <w:rFonts w:ascii="Times New Roman" w:hAnsi="Times New Roman"/>
      <w:sz w:val="24"/>
      <w:szCs w:val="24"/>
      <w:lang w:val="en-AU"/>
    </w:rPr>
  </w:style>
  <w:style w:type="paragraph" w:customStyle="1" w:styleId="Bullet4">
    <w:name w:val="Bullet 4"/>
    <w:basedOn w:val="a1"/>
    <w:rsid w:val="0067583F"/>
    <w:pPr>
      <w:tabs>
        <w:tab w:val="num" w:pos="2880"/>
      </w:tabs>
      <w:autoSpaceDE w:val="0"/>
      <w:autoSpaceDN w:val="0"/>
      <w:spacing w:after="120" w:line="240" w:lineRule="auto"/>
      <w:ind w:left="2880" w:hanging="720"/>
      <w:jc w:val="left"/>
    </w:pPr>
    <w:rPr>
      <w:rFonts w:ascii="Times New Roman" w:hAnsi="Times New Roman"/>
      <w:sz w:val="24"/>
      <w:szCs w:val="24"/>
      <w:lang w:val="en-AU"/>
    </w:rPr>
  </w:style>
  <w:style w:type="paragraph" w:customStyle="1" w:styleId="head1">
    <w:name w:val="head1"/>
    <w:basedOn w:val="a1"/>
    <w:next w:val="a1"/>
    <w:rsid w:val="0067583F"/>
    <w:pPr>
      <w:keepNext/>
      <w:spacing w:after="120" w:line="240" w:lineRule="auto"/>
      <w:ind w:left="0"/>
      <w:jc w:val="left"/>
    </w:pPr>
    <w:rPr>
      <w:rFonts w:ascii="Times New Roman" w:hAnsi="Times New Roman"/>
      <w:b/>
      <w:bCs/>
      <w:i/>
      <w:iCs/>
      <w:sz w:val="24"/>
      <w:szCs w:val="24"/>
    </w:rPr>
  </w:style>
  <w:style w:type="paragraph" w:styleId="afff1">
    <w:name w:val="Body Text"/>
    <w:aliases w:val="b"/>
    <w:basedOn w:val="a1"/>
    <w:link w:val="afff2"/>
    <w:rsid w:val="0067583F"/>
    <w:pPr>
      <w:spacing w:after="120"/>
      <w:ind w:left="0"/>
    </w:pPr>
    <w:rPr>
      <w:rFonts w:eastAsia="Times New Roman"/>
    </w:rPr>
  </w:style>
  <w:style w:type="character" w:customStyle="1" w:styleId="afff2">
    <w:name w:val="Основной текст Знак"/>
    <w:aliases w:val="b Знак"/>
    <w:link w:val="afff1"/>
    <w:locked/>
    <w:rsid w:val="0067583F"/>
    <w:rPr>
      <w:rFonts w:eastAsia="Times New Roman" w:cs="Times New Roman"/>
      <w:lang w:val="ru-RU"/>
    </w:rPr>
  </w:style>
  <w:style w:type="character" w:customStyle="1" w:styleId="BodyTextChar">
    <w:name w:val="Body Text Char"/>
    <w:locked/>
    <w:rsid w:val="0067583F"/>
    <w:rPr>
      <w:rFonts w:eastAsia="Times New Roman" w:cs="Times New Roman"/>
      <w:lang w:val="ru-RU"/>
    </w:rPr>
  </w:style>
  <w:style w:type="paragraph" w:styleId="35">
    <w:name w:val="Body Text 3"/>
    <w:basedOn w:val="a1"/>
    <w:link w:val="36"/>
    <w:rsid w:val="0067583F"/>
    <w:pPr>
      <w:spacing w:after="120"/>
    </w:pPr>
    <w:rPr>
      <w:rFonts w:eastAsia="Times New Roman"/>
      <w:sz w:val="16"/>
      <w:szCs w:val="16"/>
    </w:rPr>
  </w:style>
  <w:style w:type="character" w:customStyle="1" w:styleId="36">
    <w:name w:val="Основной текст 3 Знак"/>
    <w:link w:val="35"/>
    <w:locked/>
    <w:rsid w:val="0067583F"/>
    <w:rPr>
      <w:rFonts w:eastAsia="Times New Roman" w:cs="Times New Roman"/>
      <w:sz w:val="16"/>
      <w:szCs w:val="16"/>
      <w:lang w:val="ru-RU"/>
    </w:rPr>
  </w:style>
  <w:style w:type="paragraph" w:customStyle="1" w:styleId="afff3">
    <w:name w:val="Знак Знак Знак Знак Знак"/>
    <w:basedOn w:val="a1"/>
    <w:rsid w:val="0067583F"/>
    <w:pPr>
      <w:spacing w:after="160" w:line="240" w:lineRule="auto"/>
      <w:ind w:left="0"/>
      <w:jc w:val="left"/>
    </w:pPr>
    <w:rPr>
      <w:b/>
      <w:color w:val="FFFFFF"/>
      <w:sz w:val="32"/>
      <w:lang w:val="en-US"/>
    </w:rPr>
  </w:style>
  <w:style w:type="paragraph" w:customStyle="1" w:styleId="Simple">
    <w:name w:val="Simple"/>
    <w:basedOn w:val="a1"/>
    <w:rsid w:val="0067583F"/>
    <w:pPr>
      <w:spacing w:after="0" w:line="240" w:lineRule="auto"/>
      <w:ind w:left="0"/>
    </w:pPr>
    <w:rPr>
      <w:spacing w:val="-5"/>
    </w:rPr>
  </w:style>
  <w:style w:type="paragraph" w:customStyle="1" w:styleId="StyleHeading22H2TopSinglesolidlineAuto075ptLine">
    <w:name w:val="Style Heading 22H2 + Top: (Single solid line Auto  0.75 pt Line..."/>
    <w:basedOn w:val="2"/>
    <w:rsid w:val="0067583F"/>
    <w:pPr>
      <w:pBdr>
        <w:top w:val="single" w:sz="6" w:space="15" w:color="auto"/>
      </w:pBdr>
      <w:ind w:firstLine="720"/>
    </w:pPr>
    <w:rPr>
      <w:bCs/>
      <w:spacing w:val="-20"/>
      <w:sz w:val="32"/>
      <w:szCs w:val="20"/>
    </w:rPr>
  </w:style>
  <w:style w:type="paragraph" w:customStyle="1" w:styleId="CoverAuthorForm">
    <w:name w:val="Cover Author Form"/>
    <w:basedOn w:val="CoverAuthor"/>
    <w:next w:val="a1"/>
    <w:autoRedefine/>
    <w:rsid w:val="0067583F"/>
    <w:pPr>
      <w:ind w:left="2127" w:hanging="2127"/>
    </w:pPr>
    <w:rPr>
      <w:spacing w:val="-5"/>
    </w:rPr>
  </w:style>
  <w:style w:type="paragraph" w:customStyle="1" w:styleId="StatusForm">
    <w:name w:val="Status Form"/>
    <w:basedOn w:val="a1"/>
    <w:autoRedefine/>
    <w:rsid w:val="0067583F"/>
    <w:pPr>
      <w:shd w:val="pct20" w:color="auto" w:fill="auto"/>
      <w:ind w:left="0" w:firstLine="454"/>
    </w:pPr>
    <w:rPr>
      <w:spacing w:val="-5"/>
      <w:sz w:val="24"/>
    </w:rPr>
  </w:style>
  <w:style w:type="paragraph" w:customStyle="1" w:styleId="DateForm">
    <w:name w:val="Date Form"/>
    <w:basedOn w:val="a1"/>
    <w:next w:val="a1"/>
    <w:autoRedefine/>
    <w:rsid w:val="0067583F"/>
    <w:pPr>
      <w:shd w:val="pct20" w:color="auto" w:fill="auto"/>
      <w:ind w:left="0" w:firstLine="454"/>
      <w:jc w:val="left"/>
    </w:pPr>
    <w:rPr>
      <w:spacing w:val="-5"/>
      <w:sz w:val="24"/>
    </w:rPr>
  </w:style>
  <w:style w:type="paragraph" w:customStyle="1" w:styleId="Level2Indent">
    <w:name w:val="Level 2 Indent"/>
    <w:basedOn w:val="a1"/>
    <w:rsid w:val="0067583F"/>
    <w:pPr>
      <w:spacing w:line="240" w:lineRule="auto"/>
      <w:ind w:left="720"/>
    </w:pPr>
    <w:rPr>
      <w:rFonts w:ascii="Times New Roman" w:hAnsi="Times New Roman"/>
      <w:sz w:val="26"/>
      <w:lang w:val="en-GB" w:eastAsia="ru-RU"/>
    </w:rPr>
  </w:style>
  <w:style w:type="paragraph" w:customStyle="1" w:styleId="BodyTextBulleted">
    <w:name w:val="Body Text Bulleted"/>
    <w:basedOn w:val="a1"/>
    <w:link w:val="BodyTextBulletedChar"/>
    <w:rsid w:val="0067583F"/>
    <w:pPr>
      <w:tabs>
        <w:tab w:val="num" w:pos="360"/>
      </w:tabs>
      <w:spacing w:after="120" w:line="240" w:lineRule="auto"/>
      <w:ind w:left="360" w:hanging="360"/>
      <w:jc w:val="left"/>
    </w:pPr>
    <w:rPr>
      <w:rFonts w:eastAsia="MS Mincho"/>
      <w:lang w:eastAsia="ja-JP"/>
    </w:rPr>
  </w:style>
  <w:style w:type="character" w:customStyle="1" w:styleId="BodyTextBulletedChar">
    <w:name w:val="Body Text Bulleted Char"/>
    <w:link w:val="BodyTextBulleted"/>
    <w:locked/>
    <w:rsid w:val="0067583F"/>
    <w:rPr>
      <w:rFonts w:eastAsia="MS Mincho" w:cs="Times New Roman"/>
      <w:lang w:eastAsia="ja-JP"/>
    </w:rPr>
  </w:style>
  <w:style w:type="paragraph" w:customStyle="1" w:styleId="xl128">
    <w:name w:val="xl128"/>
    <w:basedOn w:val="a1"/>
    <w:rsid w:val="0067583F"/>
    <w:pPr>
      <w:pBdr>
        <w:top w:val="single" w:sz="4" w:space="0" w:color="auto"/>
        <w:bottom w:val="single" w:sz="4" w:space="0" w:color="auto"/>
        <w:right w:val="single" w:sz="4" w:space="0" w:color="auto"/>
      </w:pBdr>
      <w:spacing w:before="100" w:beforeAutospacing="1" w:after="100" w:afterAutospacing="1" w:line="240" w:lineRule="auto"/>
      <w:ind w:left="0"/>
      <w:jc w:val="left"/>
    </w:pPr>
    <w:rPr>
      <w:rFonts w:eastAsia="Arial Unicode MS" w:cs="Arial Unicode MS"/>
      <w:sz w:val="24"/>
      <w:szCs w:val="24"/>
      <w:lang w:eastAsia="ru-RU"/>
    </w:rPr>
  </w:style>
  <w:style w:type="paragraph" w:customStyle="1" w:styleId="StyleSubtitle22ptNotBold">
    <w:name w:val="Style Subtitle + 22 pt Not Bold"/>
    <w:basedOn w:val="af5"/>
    <w:link w:val="StyleSubtitle22ptNotBoldChar"/>
    <w:rsid w:val="0067583F"/>
    <w:rPr>
      <w:b w:val="0"/>
      <w:sz w:val="44"/>
    </w:rPr>
  </w:style>
  <w:style w:type="character" w:customStyle="1" w:styleId="StyleSubtitle22ptNotBoldChar">
    <w:name w:val="Style Subtitle + 22 pt Not Bold Char"/>
    <w:basedOn w:val="af6"/>
    <w:link w:val="StyleSubtitle22ptNotBold"/>
    <w:locked/>
    <w:rsid w:val="0067583F"/>
    <w:rPr>
      <w:rFonts w:eastAsia="Times New Roman" w:cs="Times New Roman"/>
      <w:b/>
      <w:caps/>
      <w:spacing w:val="-16"/>
      <w:kern w:val="28"/>
      <w:sz w:val="40"/>
      <w:szCs w:val="40"/>
      <w:lang w:val="ru-RU"/>
    </w:rPr>
  </w:style>
  <w:style w:type="paragraph" w:customStyle="1" w:styleId="DSTATUS">
    <w:name w:val="DSTATUS"/>
    <w:basedOn w:val="StatusForm"/>
    <w:rsid w:val="0067583F"/>
  </w:style>
  <w:style w:type="paragraph" w:customStyle="1" w:styleId="BodyTextNumbered">
    <w:name w:val="Body Text Numbered"/>
    <w:basedOn w:val="a1"/>
    <w:rsid w:val="0067583F"/>
    <w:pPr>
      <w:numPr>
        <w:numId w:val="8"/>
      </w:numPr>
      <w:tabs>
        <w:tab w:val="num" w:pos="284"/>
        <w:tab w:val="left" w:pos="7371"/>
      </w:tabs>
      <w:spacing w:after="120"/>
      <w:ind w:left="284" w:hanging="284"/>
    </w:pPr>
  </w:style>
  <w:style w:type="paragraph" w:customStyle="1" w:styleId="StyleBodyTextBulletedLatinArial10pt">
    <w:name w:val="Style Body Text Bulleted + (Latin) Arial 10 pt"/>
    <w:basedOn w:val="BodyTextBulleted"/>
    <w:rsid w:val="0067583F"/>
  </w:style>
  <w:style w:type="paragraph" w:customStyle="1" w:styleId="ReportHeading1">
    <w:name w:val="Report Heading 1"/>
    <w:basedOn w:val="10"/>
    <w:rsid w:val="0067583F"/>
    <w:pPr>
      <w:spacing w:after="240"/>
    </w:pPr>
    <w:rPr>
      <w:bCs/>
      <w:sz w:val="28"/>
    </w:rPr>
  </w:style>
  <w:style w:type="paragraph" w:customStyle="1" w:styleId="BodyTextCentered">
    <w:name w:val="Body Text Centered"/>
    <w:basedOn w:val="afff1"/>
    <w:rsid w:val="0067583F"/>
    <w:pPr>
      <w:jc w:val="center"/>
    </w:pPr>
  </w:style>
  <w:style w:type="paragraph" w:customStyle="1" w:styleId="BodyTextBold">
    <w:name w:val="Body Text Bold"/>
    <w:basedOn w:val="afff1"/>
    <w:rsid w:val="0067583F"/>
    <w:pPr>
      <w:spacing w:after="240"/>
    </w:pPr>
    <w:rPr>
      <w:b/>
      <w:bCs/>
      <w:u w:val="single"/>
    </w:rPr>
  </w:style>
  <w:style w:type="paragraph" w:customStyle="1" w:styleId="BodyTextBulleted2">
    <w:name w:val="Body Text Bulleted 2"/>
    <w:basedOn w:val="BodyTextBulleted"/>
    <w:rsid w:val="0067583F"/>
    <w:pPr>
      <w:tabs>
        <w:tab w:val="num" w:pos="1134"/>
      </w:tabs>
      <w:ind w:left="1134"/>
    </w:pPr>
  </w:style>
  <w:style w:type="paragraph" w:customStyle="1" w:styleId="BodyTextUnderline">
    <w:name w:val="Body Text Underline"/>
    <w:basedOn w:val="afff1"/>
    <w:rsid w:val="0067583F"/>
    <w:rPr>
      <w:u w:val="single"/>
    </w:rPr>
  </w:style>
  <w:style w:type="paragraph" w:customStyle="1" w:styleId="Bodytextbulleted3">
    <w:name w:val="Body text bulleted 3"/>
    <w:basedOn w:val="afff1"/>
    <w:rsid w:val="0067583F"/>
    <w:pPr>
      <w:tabs>
        <w:tab w:val="num" w:pos="993"/>
      </w:tabs>
      <w:ind w:left="993" w:hanging="284"/>
    </w:pPr>
    <w:rPr>
      <w:rFonts w:cs="Arial"/>
    </w:rPr>
  </w:style>
  <w:style w:type="paragraph" w:customStyle="1" w:styleId="Criticalpathname">
    <w:name w:val="Critical path name"/>
    <w:basedOn w:val="afff1"/>
    <w:rsid w:val="0067583F"/>
    <w:pPr>
      <w:numPr>
        <w:numId w:val="9"/>
      </w:numPr>
      <w:tabs>
        <w:tab w:val="clear" w:pos="1152"/>
        <w:tab w:val="num" w:pos="360"/>
        <w:tab w:val="num" w:pos="720"/>
        <w:tab w:val="num" w:pos="1440"/>
      </w:tabs>
      <w:ind w:left="1440" w:hanging="360"/>
    </w:pPr>
    <w:rPr>
      <w:rFonts w:eastAsia="MS Mincho"/>
      <w:b/>
      <w:lang w:eastAsia="ja-JP"/>
    </w:rPr>
  </w:style>
  <w:style w:type="paragraph" w:customStyle="1" w:styleId="APPENDIX1">
    <w:name w:val="APPENDIX 1"/>
    <w:rsid w:val="0067583F"/>
    <w:pPr>
      <w:spacing w:after="240"/>
    </w:pPr>
    <w:rPr>
      <w:rFonts w:cs="Times New Roman"/>
      <w:b/>
      <w:bCs/>
      <w:kern w:val="28"/>
      <w:sz w:val="28"/>
      <w:szCs w:val="40"/>
      <w:lang w:eastAsia="en-US"/>
    </w:rPr>
  </w:style>
  <w:style w:type="paragraph" w:customStyle="1" w:styleId="APPENDIX2">
    <w:name w:val="APPENDIX 2"/>
    <w:rsid w:val="0067583F"/>
    <w:pPr>
      <w:numPr>
        <w:numId w:val="10"/>
      </w:numPr>
      <w:tabs>
        <w:tab w:val="clear" w:pos="720"/>
        <w:tab w:val="num" w:pos="2268"/>
      </w:tabs>
      <w:spacing w:after="240"/>
      <w:ind w:left="2268" w:hanging="2268"/>
    </w:pPr>
    <w:rPr>
      <w:rFonts w:cs="Times New Roman"/>
      <w:b/>
      <w:bCs/>
      <w:kern w:val="28"/>
      <w:sz w:val="28"/>
      <w:szCs w:val="40"/>
      <w:lang w:eastAsia="en-US"/>
    </w:rPr>
  </w:style>
  <w:style w:type="paragraph" w:customStyle="1" w:styleId="APPENDIXHEADING3">
    <w:name w:val="APPENDIX HEADING 3"/>
    <w:link w:val="APPENDIXHEADING3Char"/>
    <w:rsid w:val="0067583F"/>
    <w:pPr>
      <w:spacing w:after="240"/>
    </w:pPr>
    <w:rPr>
      <w:rFonts w:cs="Times New Roman"/>
      <w:b/>
      <w:bCs/>
      <w:kern w:val="28"/>
      <w:sz w:val="24"/>
      <w:szCs w:val="24"/>
      <w:lang w:eastAsia="en-US"/>
    </w:rPr>
  </w:style>
  <w:style w:type="character" w:customStyle="1" w:styleId="APPENDIXHEADING3Char">
    <w:name w:val="APPENDIX HEADING 3 Char"/>
    <w:link w:val="APPENDIXHEADING3"/>
    <w:locked/>
    <w:rsid w:val="0067583F"/>
    <w:rPr>
      <w:rFonts w:cs="Times New Roman"/>
      <w:b/>
      <w:bCs/>
      <w:kern w:val="28"/>
      <w:sz w:val="24"/>
      <w:szCs w:val="24"/>
      <w:lang w:val="ru-RU" w:eastAsia="en-US" w:bidi="ar-SA"/>
    </w:rPr>
  </w:style>
  <w:style w:type="character" w:customStyle="1" w:styleId="afff4">
    <w:name w:val="Схема документа Знак"/>
    <w:link w:val="afff5"/>
    <w:semiHidden/>
    <w:locked/>
    <w:rsid w:val="0067583F"/>
    <w:rPr>
      <w:rFonts w:ascii="Tahoma" w:hAnsi="Tahoma" w:cs="Tahoma"/>
      <w:shd w:val="clear" w:color="auto" w:fill="000080"/>
      <w:lang w:val="ru-RU"/>
    </w:rPr>
  </w:style>
  <w:style w:type="paragraph" w:styleId="afff5">
    <w:name w:val="Document Map"/>
    <w:basedOn w:val="a1"/>
    <w:link w:val="afff4"/>
    <w:semiHidden/>
    <w:rsid w:val="0067583F"/>
    <w:pPr>
      <w:shd w:val="clear" w:color="auto" w:fill="000080"/>
    </w:pPr>
    <w:rPr>
      <w:rFonts w:ascii="Tahoma" w:hAnsi="Tahoma"/>
    </w:rPr>
  </w:style>
  <w:style w:type="paragraph" w:styleId="afff6">
    <w:name w:val="Block Text"/>
    <w:basedOn w:val="a1"/>
    <w:link w:val="afff7"/>
    <w:rsid w:val="0067583F"/>
    <w:pPr>
      <w:spacing w:after="120"/>
      <w:ind w:left="1440" w:right="1440"/>
    </w:pPr>
    <w:rPr>
      <w:rFonts w:eastAsia="Times New Roman"/>
    </w:rPr>
  </w:style>
  <w:style w:type="character" w:customStyle="1" w:styleId="afff7">
    <w:name w:val="Цитата Знак"/>
    <w:link w:val="afff6"/>
    <w:locked/>
    <w:rsid w:val="0067583F"/>
    <w:rPr>
      <w:rFonts w:eastAsia="Times New Roman" w:cs="Times New Roman"/>
      <w:lang w:val="ru-RU"/>
    </w:rPr>
  </w:style>
  <w:style w:type="paragraph" w:customStyle="1" w:styleId="TableSmall">
    <w:name w:val="Table_Small"/>
    <w:basedOn w:val="a1"/>
    <w:rsid w:val="0067583F"/>
    <w:pPr>
      <w:spacing w:before="40" w:after="40" w:line="240" w:lineRule="auto"/>
      <w:ind w:left="0"/>
      <w:jc w:val="left"/>
    </w:pPr>
    <w:rPr>
      <w:sz w:val="16"/>
      <w:lang w:val="en-GB"/>
    </w:rPr>
  </w:style>
  <w:style w:type="paragraph" w:customStyle="1" w:styleId="afff8">
    <w:name w:val="Мой"/>
    <w:basedOn w:val="a1"/>
    <w:rsid w:val="0067583F"/>
    <w:pPr>
      <w:widowControl w:val="0"/>
      <w:spacing w:after="0" w:line="360" w:lineRule="auto"/>
      <w:ind w:left="0" w:firstLine="720"/>
    </w:pPr>
    <w:rPr>
      <w:rFonts w:ascii="Times New Roman" w:hAnsi="Times New Roman"/>
      <w:sz w:val="28"/>
      <w:lang w:eastAsia="ru-RU"/>
    </w:rPr>
  </w:style>
  <w:style w:type="paragraph" w:customStyle="1" w:styleId="Numbered0r">
    <w:name w:val="Numbered0_r"/>
    <w:basedOn w:val="a1"/>
    <w:rsid w:val="0067583F"/>
    <w:pPr>
      <w:numPr>
        <w:numId w:val="11"/>
      </w:numPr>
    </w:pPr>
  </w:style>
  <w:style w:type="paragraph" w:customStyle="1" w:styleId="Numberedr">
    <w:name w:val="Numbered_r"/>
    <w:basedOn w:val="a1"/>
    <w:rsid w:val="0067583F"/>
    <w:pPr>
      <w:numPr>
        <w:ilvl w:val="1"/>
        <w:numId w:val="11"/>
      </w:numPr>
    </w:pPr>
  </w:style>
  <w:style w:type="paragraph" w:customStyle="1" w:styleId="Numbered2r">
    <w:name w:val="Numbered2_r"/>
    <w:basedOn w:val="a1"/>
    <w:rsid w:val="0067583F"/>
    <w:pPr>
      <w:numPr>
        <w:ilvl w:val="2"/>
        <w:numId w:val="11"/>
      </w:numPr>
    </w:pPr>
  </w:style>
  <w:style w:type="paragraph" w:customStyle="1" w:styleId="a">
    <w:name w:val="Буллиты"/>
    <w:basedOn w:val="a1"/>
    <w:link w:val="Char"/>
    <w:rsid w:val="0067583F"/>
    <w:pPr>
      <w:numPr>
        <w:numId w:val="12"/>
      </w:numPr>
      <w:spacing w:after="0" w:line="360" w:lineRule="auto"/>
    </w:pPr>
    <w:rPr>
      <w:rFonts w:ascii="Times New Roman" w:hAnsi="Times New Roman"/>
      <w:sz w:val="24"/>
      <w:szCs w:val="24"/>
    </w:rPr>
  </w:style>
  <w:style w:type="character" w:customStyle="1" w:styleId="Char">
    <w:name w:val="Буллиты Char"/>
    <w:link w:val="a"/>
    <w:locked/>
    <w:rsid w:val="0067583F"/>
    <w:rPr>
      <w:rFonts w:ascii="Times New Roman" w:hAnsi="Times New Roman" w:cs="Times New Roman"/>
      <w:sz w:val="24"/>
      <w:szCs w:val="24"/>
      <w:lang w:eastAsia="en-US"/>
    </w:rPr>
  </w:style>
  <w:style w:type="paragraph" w:customStyle="1" w:styleId="afff9">
    <w:name w:val="Знак Знак Знак"/>
    <w:basedOn w:val="a1"/>
    <w:autoRedefine/>
    <w:rsid w:val="0067583F"/>
    <w:pPr>
      <w:spacing w:after="160" w:line="240" w:lineRule="exact"/>
      <w:ind w:left="0"/>
      <w:jc w:val="left"/>
    </w:pPr>
    <w:rPr>
      <w:rFonts w:ascii="Times New Roman" w:eastAsia="SimSun" w:hAnsi="Times New Roman"/>
      <w:b/>
      <w:sz w:val="28"/>
      <w:szCs w:val="24"/>
      <w:lang w:val="en-US"/>
    </w:rPr>
  </w:style>
  <w:style w:type="paragraph" w:customStyle="1" w:styleId="afffa">
    <w:name w:val="Заголовок таблицы"/>
    <w:basedOn w:val="a1"/>
    <w:rsid w:val="0067583F"/>
    <w:pPr>
      <w:spacing w:after="0" w:line="240" w:lineRule="auto"/>
      <w:ind w:left="0"/>
      <w:jc w:val="center"/>
    </w:pPr>
    <w:rPr>
      <w:rFonts w:ascii="Times New Roman" w:hAnsi="Times New Roman"/>
      <w:b/>
      <w:caps/>
      <w:sz w:val="16"/>
      <w:szCs w:val="24"/>
      <w:lang w:eastAsia="ru-RU"/>
    </w:rPr>
  </w:style>
  <w:style w:type="paragraph" w:customStyle="1" w:styleId="afffb">
    <w:name w:val="Текст таблицы"/>
    <w:basedOn w:val="a1"/>
    <w:link w:val="Char0"/>
    <w:rsid w:val="0067583F"/>
    <w:pPr>
      <w:spacing w:after="0" w:line="240" w:lineRule="auto"/>
      <w:ind w:left="0"/>
      <w:jc w:val="left"/>
    </w:pPr>
    <w:rPr>
      <w:rFonts w:ascii="Times New Roman" w:hAnsi="Times New Roman"/>
      <w:sz w:val="24"/>
      <w:szCs w:val="24"/>
      <w:lang w:eastAsia="ru-RU"/>
    </w:rPr>
  </w:style>
  <w:style w:type="character" w:customStyle="1" w:styleId="Char0">
    <w:name w:val="Текст таблицы Char"/>
    <w:link w:val="afffb"/>
    <w:locked/>
    <w:rsid w:val="0067583F"/>
    <w:rPr>
      <w:rFonts w:ascii="Times New Roman" w:hAnsi="Times New Roman" w:cs="Times New Roman"/>
      <w:sz w:val="24"/>
      <w:szCs w:val="24"/>
      <w:lang w:val="ru-RU" w:eastAsia="ru-RU"/>
    </w:rPr>
  </w:style>
  <w:style w:type="paragraph" w:customStyle="1" w:styleId="a0">
    <w:name w:val="таблица с буллитами"/>
    <w:basedOn w:val="afffb"/>
    <w:next w:val="afffb"/>
    <w:rsid w:val="0067583F"/>
    <w:pPr>
      <w:numPr>
        <w:numId w:val="13"/>
      </w:numPr>
      <w:tabs>
        <w:tab w:val="clear" w:pos="227"/>
        <w:tab w:val="num" w:pos="360"/>
        <w:tab w:val="num" w:pos="720"/>
        <w:tab w:val="num" w:pos="984"/>
      </w:tabs>
      <w:ind w:left="984" w:hanging="360"/>
    </w:pPr>
  </w:style>
  <w:style w:type="paragraph" w:customStyle="1" w:styleId="pbodyshift1">
    <w:name w:val="pbody_shift_1"/>
    <w:basedOn w:val="a1"/>
    <w:rsid w:val="0067583F"/>
    <w:pPr>
      <w:spacing w:before="100" w:beforeAutospacing="1" w:after="100" w:afterAutospacing="1" w:line="240" w:lineRule="auto"/>
      <w:ind w:left="0"/>
      <w:jc w:val="left"/>
    </w:pPr>
    <w:rPr>
      <w:rFonts w:ascii="Times New Roman" w:hAnsi="Times New Roman"/>
      <w:sz w:val="24"/>
      <w:szCs w:val="24"/>
      <w:lang w:eastAsia="ru-RU"/>
    </w:rPr>
  </w:style>
  <w:style w:type="paragraph" w:customStyle="1" w:styleId="Noer">
    <w:name w:val="Noer"/>
    <w:basedOn w:val="3"/>
    <w:rsid w:val="0067583F"/>
    <w:pPr>
      <w:tabs>
        <w:tab w:val="clear" w:pos="360"/>
      </w:tabs>
    </w:pPr>
  </w:style>
  <w:style w:type="paragraph" w:customStyle="1" w:styleId="TableHeadingCenter">
    <w:name w:val="Table_Heading_Center"/>
    <w:basedOn w:val="a1"/>
    <w:rsid w:val="0067583F"/>
    <w:pPr>
      <w:keepNext/>
      <w:keepLines/>
      <w:spacing w:before="40" w:after="40" w:line="240" w:lineRule="auto"/>
      <w:ind w:left="0"/>
      <w:jc w:val="center"/>
    </w:pPr>
    <w:rPr>
      <w:b/>
      <w:lang w:val="en-GB"/>
    </w:rPr>
  </w:style>
  <w:style w:type="paragraph" w:customStyle="1" w:styleId="Table">
    <w:name w:val="Table"/>
    <w:basedOn w:val="a1"/>
    <w:rsid w:val="0067583F"/>
    <w:pPr>
      <w:spacing w:before="40" w:after="40" w:line="240" w:lineRule="auto"/>
      <w:ind w:left="0"/>
      <w:jc w:val="left"/>
    </w:pPr>
    <w:rPr>
      <w:lang w:val="en-GB"/>
    </w:rPr>
  </w:style>
  <w:style w:type="paragraph" w:styleId="27">
    <w:name w:val="Body Text 2"/>
    <w:basedOn w:val="a1"/>
    <w:link w:val="28"/>
    <w:rsid w:val="0067583F"/>
    <w:pPr>
      <w:spacing w:after="120" w:line="480" w:lineRule="auto"/>
    </w:pPr>
    <w:rPr>
      <w:rFonts w:eastAsia="Times New Roman"/>
    </w:rPr>
  </w:style>
  <w:style w:type="character" w:customStyle="1" w:styleId="28">
    <w:name w:val="Основной текст 2 Знак"/>
    <w:link w:val="27"/>
    <w:locked/>
    <w:rsid w:val="0067583F"/>
    <w:rPr>
      <w:rFonts w:eastAsia="Times New Roman" w:cs="Times New Roman"/>
      <w:lang w:val="ru-RU"/>
    </w:rPr>
  </w:style>
  <w:style w:type="paragraph" w:styleId="37">
    <w:name w:val="Body Text Indent 3"/>
    <w:basedOn w:val="a1"/>
    <w:link w:val="38"/>
    <w:rsid w:val="0067583F"/>
    <w:pPr>
      <w:spacing w:after="120"/>
      <w:ind w:left="283"/>
    </w:pPr>
    <w:rPr>
      <w:rFonts w:eastAsia="Times New Roman"/>
      <w:sz w:val="16"/>
      <w:szCs w:val="16"/>
    </w:rPr>
  </w:style>
  <w:style w:type="character" w:customStyle="1" w:styleId="38">
    <w:name w:val="Основной текст с отступом 3 Знак"/>
    <w:link w:val="37"/>
    <w:locked/>
    <w:rsid w:val="0067583F"/>
    <w:rPr>
      <w:rFonts w:eastAsia="Times New Roman" w:cs="Times New Roman"/>
      <w:sz w:val="16"/>
      <w:szCs w:val="16"/>
      <w:lang w:val="ru-RU"/>
    </w:rPr>
  </w:style>
  <w:style w:type="paragraph" w:customStyle="1" w:styleId="pindented1">
    <w:name w:val="pindented1"/>
    <w:basedOn w:val="a1"/>
    <w:rsid w:val="0067583F"/>
    <w:pPr>
      <w:spacing w:before="100" w:beforeAutospacing="1" w:after="100" w:afterAutospacing="1" w:line="240" w:lineRule="auto"/>
      <w:ind w:left="0"/>
      <w:jc w:val="left"/>
    </w:pPr>
    <w:rPr>
      <w:rFonts w:ascii="Times New Roman" w:hAnsi="Times New Roman"/>
      <w:sz w:val="24"/>
      <w:szCs w:val="24"/>
      <w:lang w:eastAsia="ru-RU"/>
    </w:rPr>
  </w:style>
  <w:style w:type="paragraph" w:customStyle="1" w:styleId="pdashed">
    <w:name w:val="pdashed"/>
    <w:basedOn w:val="a1"/>
    <w:rsid w:val="0067583F"/>
    <w:pPr>
      <w:spacing w:before="100" w:beforeAutospacing="1" w:after="100" w:afterAutospacing="1" w:line="240" w:lineRule="auto"/>
      <w:ind w:left="0"/>
      <w:jc w:val="left"/>
    </w:pPr>
    <w:rPr>
      <w:rFonts w:ascii="Times New Roman" w:hAnsi="Times New Roman"/>
      <w:sz w:val="24"/>
      <w:szCs w:val="24"/>
      <w:lang w:eastAsia="ru-RU"/>
    </w:rPr>
  </w:style>
  <w:style w:type="character" w:customStyle="1" w:styleId="cdefault">
    <w:name w:val="cdefault"/>
    <w:rsid w:val="0067583F"/>
    <w:rPr>
      <w:rFonts w:cs="Times New Roman"/>
    </w:rPr>
  </w:style>
  <w:style w:type="paragraph" w:customStyle="1" w:styleId="pbodyshift4">
    <w:name w:val="pbody_shift_4"/>
    <w:basedOn w:val="a1"/>
    <w:rsid w:val="0067583F"/>
    <w:pPr>
      <w:spacing w:before="100" w:beforeAutospacing="1" w:after="100" w:afterAutospacing="1" w:line="240" w:lineRule="auto"/>
      <w:ind w:left="0"/>
      <w:jc w:val="left"/>
    </w:pPr>
    <w:rPr>
      <w:rFonts w:ascii="Times New Roman" w:hAnsi="Times New Roman"/>
      <w:sz w:val="24"/>
      <w:szCs w:val="24"/>
      <w:lang w:eastAsia="ru-RU"/>
    </w:rPr>
  </w:style>
  <w:style w:type="paragraph" w:styleId="29">
    <w:name w:val="Body Text Indent 2"/>
    <w:basedOn w:val="a1"/>
    <w:link w:val="2a"/>
    <w:rsid w:val="0067583F"/>
    <w:pPr>
      <w:spacing w:after="120" w:line="480" w:lineRule="auto"/>
      <w:ind w:left="360"/>
    </w:pPr>
    <w:rPr>
      <w:rFonts w:eastAsia="Times New Roman"/>
    </w:rPr>
  </w:style>
  <w:style w:type="character" w:customStyle="1" w:styleId="2a">
    <w:name w:val="Основной текст с отступом 2 Знак"/>
    <w:link w:val="29"/>
    <w:locked/>
    <w:rsid w:val="0067583F"/>
    <w:rPr>
      <w:rFonts w:eastAsia="Times New Roman" w:cs="Times New Roman"/>
      <w:lang w:val="ru-RU"/>
    </w:rPr>
  </w:style>
  <w:style w:type="paragraph" w:customStyle="1" w:styleId="IauiueWeb">
    <w:name w:val="Iau.iue (Web)"/>
    <w:basedOn w:val="a1"/>
    <w:next w:val="a1"/>
    <w:rsid w:val="0067583F"/>
    <w:pPr>
      <w:autoSpaceDE w:val="0"/>
      <w:autoSpaceDN w:val="0"/>
      <w:adjustRightInd w:val="0"/>
      <w:spacing w:after="0" w:line="240" w:lineRule="auto"/>
      <w:ind w:left="0"/>
      <w:jc w:val="left"/>
    </w:pPr>
    <w:rPr>
      <w:rFonts w:ascii="Times New Roman" w:hAnsi="Times New Roman"/>
      <w:sz w:val="24"/>
      <w:szCs w:val="24"/>
      <w:lang w:eastAsia="ru-RU"/>
    </w:rPr>
  </w:style>
  <w:style w:type="paragraph" w:styleId="afffc">
    <w:name w:val="Normal (Web)"/>
    <w:basedOn w:val="a1"/>
    <w:uiPriority w:val="99"/>
    <w:rsid w:val="0067583F"/>
    <w:pPr>
      <w:spacing w:before="100" w:beforeAutospacing="1" w:after="100" w:afterAutospacing="1" w:line="240" w:lineRule="auto"/>
      <w:ind w:left="0"/>
      <w:jc w:val="left"/>
    </w:pPr>
    <w:rPr>
      <w:rFonts w:ascii="Arial Unicode MS" w:eastAsia="Arial Unicode MS" w:hAnsi="Arial Unicode MS"/>
      <w:color w:val="000000"/>
      <w:sz w:val="24"/>
      <w:szCs w:val="24"/>
      <w:lang w:val="en-US"/>
    </w:rPr>
  </w:style>
  <w:style w:type="paragraph" w:customStyle="1" w:styleId="020bullet10">
    <w:name w:val="020bullet10"/>
    <w:basedOn w:val="a1"/>
    <w:rsid w:val="0067583F"/>
    <w:pPr>
      <w:spacing w:before="100" w:beforeAutospacing="1" w:after="100" w:afterAutospacing="1" w:line="240" w:lineRule="auto"/>
      <w:ind w:left="0"/>
      <w:jc w:val="left"/>
    </w:pPr>
    <w:rPr>
      <w:rFonts w:ascii="Times New Roman" w:hAnsi="Times New Roman"/>
      <w:sz w:val="24"/>
      <w:szCs w:val="24"/>
      <w:lang w:val="en-US"/>
    </w:rPr>
  </w:style>
  <w:style w:type="paragraph" w:customStyle="1" w:styleId="Tabletext">
    <w:name w:val="Table text"/>
    <w:basedOn w:val="a1"/>
    <w:rsid w:val="0067583F"/>
    <w:pPr>
      <w:spacing w:after="0" w:line="240" w:lineRule="auto"/>
      <w:ind w:left="85" w:hanging="85"/>
      <w:jc w:val="left"/>
    </w:pPr>
    <w:rPr>
      <w:sz w:val="18"/>
      <w:lang w:val="en-GB"/>
    </w:rPr>
  </w:style>
  <w:style w:type="paragraph" w:customStyle="1" w:styleId="Rowheader">
    <w:name w:val="Row header"/>
    <w:basedOn w:val="a1"/>
    <w:rsid w:val="0067583F"/>
    <w:pPr>
      <w:spacing w:after="0" w:line="240" w:lineRule="auto"/>
      <w:ind w:left="85" w:hanging="85"/>
      <w:jc w:val="left"/>
    </w:pPr>
    <w:rPr>
      <w:b/>
      <w:sz w:val="18"/>
      <w:lang w:val="en-GB"/>
    </w:rPr>
  </w:style>
  <w:style w:type="paragraph" w:customStyle="1" w:styleId="Columnheader">
    <w:name w:val="Column header"/>
    <w:basedOn w:val="a1"/>
    <w:rsid w:val="0067583F"/>
    <w:pPr>
      <w:tabs>
        <w:tab w:val="decimal" w:pos="1503"/>
      </w:tabs>
      <w:spacing w:after="0" w:line="228" w:lineRule="auto"/>
      <w:ind w:left="0" w:right="-56"/>
      <w:jc w:val="left"/>
    </w:pPr>
    <w:rPr>
      <w:b/>
      <w:sz w:val="18"/>
      <w:lang w:val="en-GB"/>
    </w:rPr>
  </w:style>
  <w:style w:type="paragraph" w:customStyle="1" w:styleId="Tablenumbers1">
    <w:name w:val="Table numbers1"/>
    <w:rsid w:val="0067583F"/>
    <w:pPr>
      <w:tabs>
        <w:tab w:val="decimal" w:pos="1503"/>
      </w:tabs>
      <w:ind w:right="-56"/>
    </w:pPr>
    <w:rPr>
      <w:rFonts w:cs="Times New Roman"/>
      <w:sz w:val="18"/>
      <w:lang w:val="en-GB" w:eastAsia="en-US"/>
    </w:rPr>
  </w:style>
  <w:style w:type="paragraph" w:customStyle="1" w:styleId="RRthousands">
    <w:name w:val="RR thousands"/>
    <w:basedOn w:val="a1"/>
    <w:link w:val="RRthousandsChar"/>
    <w:rsid w:val="0067583F"/>
    <w:pPr>
      <w:spacing w:after="0" w:line="240" w:lineRule="auto"/>
      <w:ind w:left="86" w:hanging="86"/>
      <w:jc w:val="left"/>
    </w:pPr>
    <w:rPr>
      <w:rFonts w:eastAsia="Times New Roman"/>
      <w:i/>
      <w:sz w:val="16"/>
      <w:lang w:val="en-GB"/>
    </w:rPr>
  </w:style>
  <w:style w:type="character" w:customStyle="1" w:styleId="RRthousandsChar">
    <w:name w:val="RR thousands Char"/>
    <w:link w:val="RRthousands"/>
    <w:locked/>
    <w:rsid w:val="0067583F"/>
    <w:rPr>
      <w:rFonts w:eastAsia="Times New Roman" w:cs="Times New Roman"/>
      <w:i/>
      <w:sz w:val="16"/>
      <w:lang w:val="en-GB"/>
    </w:rPr>
  </w:style>
  <w:style w:type="paragraph" w:customStyle="1" w:styleId="wfxRecipient">
    <w:name w:val="wfxRecipient"/>
    <w:basedOn w:val="a1"/>
    <w:rsid w:val="0067583F"/>
    <w:pPr>
      <w:widowControl w:val="0"/>
      <w:spacing w:after="0" w:line="240" w:lineRule="auto"/>
      <w:ind w:left="0"/>
      <w:jc w:val="left"/>
    </w:pPr>
    <w:rPr>
      <w:sz w:val="18"/>
      <w:lang w:val="en-US"/>
    </w:rPr>
  </w:style>
  <w:style w:type="paragraph" w:customStyle="1" w:styleId="Style1">
    <w:name w:val="Style1"/>
    <w:basedOn w:val="2"/>
    <w:rsid w:val="0067583F"/>
    <w:rPr>
      <w:sz w:val="18"/>
    </w:rPr>
  </w:style>
  <w:style w:type="paragraph" w:customStyle="1" w:styleId="Style2">
    <w:name w:val="Style2"/>
    <w:basedOn w:val="10"/>
    <w:rsid w:val="0067583F"/>
    <w:rPr>
      <w:sz w:val="18"/>
    </w:rPr>
  </w:style>
  <w:style w:type="paragraph" w:customStyle="1" w:styleId="Style3">
    <w:name w:val="Style3"/>
    <w:basedOn w:val="10"/>
    <w:rsid w:val="0067583F"/>
    <w:rPr>
      <w:sz w:val="18"/>
    </w:rPr>
  </w:style>
  <w:style w:type="paragraph" w:customStyle="1" w:styleId="18">
    <w:name w:val="Обычный1"/>
    <w:basedOn w:val="Default"/>
    <w:next w:val="Default"/>
    <w:rsid w:val="0067583F"/>
    <w:rPr>
      <w:rFonts w:eastAsia="Calibri"/>
      <w:color w:val="auto"/>
      <w:lang w:val="ru-RU" w:eastAsia="ru-RU"/>
    </w:rPr>
  </w:style>
  <w:style w:type="paragraph" w:customStyle="1" w:styleId="Web">
    <w:name w:val="Обычный (Web)"/>
    <w:basedOn w:val="Default"/>
    <w:next w:val="Default"/>
    <w:rsid w:val="0067583F"/>
    <w:rPr>
      <w:rFonts w:eastAsia="Calibri"/>
      <w:color w:val="auto"/>
      <w:lang w:val="ru-RU" w:eastAsia="ru-RU"/>
    </w:rPr>
  </w:style>
  <w:style w:type="paragraph" w:customStyle="1" w:styleId="Iauiue0">
    <w:name w:val="Iau?iue"/>
    <w:rsid w:val="0067583F"/>
    <w:pPr>
      <w:widowControl w:val="0"/>
    </w:pPr>
    <w:rPr>
      <w:rFonts w:ascii="Times New Roman" w:hAnsi="Times New Roman" w:cs="Times New Roman"/>
      <w:lang w:eastAsia="en-US"/>
    </w:rPr>
  </w:style>
  <w:style w:type="paragraph" w:customStyle="1" w:styleId="StandardParagraph">
    <w:name w:val="Standard Paragraph"/>
    <w:basedOn w:val="a1"/>
    <w:rsid w:val="0067583F"/>
    <w:pPr>
      <w:tabs>
        <w:tab w:val="left" w:pos="461"/>
      </w:tabs>
      <w:spacing w:after="140" w:line="240" w:lineRule="auto"/>
      <w:ind w:left="461" w:hanging="461"/>
    </w:pPr>
    <w:rPr>
      <w:rFonts w:ascii="Times New Roman" w:hAnsi="Times New Roman"/>
      <w:b/>
      <w:i/>
      <w:lang w:val="en-GB"/>
    </w:rPr>
  </w:style>
  <w:style w:type="character" w:styleId="afffd">
    <w:name w:val="Strong"/>
    <w:uiPriority w:val="22"/>
    <w:qFormat/>
    <w:rsid w:val="0067583F"/>
    <w:rPr>
      <w:rFonts w:cs="Times New Roman"/>
      <w:b/>
      <w:bCs/>
    </w:rPr>
  </w:style>
  <w:style w:type="paragraph" w:customStyle="1" w:styleId="TextHedgefirst">
    <w:name w:val="Text Hedge first"/>
    <w:rsid w:val="0067583F"/>
    <w:pPr>
      <w:numPr>
        <w:numId w:val="14"/>
      </w:numPr>
      <w:tabs>
        <w:tab w:val="left" w:pos="964"/>
      </w:tabs>
      <w:jc w:val="both"/>
    </w:pPr>
    <w:rPr>
      <w:rFonts w:ascii="Times New Roman" w:hAnsi="Times New Roman" w:cs="Times New Roman"/>
      <w:sz w:val="24"/>
      <w:szCs w:val="24"/>
    </w:rPr>
  </w:style>
  <w:style w:type="character" w:customStyle="1" w:styleId="bCharChar">
    <w:name w:val="b Char Char"/>
    <w:rsid w:val="0067583F"/>
    <w:rPr>
      <w:rFonts w:ascii="Arial" w:hAnsi="Arial" w:cs="Times New Roman"/>
      <w:lang w:val="ru-RU" w:eastAsia="en-US" w:bidi="ar-SA"/>
    </w:rPr>
  </w:style>
  <w:style w:type="paragraph" w:customStyle="1" w:styleId="020bullet10period">
    <w:name w:val="020bullet10period"/>
    <w:basedOn w:val="a1"/>
    <w:rsid w:val="0067583F"/>
    <w:pPr>
      <w:spacing w:before="100" w:beforeAutospacing="1" w:after="100" w:afterAutospacing="1" w:line="240" w:lineRule="auto"/>
      <w:ind w:left="0"/>
      <w:jc w:val="left"/>
    </w:pPr>
    <w:rPr>
      <w:rFonts w:ascii="Times New Roman" w:eastAsia="MS Mincho" w:hAnsi="Times New Roman"/>
      <w:sz w:val="24"/>
      <w:szCs w:val="24"/>
      <w:lang w:val="en-US" w:eastAsia="ja-JP"/>
    </w:rPr>
  </w:style>
  <w:style w:type="paragraph" w:customStyle="1" w:styleId="TitreABC2">
    <w:name w:val="Titre ABC2"/>
    <w:basedOn w:val="22"/>
    <w:rsid w:val="0067583F"/>
    <w:pPr>
      <w:tabs>
        <w:tab w:val="right" w:leader="dot" w:pos="8782"/>
      </w:tabs>
      <w:spacing w:after="0"/>
      <w:ind w:left="198" w:hanging="198"/>
      <w:jc w:val="left"/>
    </w:pPr>
    <w:rPr>
      <w:b/>
      <w:lang w:val="en-US" w:eastAsia="ru-RU"/>
    </w:rPr>
  </w:style>
  <w:style w:type="paragraph" w:customStyle="1" w:styleId="ABCFootnote">
    <w:name w:val="ABC Footnote"/>
    <w:basedOn w:val="afc"/>
    <w:rsid w:val="0067583F"/>
    <w:pPr>
      <w:keepLines w:val="0"/>
      <w:spacing w:after="0" w:line="240" w:lineRule="auto"/>
      <w:ind w:left="0"/>
      <w:jc w:val="left"/>
    </w:pPr>
    <w:rPr>
      <w:sz w:val="18"/>
      <w:lang w:val="en-GB" w:eastAsia="ru-RU"/>
    </w:rPr>
  </w:style>
  <w:style w:type="paragraph" w:customStyle="1" w:styleId="RowHeader0">
    <w:name w:val="Row Header +"/>
    <w:rsid w:val="0067583F"/>
    <w:pPr>
      <w:spacing w:before="60" w:after="60"/>
      <w:ind w:left="85" w:hanging="85"/>
    </w:pPr>
    <w:rPr>
      <w:b/>
      <w:sz w:val="18"/>
      <w:lang w:val="en-GB"/>
    </w:rPr>
  </w:style>
  <w:style w:type="paragraph" w:customStyle="1" w:styleId="StyleRowheaderLinespacingMultiple095li">
    <w:name w:val="Style Row header + Line spacing:  Multiple 0.95 li"/>
    <w:rsid w:val="0067583F"/>
    <w:pPr>
      <w:spacing w:before="20" w:line="228" w:lineRule="auto"/>
      <w:ind w:left="85" w:hanging="85"/>
    </w:pPr>
    <w:rPr>
      <w:rFonts w:cs="Times New Roman"/>
      <w:b/>
      <w:bCs/>
      <w:sz w:val="18"/>
      <w:lang w:val="en-GB"/>
    </w:rPr>
  </w:style>
  <w:style w:type="paragraph" w:customStyle="1" w:styleId="StyleTabletextLinespacingMultiple095li">
    <w:name w:val="Style Table text + Line spacing:  Multiple 0.95 li"/>
    <w:basedOn w:val="a1"/>
    <w:rsid w:val="0067583F"/>
    <w:pPr>
      <w:spacing w:before="20" w:after="0" w:line="228" w:lineRule="auto"/>
      <w:ind w:left="85" w:hanging="85"/>
      <w:jc w:val="left"/>
    </w:pPr>
    <w:rPr>
      <w:sz w:val="18"/>
      <w:lang w:val="en-GB" w:eastAsia="ru-RU"/>
    </w:rPr>
  </w:style>
  <w:style w:type="character" w:customStyle="1" w:styleId="DeltaViewInsertion">
    <w:name w:val="DeltaView Insertion"/>
    <w:rsid w:val="0067583F"/>
    <w:rPr>
      <w:color w:val="0000FF"/>
      <w:spacing w:val="0"/>
      <w:u w:val="double"/>
    </w:rPr>
  </w:style>
  <w:style w:type="character" w:customStyle="1" w:styleId="DeltaViewMoveDestination">
    <w:name w:val="DeltaView Move Destination"/>
    <w:rsid w:val="0067583F"/>
    <w:rPr>
      <w:color w:val="00C000"/>
      <w:spacing w:val="0"/>
      <w:u w:val="double"/>
    </w:rPr>
  </w:style>
  <w:style w:type="paragraph" w:customStyle="1" w:styleId="ABC-Aftertable">
    <w:name w:val="ABC - After table"/>
    <w:next w:val="ABC-paragrahinNotes"/>
    <w:rsid w:val="0067583F"/>
    <w:pPr>
      <w:spacing w:before="240" w:after="240"/>
      <w:jc w:val="both"/>
    </w:pPr>
    <w:rPr>
      <w:rFonts w:cs="Times New Roman"/>
      <w:noProof/>
      <w:sz w:val="18"/>
    </w:rPr>
  </w:style>
  <w:style w:type="character" w:customStyle="1" w:styleId="ABC-subheadinNotes">
    <w:name w:val="ABC - subhead in Notes"/>
    <w:rsid w:val="0067583F"/>
    <w:rPr>
      <w:b/>
      <w:i/>
    </w:rPr>
  </w:style>
  <w:style w:type="character" w:customStyle="1" w:styleId="ABC-paragrahinNotesChar1">
    <w:name w:val="ABC - paragrah in Notes Char1"/>
    <w:rsid w:val="0067583F"/>
    <w:rPr>
      <w:rFonts w:ascii="Arial" w:hAnsi="Arial" w:cs="Times New Roman"/>
      <w:snapToGrid w:val="0"/>
      <w:sz w:val="18"/>
      <w:lang w:val="en-GB" w:eastAsia="ru-RU" w:bidi="ar-SA"/>
    </w:rPr>
  </w:style>
  <w:style w:type="paragraph" w:customStyle="1" w:styleId="Bullet">
    <w:name w:val="Bullet"/>
    <w:basedOn w:val="a1"/>
    <w:rsid w:val="0067583F"/>
    <w:pPr>
      <w:numPr>
        <w:numId w:val="15"/>
      </w:numPr>
      <w:tabs>
        <w:tab w:val="left" w:pos="227"/>
        <w:tab w:val="left" w:pos="454"/>
      </w:tabs>
      <w:spacing w:after="120"/>
      <w:jc w:val="left"/>
    </w:pPr>
    <w:rPr>
      <w:rFonts w:ascii="Times" w:eastAsia="Times New Roman" w:hAnsi="Times"/>
      <w:lang w:val="en-GB"/>
    </w:rPr>
  </w:style>
  <w:style w:type="paragraph" w:customStyle="1" w:styleId="ABC-r-paragraphinNotes">
    <w:name w:val="ABC-r - paragraph in Notes"/>
    <w:rsid w:val="0067583F"/>
    <w:pPr>
      <w:spacing w:after="240"/>
      <w:jc w:val="both"/>
    </w:pPr>
    <w:rPr>
      <w:rFonts w:cs="Times New Roman"/>
      <w:sz w:val="18"/>
    </w:rPr>
  </w:style>
  <w:style w:type="paragraph" w:customStyle="1" w:styleId="xl50">
    <w:name w:val="xl50"/>
    <w:basedOn w:val="a1"/>
    <w:rsid w:val="0067583F"/>
    <w:pPr>
      <w:spacing w:before="100" w:beforeAutospacing="1" w:after="100" w:afterAutospacing="1" w:line="240" w:lineRule="auto"/>
      <w:ind w:left="0"/>
      <w:jc w:val="left"/>
    </w:pPr>
    <w:rPr>
      <w:rFonts w:ascii="Times New Roman" w:hAnsi="Times New Roman"/>
      <w:b/>
      <w:bCs/>
      <w:sz w:val="18"/>
      <w:szCs w:val="18"/>
      <w:lang w:val="en-GB" w:eastAsia="ru-RU"/>
    </w:rPr>
  </w:style>
  <w:style w:type="character" w:customStyle="1" w:styleId="longtext1">
    <w:name w:val="long_text1"/>
    <w:rsid w:val="0067583F"/>
    <w:rPr>
      <w:rFonts w:cs="Times New Roman"/>
      <w:sz w:val="22"/>
      <w:szCs w:val="22"/>
    </w:rPr>
  </w:style>
  <w:style w:type="paragraph" w:customStyle="1" w:styleId="Normaltext">
    <w:name w:val="Normal text"/>
    <w:basedOn w:val="a1"/>
    <w:rsid w:val="0067583F"/>
    <w:pPr>
      <w:overflowPunct w:val="0"/>
      <w:autoSpaceDE w:val="0"/>
      <w:autoSpaceDN w:val="0"/>
      <w:adjustRightInd w:val="0"/>
      <w:spacing w:after="0"/>
      <w:ind w:left="0" w:right="568"/>
      <w:textAlignment w:val="baseline"/>
    </w:pPr>
    <w:rPr>
      <w:rFonts w:ascii="Times New Roman" w:hAnsi="Times New Roman"/>
      <w:sz w:val="24"/>
      <w:szCs w:val="24"/>
      <w:lang w:val="en-GB"/>
    </w:rPr>
  </w:style>
  <w:style w:type="paragraph" w:customStyle="1" w:styleId="ABC-BulletsinNotes">
    <w:name w:val="ABC - Bullets in Notes"/>
    <w:rsid w:val="0067583F"/>
    <w:pPr>
      <w:tabs>
        <w:tab w:val="num" w:pos="360"/>
        <w:tab w:val="left" w:pos="851"/>
      </w:tabs>
      <w:spacing w:after="240"/>
      <w:ind w:left="360" w:hanging="360"/>
      <w:jc w:val="both"/>
    </w:pPr>
    <w:rPr>
      <w:rFonts w:cs="Times New Roman"/>
      <w:sz w:val="18"/>
      <w:lang w:val="en-GB" w:eastAsia="en-US"/>
    </w:rPr>
  </w:style>
  <w:style w:type="paragraph" w:customStyle="1" w:styleId="ABCNotes">
    <w:name w:val="ABC Notes"/>
    <w:basedOn w:val="a1"/>
    <w:rsid w:val="0067583F"/>
    <w:pPr>
      <w:keepNext/>
      <w:keepLines/>
      <w:tabs>
        <w:tab w:val="num" w:pos="1649"/>
      </w:tabs>
      <w:spacing w:before="240" w:line="240" w:lineRule="auto"/>
      <w:ind w:left="1649" w:hanging="360"/>
      <w:jc w:val="left"/>
    </w:pPr>
    <w:rPr>
      <w:b/>
      <w:sz w:val="18"/>
      <w:lang w:val="en-GB"/>
    </w:rPr>
  </w:style>
  <w:style w:type="paragraph" w:customStyle="1" w:styleId="Continued">
    <w:name w:val="Continued"/>
    <w:rsid w:val="0067583F"/>
    <w:pPr>
      <w:keepNext/>
      <w:keepLines/>
      <w:pageBreakBefore/>
      <w:tabs>
        <w:tab w:val="left" w:pos="567"/>
      </w:tabs>
      <w:spacing w:after="240"/>
      <w:ind w:left="567" w:hanging="567"/>
    </w:pPr>
    <w:rPr>
      <w:rFonts w:cs="Times New Roman"/>
      <w:b/>
      <w:lang w:val="en-US" w:eastAsia="en-US"/>
    </w:rPr>
  </w:style>
  <w:style w:type="paragraph" w:customStyle="1" w:styleId="Report">
    <w:name w:val="Report"/>
    <w:rsid w:val="0067583F"/>
    <w:pPr>
      <w:tabs>
        <w:tab w:val="num" w:pos="720"/>
      </w:tabs>
      <w:spacing w:after="240"/>
      <w:ind w:left="720" w:hanging="360"/>
      <w:jc w:val="both"/>
    </w:pPr>
    <w:rPr>
      <w:rFonts w:cs="Times New Roman"/>
      <w:lang w:val="en-GB" w:eastAsia="en-US"/>
    </w:rPr>
  </w:style>
  <w:style w:type="paragraph" w:customStyle="1" w:styleId="Reportbullets">
    <w:name w:val="Report bullets"/>
    <w:rsid w:val="0067583F"/>
    <w:pPr>
      <w:tabs>
        <w:tab w:val="left" w:pos="567"/>
      </w:tabs>
      <w:spacing w:after="240"/>
      <w:ind w:left="567" w:hanging="567"/>
      <w:jc w:val="both"/>
    </w:pPr>
    <w:rPr>
      <w:rFonts w:cs="Times New Roman"/>
      <w:lang w:val="en-GB" w:eastAsia="en-US"/>
    </w:rPr>
  </w:style>
  <w:style w:type="paragraph" w:customStyle="1" w:styleId="Bullet10">
    <w:name w:val="Bullet1"/>
    <w:basedOn w:val="a1"/>
    <w:rsid w:val="0067583F"/>
    <w:pPr>
      <w:tabs>
        <w:tab w:val="num" w:pos="720"/>
      </w:tabs>
      <w:spacing w:after="0" w:line="240" w:lineRule="auto"/>
      <w:ind w:left="720" w:hanging="360"/>
      <w:jc w:val="left"/>
    </w:pPr>
    <w:rPr>
      <w:sz w:val="18"/>
      <w:lang w:val="en-GB"/>
    </w:rPr>
  </w:style>
  <w:style w:type="paragraph" w:customStyle="1" w:styleId="bullet0">
    <w:name w:val="bullet"/>
    <w:basedOn w:val="a1"/>
    <w:rsid w:val="0067583F"/>
    <w:pPr>
      <w:numPr>
        <w:numId w:val="16"/>
      </w:numPr>
      <w:tabs>
        <w:tab w:val="clear" w:pos="567"/>
        <w:tab w:val="num" w:pos="360"/>
      </w:tabs>
      <w:spacing w:before="40" w:after="0" w:line="200" w:lineRule="exact"/>
      <w:ind w:left="284" w:hanging="284"/>
      <w:jc w:val="left"/>
    </w:pPr>
    <w:rPr>
      <w:rFonts w:eastAsia="Times New Roman"/>
      <w:sz w:val="17"/>
      <w:lang w:val="en-GB"/>
    </w:rPr>
  </w:style>
  <w:style w:type="paragraph" w:customStyle="1" w:styleId="StyleABC-paragrahinNotesBold">
    <w:name w:val="Style ABC - paragrah in Notes + Bold"/>
    <w:basedOn w:val="a1"/>
    <w:link w:val="StyleABC-paragrahinNotesBoldChar"/>
    <w:rsid w:val="0067583F"/>
    <w:pPr>
      <w:spacing w:line="240" w:lineRule="auto"/>
      <w:ind w:left="0"/>
    </w:pPr>
    <w:rPr>
      <w:rFonts w:eastAsia="Times New Roman"/>
      <w:b/>
      <w:bCs/>
      <w:lang w:val="en-GB"/>
    </w:rPr>
  </w:style>
  <w:style w:type="character" w:customStyle="1" w:styleId="StyleABC-paragrahinNotesBoldChar">
    <w:name w:val="Style ABC - paragrah in Notes + Bold Char"/>
    <w:link w:val="StyleABC-paragrahinNotesBold"/>
    <w:locked/>
    <w:rsid w:val="0067583F"/>
    <w:rPr>
      <w:rFonts w:eastAsia="Times New Roman" w:cs="Times New Roman"/>
      <w:b/>
      <w:bCs/>
      <w:lang w:val="en-GB"/>
    </w:rPr>
  </w:style>
  <w:style w:type="paragraph" w:customStyle="1" w:styleId="ABC-paragrahinNotes0">
    <w:name w:val="ABC - paragrah in Notes Знак"/>
    <w:link w:val="ABC-paragrahinNotes1"/>
    <w:rsid w:val="0067583F"/>
    <w:pPr>
      <w:spacing w:after="240"/>
      <w:jc w:val="both"/>
    </w:pPr>
    <w:rPr>
      <w:rFonts w:cs="Times New Roman"/>
      <w:sz w:val="18"/>
      <w:lang w:val="en-GB" w:eastAsia="en-US"/>
    </w:rPr>
  </w:style>
  <w:style w:type="character" w:customStyle="1" w:styleId="ABC-paragrahinNotes1">
    <w:name w:val="ABC - paragrah in Notes Знак Знак"/>
    <w:link w:val="ABC-paragrahinNotes0"/>
    <w:locked/>
    <w:rsid w:val="0067583F"/>
    <w:rPr>
      <w:rFonts w:cs="Times New Roman"/>
      <w:sz w:val="18"/>
      <w:lang w:val="en-GB" w:eastAsia="en-US" w:bidi="ar-SA"/>
    </w:rPr>
  </w:style>
  <w:style w:type="character" w:styleId="afffe">
    <w:name w:val="FollowedHyperlink"/>
    <w:rsid w:val="0067583F"/>
    <w:rPr>
      <w:rFonts w:cs="Times New Roman"/>
      <w:color w:val="800080"/>
      <w:u w:val="single"/>
    </w:rPr>
  </w:style>
  <w:style w:type="paragraph" w:customStyle="1" w:styleId="IASBNormal">
    <w:name w:val="IASB Normal"/>
    <w:basedOn w:val="Default"/>
    <w:next w:val="Default"/>
    <w:rsid w:val="0067583F"/>
    <w:rPr>
      <w:rFonts w:eastAsia="Calibri"/>
      <w:color w:val="auto"/>
      <w:lang w:val="ru-RU" w:eastAsia="ru-RU"/>
    </w:rPr>
  </w:style>
  <w:style w:type="character" w:customStyle="1" w:styleId="s0">
    <w:name w:val="s0"/>
    <w:rsid w:val="0067583F"/>
    <w:rPr>
      <w:rFonts w:ascii="Times New Roman" w:hAnsi="Times New Roman" w:cs="Times New Roman"/>
      <w:color w:val="000000"/>
      <w:sz w:val="20"/>
      <w:szCs w:val="20"/>
      <w:u w:val="none"/>
      <w:effect w:val="none"/>
    </w:rPr>
  </w:style>
  <w:style w:type="paragraph" w:styleId="39">
    <w:name w:val="toc 3"/>
    <w:basedOn w:val="a1"/>
    <w:next w:val="a1"/>
    <w:autoRedefine/>
    <w:uiPriority w:val="39"/>
    <w:rsid w:val="007825E6"/>
    <w:pPr>
      <w:tabs>
        <w:tab w:val="left" w:pos="709"/>
        <w:tab w:val="left" w:pos="990"/>
        <w:tab w:val="left" w:pos="8080"/>
        <w:tab w:val="right" w:leader="dot" w:pos="10065"/>
      </w:tabs>
      <w:spacing w:after="0" w:line="240" w:lineRule="auto"/>
      <w:ind w:left="403" w:right="2013"/>
      <w:jc w:val="left"/>
    </w:pPr>
    <w:rPr>
      <w:rFonts w:ascii="Times New Roman" w:hAnsi="Times New Roman" w:cs="Arial"/>
      <w:noProof/>
    </w:rPr>
  </w:style>
  <w:style w:type="paragraph" w:styleId="2b">
    <w:name w:val="toc 2"/>
    <w:basedOn w:val="a1"/>
    <w:next w:val="a1"/>
    <w:autoRedefine/>
    <w:uiPriority w:val="39"/>
    <w:rsid w:val="00C43712"/>
    <w:pPr>
      <w:tabs>
        <w:tab w:val="right" w:leader="dot" w:pos="10065"/>
      </w:tabs>
      <w:spacing w:before="240" w:after="0"/>
      <w:ind w:left="199"/>
      <w:jc w:val="left"/>
    </w:pPr>
    <w:rPr>
      <w:rFonts w:ascii="Times New Roman" w:hAnsi="Times New Roman"/>
      <w:b/>
      <w:noProof/>
    </w:rPr>
  </w:style>
  <w:style w:type="paragraph" w:styleId="19">
    <w:name w:val="toc 1"/>
    <w:basedOn w:val="a1"/>
    <w:next w:val="a1"/>
    <w:autoRedefine/>
    <w:uiPriority w:val="39"/>
    <w:rsid w:val="00CE4A03"/>
    <w:pPr>
      <w:tabs>
        <w:tab w:val="right" w:leader="dot" w:pos="10065"/>
      </w:tabs>
      <w:spacing w:before="240" w:after="0"/>
      <w:ind w:left="0"/>
      <w:jc w:val="left"/>
    </w:pPr>
    <w:rPr>
      <w:rFonts w:ascii="Times New Roman" w:hAnsi="Times New Roman"/>
      <w:b/>
      <w:bCs/>
      <w:caps/>
      <w:noProof/>
      <w:szCs w:val="24"/>
    </w:rPr>
  </w:style>
  <w:style w:type="paragraph" w:styleId="45">
    <w:name w:val="toc 4"/>
    <w:basedOn w:val="a1"/>
    <w:next w:val="a1"/>
    <w:autoRedefine/>
    <w:uiPriority w:val="39"/>
    <w:rsid w:val="00251D67"/>
    <w:pPr>
      <w:spacing w:after="100" w:line="276" w:lineRule="auto"/>
      <w:ind w:left="660"/>
      <w:jc w:val="left"/>
    </w:pPr>
    <w:rPr>
      <w:rFonts w:ascii="Calibri" w:hAnsi="Calibri"/>
      <w:sz w:val="22"/>
      <w:szCs w:val="22"/>
      <w:lang w:val="en-US"/>
    </w:rPr>
  </w:style>
  <w:style w:type="paragraph" w:styleId="55">
    <w:name w:val="toc 5"/>
    <w:basedOn w:val="a1"/>
    <w:next w:val="a1"/>
    <w:autoRedefine/>
    <w:uiPriority w:val="39"/>
    <w:rsid w:val="00251D67"/>
    <w:pPr>
      <w:spacing w:after="100" w:line="276" w:lineRule="auto"/>
      <w:ind w:left="880"/>
      <w:jc w:val="left"/>
    </w:pPr>
    <w:rPr>
      <w:rFonts w:ascii="Calibri" w:hAnsi="Calibri"/>
      <w:sz w:val="22"/>
      <w:szCs w:val="22"/>
      <w:lang w:val="en-US"/>
    </w:rPr>
  </w:style>
  <w:style w:type="paragraph" w:styleId="61">
    <w:name w:val="toc 6"/>
    <w:basedOn w:val="a1"/>
    <w:next w:val="a1"/>
    <w:autoRedefine/>
    <w:uiPriority w:val="39"/>
    <w:rsid w:val="00251D67"/>
    <w:pPr>
      <w:spacing w:after="100" w:line="276" w:lineRule="auto"/>
      <w:ind w:left="1100"/>
      <w:jc w:val="left"/>
    </w:pPr>
    <w:rPr>
      <w:rFonts w:ascii="Calibri" w:hAnsi="Calibri"/>
      <w:sz w:val="22"/>
      <w:szCs w:val="22"/>
      <w:lang w:val="en-US"/>
    </w:rPr>
  </w:style>
  <w:style w:type="paragraph" w:styleId="71">
    <w:name w:val="toc 7"/>
    <w:basedOn w:val="a1"/>
    <w:next w:val="a1"/>
    <w:autoRedefine/>
    <w:uiPriority w:val="39"/>
    <w:rsid w:val="00251D67"/>
    <w:pPr>
      <w:spacing w:after="100" w:line="276" w:lineRule="auto"/>
      <w:ind w:left="1320"/>
      <w:jc w:val="left"/>
    </w:pPr>
    <w:rPr>
      <w:rFonts w:ascii="Calibri" w:hAnsi="Calibri"/>
      <w:sz w:val="22"/>
      <w:szCs w:val="22"/>
      <w:lang w:val="en-US"/>
    </w:rPr>
  </w:style>
  <w:style w:type="paragraph" w:styleId="81">
    <w:name w:val="toc 8"/>
    <w:basedOn w:val="a1"/>
    <w:next w:val="a1"/>
    <w:autoRedefine/>
    <w:uiPriority w:val="39"/>
    <w:rsid w:val="00251D67"/>
    <w:pPr>
      <w:spacing w:after="100" w:line="276" w:lineRule="auto"/>
      <w:ind w:left="1540"/>
      <w:jc w:val="left"/>
    </w:pPr>
    <w:rPr>
      <w:rFonts w:ascii="Calibri" w:hAnsi="Calibri"/>
      <w:sz w:val="22"/>
      <w:szCs w:val="22"/>
      <w:lang w:val="en-US"/>
    </w:rPr>
  </w:style>
  <w:style w:type="paragraph" w:styleId="91">
    <w:name w:val="toc 9"/>
    <w:basedOn w:val="a1"/>
    <w:next w:val="a1"/>
    <w:autoRedefine/>
    <w:uiPriority w:val="39"/>
    <w:rsid w:val="00251D67"/>
    <w:pPr>
      <w:spacing w:after="100" w:line="276" w:lineRule="auto"/>
      <w:ind w:left="1760"/>
      <w:jc w:val="left"/>
    </w:pPr>
    <w:rPr>
      <w:rFonts w:ascii="Calibri" w:hAnsi="Calibri"/>
      <w:sz w:val="22"/>
      <w:szCs w:val="22"/>
      <w:lang w:val="en-US"/>
    </w:rPr>
  </w:style>
  <w:style w:type="paragraph" w:styleId="affff">
    <w:name w:val="Revision"/>
    <w:hidden/>
    <w:semiHidden/>
    <w:rsid w:val="00D35790"/>
    <w:rPr>
      <w:rFonts w:cs="Times New Roman"/>
      <w:lang w:eastAsia="en-US"/>
    </w:rPr>
  </w:style>
  <w:style w:type="paragraph" w:customStyle="1" w:styleId="stf">
    <w:name w:val="stf"/>
    <w:basedOn w:val="a1"/>
    <w:rsid w:val="00CE3B05"/>
    <w:pPr>
      <w:spacing w:before="100" w:beforeAutospacing="1" w:after="100" w:afterAutospacing="1" w:line="240" w:lineRule="auto"/>
      <w:ind w:left="0"/>
      <w:jc w:val="left"/>
    </w:pPr>
    <w:rPr>
      <w:rFonts w:ascii="Verdana" w:hAnsi="Verdana"/>
      <w:sz w:val="18"/>
      <w:szCs w:val="18"/>
      <w:lang w:eastAsia="ru-RU"/>
    </w:rPr>
  </w:style>
  <w:style w:type="paragraph" w:customStyle="1" w:styleId="st">
    <w:name w:val="st"/>
    <w:basedOn w:val="a1"/>
    <w:rsid w:val="00CE3B05"/>
    <w:pPr>
      <w:spacing w:before="100" w:beforeAutospacing="1" w:after="100" w:afterAutospacing="1" w:line="240" w:lineRule="auto"/>
      <w:ind w:left="0"/>
      <w:jc w:val="left"/>
    </w:pPr>
    <w:rPr>
      <w:rFonts w:ascii="Verdana" w:hAnsi="Verdana"/>
      <w:sz w:val="18"/>
      <w:szCs w:val="18"/>
      <w:lang w:eastAsia="ru-RU"/>
    </w:rPr>
  </w:style>
  <w:style w:type="character" w:styleId="affff0">
    <w:name w:val="footnote reference"/>
    <w:semiHidden/>
    <w:rsid w:val="00CE3B05"/>
    <w:rPr>
      <w:rFonts w:cs="Times New Roman"/>
      <w:vertAlign w:val="superscript"/>
    </w:rPr>
  </w:style>
  <w:style w:type="character" w:customStyle="1" w:styleId="shorttext1">
    <w:name w:val="short_text1"/>
    <w:rsid w:val="004B12C1"/>
    <w:rPr>
      <w:rFonts w:cs="Times New Roman"/>
      <w:sz w:val="25"/>
      <w:szCs w:val="25"/>
    </w:rPr>
  </w:style>
  <w:style w:type="table" w:styleId="affff1">
    <w:name w:val="Table Grid"/>
    <w:basedOn w:val="a4"/>
    <w:uiPriority w:val="59"/>
    <w:rsid w:val="00A01082"/>
    <w:pPr>
      <w:spacing w:after="240" w:line="240" w:lineRule="atLeast"/>
      <w:ind w:left="1077"/>
      <w:jc w:val="both"/>
    </w:pPr>
    <w:rPr>
      <w:rFonts w:cs="Times New Roman"/>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customStyle="1" w:styleId="HeadingNoUnderline">
    <w:name w:val="Heading No Underline"/>
    <w:basedOn w:val="a1"/>
    <w:rsid w:val="00790E20"/>
    <w:pPr>
      <w:spacing w:after="0" w:line="240" w:lineRule="auto"/>
      <w:ind w:left="0"/>
      <w:jc w:val="left"/>
    </w:pPr>
    <w:rPr>
      <w:b/>
      <w:sz w:val="22"/>
      <w:lang w:val="en-GB"/>
    </w:rPr>
  </w:style>
  <w:style w:type="character" w:customStyle="1" w:styleId="s1">
    <w:name w:val="s1"/>
    <w:rsid w:val="009F363B"/>
    <w:rPr>
      <w:rFonts w:ascii="Times New Roman" w:hAnsi="Times New Roman" w:cs="Times New Roman"/>
      <w:b/>
      <w:bCs/>
      <w:color w:val="000000"/>
      <w:sz w:val="20"/>
      <w:szCs w:val="20"/>
      <w:u w:val="none"/>
      <w:effect w:val="none"/>
    </w:rPr>
  </w:style>
  <w:style w:type="paragraph" w:customStyle="1" w:styleId="j12">
    <w:name w:val="j12"/>
    <w:basedOn w:val="a1"/>
    <w:rsid w:val="004E688B"/>
    <w:pPr>
      <w:spacing w:after="0" w:line="240" w:lineRule="auto"/>
      <w:ind w:left="0" w:firstLine="400"/>
      <w:textAlignment w:val="baseline"/>
    </w:pPr>
    <w:rPr>
      <w:rFonts w:ascii="inherit" w:hAnsi="inherit"/>
      <w:color w:val="000000"/>
      <w:sz w:val="24"/>
      <w:szCs w:val="24"/>
      <w:lang w:val="en-US"/>
    </w:rPr>
  </w:style>
  <w:style w:type="paragraph" w:customStyle="1" w:styleId="1a">
    <w:name w:val="заголовок 1"/>
    <w:basedOn w:val="a1"/>
    <w:next w:val="a1"/>
    <w:rsid w:val="00BC7A12"/>
    <w:pPr>
      <w:keepNext/>
      <w:autoSpaceDE w:val="0"/>
      <w:autoSpaceDN w:val="0"/>
      <w:spacing w:after="0" w:line="240" w:lineRule="auto"/>
      <w:ind w:left="0"/>
      <w:jc w:val="right"/>
      <w:outlineLvl w:val="0"/>
    </w:pPr>
    <w:rPr>
      <w:rFonts w:ascii="Times New Roman" w:eastAsia="Times New Roman" w:hAnsi="Times New Roman"/>
      <w:b/>
      <w:bCs/>
      <w:sz w:val="28"/>
      <w:szCs w:val="28"/>
      <w:lang w:eastAsia="ru-RU"/>
    </w:rPr>
  </w:style>
  <w:style w:type="character" w:customStyle="1" w:styleId="EndnoteTextChar1">
    <w:name w:val="Endnote Text Char1"/>
    <w:uiPriority w:val="99"/>
    <w:semiHidden/>
    <w:rsid w:val="00703B4F"/>
    <w:rPr>
      <w:rFonts w:ascii="Arial" w:eastAsia="Calibri" w:hAnsi="Arial" w:cs="Times New Roman"/>
      <w:sz w:val="20"/>
      <w:szCs w:val="20"/>
    </w:rPr>
  </w:style>
  <w:style w:type="character" w:customStyle="1" w:styleId="MacroTextChar1">
    <w:name w:val="Macro Text Char1"/>
    <w:uiPriority w:val="99"/>
    <w:semiHidden/>
    <w:rsid w:val="00703B4F"/>
    <w:rPr>
      <w:rFonts w:ascii="Consolas" w:eastAsia="Calibri" w:hAnsi="Consolas" w:cs="Times New Roman"/>
      <w:sz w:val="20"/>
      <w:szCs w:val="20"/>
    </w:rPr>
  </w:style>
  <w:style w:type="character" w:customStyle="1" w:styleId="Strong1">
    <w:name w:val="Strong1"/>
    <w:rsid w:val="00703B4F"/>
    <w:rPr>
      <w:rFonts w:cs="Times New Roman"/>
      <w:b/>
      <w:i/>
    </w:rPr>
  </w:style>
  <w:style w:type="character" w:customStyle="1" w:styleId="DocumentMapChar1">
    <w:name w:val="Document Map Char1"/>
    <w:uiPriority w:val="99"/>
    <w:semiHidden/>
    <w:rsid w:val="00703B4F"/>
    <w:rPr>
      <w:rFonts w:ascii="Tahoma" w:eastAsia="Calibri" w:hAnsi="Tahoma" w:cs="Tahoma"/>
      <w:sz w:val="16"/>
      <w:szCs w:val="16"/>
    </w:rPr>
  </w:style>
  <w:style w:type="paragraph" w:customStyle="1" w:styleId="affff2">
    <w:name w:val="Содержимое таблицы"/>
    <w:basedOn w:val="a1"/>
    <w:rsid w:val="00F91BBD"/>
    <w:pPr>
      <w:suppressLineNumbers/>
      <w:suppressAutoHyphens/>
      <w:spacing w:after="200" w:line="200" w:lineRule="atLeast"/>
      <w:ind w:left="0"/>
      <w:jc w:val="left"/>
    </w:pPr>
    <w:rPr>
      <w:rFonts w:ascii="Calibri" w:eastAsia="WenQuanYi Zen Hei" w:hAnsi="Calibri" w:cs="Calibri"/>
      <w:color w:val="00000A"/>
      <w:kern w:val="1"/>
      <w:sz w:val="22"/>
      <w:szCs w:val="22"/>
      <w:lang w:eastAsia="zh-CN"/>
    </w:rPr>
  </w:style>
  <w:style w:type="paragraph" w:customStyle="1" w:styleId="affff3">
    <w:name w:val="Стиль"/>
    <w:rsid w:val="00E74387"/>
    <w:pPr>
      <w:widowControl w:val="0"/>
      <w:autoSpaceDE w:val="0"/>
      <w:autoSpaceDN w:val="0"/>
      <w:adjustRightInd w:val="0"/>
    </w:pPr>
    <w:rPr>
      <w:rFonts w:ascii="Times New Roman" w:eastAsia="Times New Roman" w:hAnsi="Times New Roman" w:cs="Times New Roman"/>
      <w:sz w:val="24"/>
      <w:szCs w:val="24"/>
    </w:rPr>
  </w:style>
  <w:style w:type="paragraph" w:customStyle="1" w:styleId="2c">
    <w:name w:val="Обычный2"/>
    <w:rsid w:val="009927C2"/>
    <w:rPr>
      <w:rFonts w:ascii="Times New Roman" w:eastAsia="Times New Roman" w:hAnsi="Times New Roman" w:cs="Times New Roman"/>
      <w:snapToGrid w:val="0"/>
      <w:sz w:val="28"/>
    </w:rPr>
  </w:style>
  <w:style w:type="table" w:customStyle="1" w:styleId="-321">
    <w:name w:val="Список-таблица 3 — акцент 21"/>
    <w:basedOn w:val="a4"/>
    <w:uiPriority w:val="48"/>
    <w:rsid w:val="0099223D"/>
    <w:rPr>
      <w:rFonts w:asciiTheme="minorHAnsi" w:eastAsiaTheme="minorHAnsi" w:hAnsiTheme="minorHAnsi" w:cstheme="minorBidi"/>
      <w:sz w:val="22"/>
      <w:szCs w:val="22"/>
      <w:lang w:val="en-US"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421">
    <w:name w:val="Список-таблица 4 — акцент 21"/>
    <w:basedOn w:val="a4"/>
    <w:uiPriority w:val="49"/>
    <w:rsid w:val="008449F9"/>
    <w:rPr>
      <w:rFonts w:asciiTheme="minorHAnsi" w:eastAsiaTheme="minorHAnsi" w:hAnsiTheme="minorHAnsi" w:cstheme="minorBidi"/>
      <w:sz w:val="22"/>
      <w:szCs w:val="22"/>
      <w:lang w:val="en-US"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541">
    <w:name w:val="Таблица-сетка 5 темная — акцент 41"/>
    <w:basedOn w:val="a4"/>
    <w:uiPriority w:val="50"/>
    <w:rsid w:val="00873761"/>
    <w:rPr>
      <w:rFonts w:asciiTheme="minorHAnsi" w:eastAsiaTheme="minorHAnsi" w:hAnsiTheme="minorHAnsi" w:cstheme="minorBidi"/>
      <w:sz w:val="22"/>
      <w:szCs w:val="22"/>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character" w:customStyle="1" w:styleId="ab">
    <w:name w:val="Абзац списка Знак"/>
    <w:aliases w:val="lp1 Знак,Preambuła Знак"/>
    <w:basedOn w:val="a3"/>
    <w:link w:val="aa"/>
    <w:uiPriority w:val="34"/>
    <w:locked/>
    <w:rsid w:val="00331FED"/>
    <w:rPr>
      <w:rFonts w:cs="Times New Roman"/>
      <w:lang w:eastAsia="en-US"/>
    </w:rPr>
  </w:style>
  <w:style w:type="paragraph" w:customStyle="1" w:styleId="IASBNormalnparaL1">
    <w:name w:val="IASB Normal nparaL1"/>
    <w:basedOn w:val="a1"/>
    <w:rsid w:val="00331FED"/>
    <w:pPr>
      <w:spacing w:before="100" w:after="0" w:line="240" w:lineRule="auto"/>
      <w:ind w:left="1564" w:hanging="782"/>
    </w:pPr>
    <w:rPr>
      <w:rFonts w:ascii="Times New Roman" w:eastAsia="Times New Roman" w:hAnsi="Times New Roman"/>
      <w:sz w:val="19"/>
      <w:szCs w:val="19"/>
      <w:lang w:eastAsia="ru-RU"/>
    </w:rPr>
  </w:style>
  <w:style w:type="paragraph" w:customStyle="1" w:styleId="IASBNormalnpara">
    <w:name w:val="IASB Normal npara"/>
    <w:basedOn w:val="a1"/>
    <w:rsid w:val="007067A4"/>
    <w:pPr>
      <w:spacing w:before="100" w:after="0" w:line="240" w:lineRule="auto"/>
      <w:ind w:left="782" w:hanging="782"/>
    </w:pPr>
    <w:rPr>
      <w:rFonts w:ascii="Times New Roman" w:eastAsia="Times New Roman" w:hAnsi="Times New Roman"/>
      <w:sz w:val="19"/>
      <w:lang w:val="en-US"/>
    </w:rPr>
  </w:style>
  <w:style w:type="paragraph" w:customStyle="1" w:styleId="IASBNormalL1">
    <w:name w:val="IASB Normal L1"/>
    <w:basedOn w:val="a1"/>
    <w:rsid w:val="00B13FE5"/>
    <w:pPr>
      <w:spacing w:before="100" w:after="0" w:line="240" w:lineRule="auto"/>
      <w:ind w:left="782" w:hanging="782"/>
    </w:pPr>
    <w:rPr>
      <w:rFonts w:ascii="Times New Roman" w:eastAsia="Times New Roman" w:hAnsi="Times New Roman"/>
      <w:sz w:val="19"/>
      <w:lang w:val="en-US"/>
    </w:rPr>
  </w:style>
  <w:style w:type="paragraph" w:customStyle="1" w:styleId="IASBTableTNR">
    <w:name w:val="IASB Table TNR"/>
    <w:basedOn w:val="a1"/>
    <w:qFormat/>
    <w:rsid w:val="00B13FE5"/>
    <w:pPr>
      <w:spacing w:before="120" w:after="0" w:line="240" w:lineRule="auto"/>
      <w:ind w:left="0"/>
      <w:jc w:val="left"/>
    </w:pPr>
    <w:rPr>
      <w:rFonts w:ascii="Times New Roman" w:eastAsia="Times New Roman" w:hAnsi="Times New Roman"/>
      <w:sz w:val="19"/>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
    <w:div w:id="112096205">
      <w:bodyDiv w:val="1"/>
      <w:marLeft w:val="0"/>
      <w:marRight w:val="0"/>
      <w:marTop w:val="0"/>
      <w:marBottom w:val="0"/>
      <w:divBdr>
        <w:top w:val="none" w:sz="0" w:space="0" w:color="auto"/>
        <w:left w:val="none" w:sz="0" w:space="0" w:color="auto"/>
        <w:bottom w:val="none" w:sz="0" w:space="0" w:color="auto"/>
        <w:right w:val="none" w:sz="0" w:space="0" w:color="auto"/>
      </w:divBdr>
    </w:div>
    <w:div w:id="271983415">
      <w:bodyDiv w:val="1"/>
      <w:marLeft w:val="0"/>
      <w:marRight w:val="0"/>
      <w:marTop w:val="0"/>
      <w:marBottom w:val="0"/>
      <w:divBdr>
        <w:top w:val="none" w:sz="0" w:space="0" w:color="auto"/>
        <w:left w:val="none" w:sz="0" w:space="0" w:color="auto"/>
        <w:bottom w:val="none" w:sz="0" w:space="0" w:color="auto"/>
        <w:right w:val="none" w:sz="0" w:space="0" w:color="auto"/>
      </w:divBdr>
      <w:divsChild>
        <w:div w:id="1387490788">
          <w:marLeft w:val="0"/>
          <w:marRight w:val="0"/>
          <w:marTop w:val="0"/>
          <w:marBottom w:val="0"/>
          <w:divBdr>
            <w:top w:val="none" w:sz="0" w:space="0" w:color="auto"/>
            <w:left w:val="none" w:sz="0" w:space="0" w:color="auto"/>
            <w:bottom w:val="none" w:sz="0" w:space="0" w:color="auto"/>
            <w:right w:val="none" w:sz="0" w:space="0" w:color="auto"/>
          </w:divBdr>
        </w:div>
        <w:div w:id="2027099438">
          <w:marLeft w:val="0"/>
          <w:marRight w:val="0"/>
          <w:marTop w:val="0"/>
          <w:marBottom w:val="0"/>
          <w:divBdr>
            <w:top w:val="none" w:sz="0" w:space="0" w:color="auto"/>
            <w:left w:val="none" w:sz="0" w:space="0" w:color="auto"/>
            <w:bottom w:val="none" w:sz="0" w:space="0" w:color="auto"/>
            <w:right w:val="none" w:sz="0" w:space="0" w:color="auto"/>
          </w:divBdr>
        </w:div>
        <w:div w:id="77599782">
          <w:marLeft w:val="0"/>
          <w:marRight w:val="0"/>
          <w:marTop w:val="0"/>
          <w:marBottom w:val="0"/>
          <w:divBdr>
            <w:top w:val="none" w:sz="0" w:space="0" w:color="auto"/>
            <w:left w:val="none" w:sz="0" w:space="0" w:color="auto"/>
            <w:bottom w:val="none" w:sz="0" w:space="0" w:color="auto"/>
            <w:right w:val="none" w:sz="0" w:space="0" w:color="auto"/>
          </w:divBdr>
        </w:div>
        <w:div w:id="1924097516">
          <w:marLeft w:val="0"/>
          <w:marRight w:val="0"/>
          <w:marTop w:val="0"/>
          <w:marBottom w:val="0"/>
          <w:divBdr>
            <w:top w:val="none" w:sz="0" w:space="0" w:color="auto"/>
            <w:left w:val="none" w:sz="0" w:space="0" w:color="auto"/>
            <w:bottom w:val="none" w:sz="0" w:space="0" w:color="auto"/>
            <w:right w:val="none" w:sz="0" w:space="0" w:color="auto"/>
          </w:divBdr>
        </w:div>
        <w:div w:id="657726989">
          <w:marLeft w:val="0"/>
          <w:marRight w:val="0"/>
          <w:marTop w:val="0"/>
          <w:marBottom w:val="0"/>
          <w:divBdr>
            <w:top w:val="none" w:sz="0" w:space="0" w:color="auto"/>
            <w:left w:val="none" w:sz="0" w:space="0" w:color="auto"/>
            <w:bottom w:val="none" w:sz="0" w:space="0" w:color="auto"/>
            <w:right w:val="none" w:sz="0" w:space="0" w:color="auto"/>
          </w:divBdr>
        </w:div>
        <w:div w:id="1881815842">
          <w:marLeft w:val="0"/>
          <w:marRight w:val="0"/>
          <w:marTop w:val="0"/>
          <w:marBottom w:val="0"/>
          <w:divBdr>
            <w:top w:val="none" w:sz="0" w:space="0" w:color="auto"/>
            <w:left w:val="none" w:sz="0" w:space="0" w:color="auto"/>
            <w:bottom w:val="none" w:sz="0" w:space="0" w:color="auto"/>
            <w:right w:val="none" w:sz="0" w:space="0" w:color="auto"/>
          </w:divBdr>
        </w:div>
      </w:divsChild>
    </w:div>
    <w:div w:id="794059503">
      <w:bodyDiv w:val="1"/>
      <w:marLeft w:val="0"/>
      <w:marRight w:val="0"/>
      <w:marTop w:val="0"/>
      <w:marBottom w:val="0"/>
      <w:divBdr>
        <w:top w:val="none" w:sz="0" w:space="0" w:color="auto"/>
        <w:left w:val="none" w:sz="0" w:space="0" w:color="auto"/>
        <w:bottom w:val="none" w:sz="0" w:space="0" w:color="auto"/>
        <w:right w:val="none" w:sz="0" w:space="0" w:color="auto"/>
      </w:divBdr>
    </w:div>
    <w:div w:id="937099331">
      <w:bodyDiv w:val="1"/>
      <w:marLeft w:val="0"/>
      <w:marRight w:val="0"/>
      <w:marTop w:val="0"/>
      <w:marBottom w:val="0"/>
      <w:divBdr>
        <w:top w:val="none" w:sz="0" w:space="0" w:color="auto"/>
        <w:left w:val="none" w:sz="0" w:space="0" w:color="auto"/>
        <w:bottom w:val="none" w:sz="0" w:space="0" w:color="auto"/>
        <w:right w:val="none" w:sz="0" w:space="0" w:color="auto"/>
      </w:divBdr>
    </w:div>
    <w:div w:id="1416703880">
      <w:bodyDiv w:val="1"/>
      <w:marLeft w:val="0"/>
      <w:marRight w:val="0"/>
      <w:marTop w:val="0"/>
      <w:marBottom w:val="0"/>
      <w:divBdr>
        <w:top w:val="none" w:sz="0" w:space="0" w:color="auto"/>
        <w:left w:val="none" w:sz="0" w:space="0" w:color="auto"/>
        <w:bottom w:val="none" w:sz="0" w:space="0" w:color="auto"/>
        <w:right w:val="none" w:sz="0" w:space="0" w:color="auto"/>
      </w:divBdr>
    </w:div>
    <w:div w:id="1458990529">
      <w:bodyDiv w:val="1"/>
      <w:marLeft w:val="0"/>
      <w:marRight w:val="0"/>
      <w:marTop w:val="0"/>
      <w:marBottom w:val="0"/>
      <w:divBdr>
        <w:top w:val="none" w:sz="0" w:space="0" w:color="auto"/>
        <w:left w:val="none" w:sz="0" w:space="0" w:color="auto"/>
        <w:bottom w:val="none" w:sz="0" w:space="0" w:color="auto"/>
        <w:right w:val="none" w:sz="0" w:space="0" w:color="auto"/>
      </w:divBdr>
    </w:div>
    <w:div w:id="1520270284">
      <w:bodyDiv w:val="1"/>
      <w:marLeft w:val="0"/>
      <w:marRight w:val="0"/>
      <w:marTop w:val="0"/>
      <w:marBottom w:val="0"/>
      <w:divBdr>
        <w:top w:val="none" w:sz="0" w:space="0" w:color="auto"/>
        <w:left w:val="none" w:sz="0" w:space="0" w:color="auto"/>
        <w:bottom w:val="none" w:sz="0" w:space="0" w:color="auto"/>
        <w:right w:val="none" w:sz="0" w:space="0" w:color="auto"/>
      </w:divBdr>
    </w:div>
    <w:div w:id="1563951159">
      <w:bodyDiv w:val="1"/>
      <w:marLeft w:val="0"/>
      <w:marRight w:val="0"/>
      <w:marTop w:val="0"/>
      <w:marBottom w:val="0"/>
      <w:divBdr>
        <w:top w:val="none" w:sz="0" w:space="0" w:color="auto"/>
        <w:left w:val="none" w:sz="0" w:space="0" w:color="auto"/>
        <w:bottom w:val="none" w:sz="0" w:space="0" w:color="auto"/>
        <w:right w:val="none" w:sz="0" w:space="0" w:color="auto"/>
      </w:divBdr>
      <w:divsChild>
        <w:div w:id="573785146">
          <w:marLeft w:val="0"/>
          <w:marRight w:val="0"/>
          <w:marTop w:val="0"/>
          <w:marBottom w:val="0"/>
          <w:divBdr>
            <w:top w:val="none" w:sz="0" w:space="0" w:color="auto"/>
            <w:left w:val="none" w:sz="0" w:space="0" w:color="auto"/>
            <w:bottom w:val="none" w:sz="0" w:space="0" w:color="auto"/>
            <w:right w:val="none" w:sz="0" w:space="0" w:color="auto"/>
          </w:divBdr>
        </w:div>
        <w:div w:id="185681410">
          <w:marLeft w:val="0"/>
          <w:marRight w:val="0"/>
          <w:marTop w:val="0"/>
          <w:marBottom w:val="0"/>
          <w:divBdr>
            <w:top w:val="none" w:sz="0" w:space="0" w:color="auto"/>
            <w:left w:val="none" w:sz="0" w:space="0" w:color="auto"/>
            <w:bottom w:val="none" w:sz="0" w:space="0" w:color="auto"/>
            <w:right w:val="none" w:sz="0" w:space="0" w:color="auto"/>
          </w:divBdr>
        </w:div>
      </w:divsChild>
    </w:div>
    <w:div w:id="1566063132">
      <w:bodyDiv w:val="1"/>
      <w:marLeft w:val="0"/>
      <w:marRight w:val="0"/>
      <w:marTop w:val="0"/>
      <w:marBottom w:val="0"/>
      <w:divBdr>
        <w:top w:val="none" w:sz="0" w:space="0" w:color="auto"/>
        <w:left w:val="none" w:sz="0" w:space="0" w:color="auto"/>
        <w:bottom w:val="none" w:sz="0" w:space="0" w:color="auto"/>
        <w:right w:val="none" w:sz="0" w:space="0" w:color="auto"/>
      </w:divBdr>
    </w:div>
    <w:div w:id="187407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6.xml"/><Relationship Id="rId21" Type="http://schemas.openxmlformats.org/officeDocument/2006/relationships/header" Target="header11.xml"/><Relationship Id="rId42" Type="http://schemas.openxmlformats.org/officeDocument/2006/relationships/header" Target="header27.xml"/><Relationship Id="rId47" Type="http://schemas.openxmlformats.org/officeDocument/2006/relationships/header" Target="header30.xml"/><Relationship Id="rId63" Type="http://schemas.openxmlformats.org/officeDocument/2006/relationships/image" Target="media/image4.png"/><Relationship Id="rId68" Type="http://schemas.openxmlformats.org/officeDocument/2006/relationships/header" Target="header48.xml"/><Relationship Id="rId84" Type="http://schemas.openxmlformats.org/officeDocument/2006/relationships/header" Target="header62.xml"/><Relationship Id="rId89" Type="http://schemas.openxmlformats.org/officeDocument/2006/relationships/header" Target="header67.xml"/><Relationship Id="rId16" Type="http://schemas.openxmlformats.org/officeDocument/2006/relationships/header" Target="header6.xml"/><Relationship Id="rId11" Type="http://schemas.openxmlformats.org/officeDocument/2006/relationships/header" Target="header1.xml"/><Relationship Id="rId32" Type="http://schemas.openxmlformats.org/officeDocument/2006/relationships/diagramColors" Target="diagrams/colors1.xml"/><Relationship Id="rId37" Type="http://schemas.openxmlformats.org/officeDocument/2006/relationships/header" Target="header22.xml"/><Relationship Id="rId53" Type="http://schemas.openxmlformats.org/officeDocument/2006/relationships/header" Target="header36.xml"/><Relationship Id="rId58" Type="http://schemas.openxmlformats.org/officeDocument/2006/relationships/header" Target="header41.xml"/><Relationship Id="rId74" Type="http://schemas.openxmlformats.org/officeDocument/2006/relationships/header" Target="header54.xml"/><Relationship Id="rId79" Type="http://schemas.openxmlformats.org/officeDocument/2006/relationships/header" Target="header59.xml"/><Relationship Id="rId102"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eader" Target="header68.xml"/><Relationship Id="rId95" Type="http://schemas.openxmlformats.org/officeDocument/2006/relationships/header" Target="header73.xml"/><Relationship Id="rId22" Type="http://schemas.openxmlformats.org/officeDocument/2006/relationships/header" Target="header12.xml"/><Relationship Id="rId27" Type="http://schemas.openxmlformats.org/officeDocument/2006/relationships/header" Target="header17.xml"/><Relationship Id="rId43" Type="http://schemas.openxmlformats.org/officeDocument/2006/relationships/header" Target="header28.xml"/><Relationship Id="rId48" Type="http://schemas.openxmlformats.org/officeDocument/2006/relationships/header" Target="header31.xml"/><Relationship Id="rId64" Type="http://schemas.openxmlformats.org/officeDocument/2006/relationships/header" Target="header44.xml"/><Relationship Id="rId69" Type="http://schemas.openxmlformats.org/officeDocument/2006/relationships/header" Target="header49.xml"/><Relationship Id="rId80" Type="http://schemas.openxmlformats.org/officeDocument/2006/relationships/header" Target="header60.xml"/><Relationship Id="rId85" Type="http://schemas.openxmlformats.org/officeDocument/2006/relationships/header" Target="header63.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15.xml"/><Relationship Id="rId33" Type="http://schemas.microsoft.com/office/2007/relationships/diagramDrawing" Target="diagrams/drawing1.xml"/><Relationship Id="rId38" Type="http://schemas.openxmlformats.org/officeDocument/2006/relationships/header" Target="header23.xml"/><Relationship Id="rId46" Type="http://schemas.openxmlformats.org/officeDocument/2006/relationships/header" Target="header29.xml"/><Relationship Id="rId59" Type="http://schemas.openxmlformats.org/officeDocument/2006/relationships/header" Target="header42.xml"/><Relationship Id="rId67" Type="http://schemas.openxmlformats.org/officeDocument/2006/relationships/header" Target="header47.xml"/><Relationship Id="rId20" Type="http://schemas.openxmlformats.org/officeDocument/2006/relationships/header" Target="header10.xml"/><Relationship Id="rId41" Type="http://schemas.openxmlformats.org/officeDocument/2006/relationships/header" Target="header26.xml"/><Relationship Id="rId54" Type="http://schemas.openxmlformats.org/officeDocument/2006/relationships/header" Target="header37.xml"/><Relationship Id="rId62" Type="http://schemas.openxmlformats.org/officeDocument/2006/relationships/oleObject" Target="embeddings/Microsoft_Visio_2003-2010_Drawing1.vsd"/><Relationship Id="rId70" Type="http://schemas.openxmlformats.org/officeDocument/2006/relationships/header" Target="header50.xml"/><Relationship Id="rId75" Type="http://schemas.openxmlformats.org/officeDocument/2006/relationships/header" Target="header55.xml"/><Relationship Id="rId83" Type="http://schemas.openxmlformats.org/officeDocument/2006/relationships/header" Target="header61.xml"/><Relationship Id="rId88" Type="http://schemas.openxmlformats.org/officeDocument/2006/relationships/header" Target="header66.xml"/><Relationship Id="rId91" Type="http://schemas.openxmlformats.org/officeDocument/2006/relationships/header" Target="header69.xml"/><Relationship Id="rId96" Type="http://schemas.openxmlformats.org/officeDocument/2006/relationships/header" Target="header7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36" Type="http://schemas.openxmlformats.org/officeDocument/2006/relationships/header" Target="header21.xml"/><Relationship Id="rId49" Type="http://schemas.openxmlformats.org/officeDocument/2006/relationships/header" Target="header32.xml"/><Relationship Id="rId57" Type="http://schemas.openxmlformats.org/officeDocument/2006/relationships/header" Target="header40.xml"/><Relationship Id="rId10" Type="http://schemas.openxmlformats.org/officeDocument/2006/relationships/footer" Target="footer2.xml"/><Relationship Id="rId31" Type="http://schemas.openxmlformats.org/officeDocument/2006/relationships/diagramQuickStyle" Target="diagrams/quickStyle1.xml"/><Relationship Id="rId44" Type="http://schemas.openxmlformats.org/officeDocument/2006/relationships/image" Target="media/image2.wmf"/><Relationship Id="rId52" Type="http://schemas.openxmlformats.org/officeDocument/2006/relationships/header" Target="header35.xml"/><Relationship Id="rId60" Type="http://schemas.openxmlformats.org/officeDocument/2006/relationships/header" Target="header43.xml"/><Relationship Id="rId65" Type="http://schemas.openxmlformats.org/officeDocument/2006/relationships/header" Target="header45.xml"/><Relationship Id="rId73" Type="http://schemas.openxmlformats.org/officeDocument/2006/relationships/header" Target="header53.xml"/><Relationship Id="rId78" Type="http://schemas.openxmlformats.org/officeDocument/2006/relationships/header" Target="header58.xml"/><Relationship Id="rId81" Type="http://schemas.openxmlformats.org/officeDocument/2006/relationships/image" Target="media/image5.wmf"/><Relationship Id="rId86" Type="http://schemas.openxmlformats.org/officeDocument/2006/relationships/header" Target="header64.xml"/><Relationship Id="rId94" Type="http://schemas.openxmlformats.org/officeDocument/2006/relationships/header" Target="header72.xml"/><Relationship Id="rId99" Type="http://schemas.openxmlformats.org/officeDocument/2006/relationships/header" Target="header77.xm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8.xml"/><Relationship Id="rId39" Type="http://schemas.openxmlformats.org/officeDocument/2006/relationships/header" Target="header24.xml"/><Relationship Id="rId34" Type="http://schemas.openxmlformats.org/officeDocument/2006/relationships/header" Target="header19.xml"/><Relationship Id="rId50" Type="http://schemas.openxmlformats.org/officeDocument/2006/relationships/header" Target="header33.xml"/><Relationship Id="rId55" Type="http://schemas.openxmlformats.org/officeDocument/2006/relationships/header" Target="header38.xml"/><Relationship Id="rId76" Type="http://schemas.openxmlformats.org/officeDocument/2006/relationships/header" Target="header56.xml"/><Relationship Id="rId97" Type="http://schemas.openxmlformats.org/officeDocument/2006/relationships/header" Target="header75.xml"/><Relationship Id="rId7" Type="http://schemas.openxmlformats.org/officeDocument/2006/relationships/endnotes" Target="endnotes.xml"/><Relationship Id="rId71" Type="http://schemas.openxmlformats.org/officeDocument/2006/relationships/header" Target="header51.xml"/><Relationship Id="rId92" Type="http://schemas.openxmlformats.org/officeDocument/2006/relationships/header" Target="header70.xml"/><Relationship Id="rId2" Type="http://schemas.openxmlformats.org/officeDocument/2006/relationships/numbering" Target="numbering.xml"/><Relationship Id="rId29" Type="http://schemas.openxmlformats.org/officeDocument/2006/relationships/diagramData" Target="diagrams/data1.xml"/><Relationship Id="rId24" Type="http://schemas.openxmlformats.org/officeDocument/2006/relationships/header" Target="header14.xml"/><Relationship Id="rId40" Type="http://schemas.openxmlformats.org/officeDocument/2006/relationships/header" Target="header25.xml"/><Relationship Id="rId45" Type="http://schemas.openxmlformats.org/officeDocument/2006/relationships/oleObject" Target="embeddings/Microsoft_Visio_2003-2010_Drawing.vsd"/><Relationship Id="rId66" Type="http://schemas.openxmlformats.org/officeDocument/2006/relationships/header" Target="header46.xml"/><Relationship Id="rId87" Type="http://schemas.openxmlformats.org/officeDocument/2006/relationships/header" Target="header65.xml"/><Relationship Id="rId61" Type="http://schemas.openxmlformats.org/officeDocument/2006/relationships/image" Target="media/image3.emf"/><Relationship Id="rId82" Type="http://schemas.openxmlformats.org/officeDocument/2006/relationships/oleObject" Target="embeddings/Microsoft_Visio_2003-2010_Drawing2.vsd"/><Relationship Id="rId19" Type="http://schemas.openxmlformats.org/officeDocument/2006/relationships/header" Target="header9.xml"/><Relationship Id="rId14" Type="http://schemas.openxmlformats.org/officeDocument/2006/relationships/header" Target="header4.xml"/><Relationship Id="rId30" Type="http://schemas.openxmlformats.org/officeDocument/2006/relationships/diagramLayout" Target="diagrams/layout1.xml"/><Relationship Id="rId35" Type="http://schemas.openxmlformats.org/officeDocument/2006/relationships/header" Target="header20.xml"/><Relationship Id="rId56" Type="http://schemas.openxmlformats.org/officeDocument/2006/relationships/header" Target="header39.xml"/><Relationship Id="rId77" Type="http://schemas.openxmlformats.org/officeDocument/2006/relationships/header" Target="header57.xml"/><Relationship Id="rId100" Type="http://schemas.openxmlformats.org/officeDocument/2006/relationships/header" Target="header78.xml"/><Relationship Id="rId8" Type="http://schemas.openxmlformats.org/officeDocument/2006/relationships/image" Target="media/image1.jpeg"/><Relationship Id="rId51" Type="http://schemas.openxmlformats.org/officeDocument/2006/relationships/header" Target="header34.xml"/><Relationship Id="rId72" Type="http://schemas.openxmlformats.org/officeDocument/2006/relationships/header" Target="header52.xml"/><Relationship Id="rId93" Type="http://schemas.openxmlformats.org/officeDocument/2006/relationships/header" Target="header71.xml"/><Relationship Id="rId98" Type="http://schemas.openxmlformats.org/officeDocument/2006/relationships/header" Target="header76.xml"/><Relationship Id="rId3"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F9718F6-8B68-4966-9319-727A737E03F9}" type="doc">
      <dgm:prSet loTypeId="urn:microsoft.com/office/officeart/2005/8/layout/radial4" loCatId="relationship" qsTypeId="urn:microsoft.com/office/officeart/2005/8/quickstyle/simple1" qsCatId="simple" csTypeId="urn:microsoft.com/office/officeart/2005/8/colors/accent2_2" csCatId="accent2" phldr="1"/>
      <dgm:spPr/>
      <dgm:t>
        <a:bodyPr/>
        <a:lstStyle/>
        <a:p>
          <a:endParaRPr lang="en-GB"/>
        </a:p>
      </dgm:t>
    </dgm:pt>
    <dgm:pt modelId="{D160837D-FFA1-4B7A-870F-9B9F730E8C00}">
      <dgm:prSet phldrT="[Text]"/>
      <dgm:spPr>
        <a:solidFill>
          <a:srgbClr val="A32020"/>
        </a:solidFill>
      </dgm:spPr>
      <dgm:t>
        <a:bodyPr/>
        <a:lstStyle/>
        <a:p>
          <a:pPr algn="ctr"/>
          <a:r>
            <a:rPr lang="ru-RU">
              <a:latin typeface="Georgia" panose="02040502050405020303" pitchFamily="18" charset="0"/>
            </a:rPr>
            <a:t>ССОПУ</a:t>
          </a:r>
          <a:endParaRPr lang="en-GB">
            <a:latin typeface="Georgia" panose="02040502050405020303" pitchFamily="18" charset="0"/>
          </a:endParaRPr>
        </a:p>
      </dgm:t>
    </dgm:pt>
    <dgm:pt modelId="{60949B73-C8F2-4A5B-B7CD-640461B48C34}" type="parTrans" cxnId="{ACB9533F-6B6A-4036-B731-140BD3E7A4B8}">
      <dgm:prSet/>
      <dgm:spPr/>
      <dgm:t>
        <a:bodyPr/>
        <a:lstStyle/>
        <a:p>
          <a:pPr algn="ctr"/>
          <a:endParaRPr lang="en-GB">
            <a:latin typeface="Georgia" panose="02040502050405020303" pitchFamily="18" charset="0"/>
          </a:endParaRPr>
        </a:p>
      </dgm:t>
    </dgm:pt>
    <dgm:pt modelId="{AFBADFBC-779C-4052-9C65-2964DDE822D8}" type="sibTrans" cxnId="{ACB9533F-6B6A-4036-B731-140BD3E7A4B8}">
      <dgm:prSet/>
      <dgm:spPr/>
      <dgm:t>
        <a:bodyPr/>
        <a:lstStyle/>
        <a:p>
          <a:pPr algn="ctr"/>
          <a:endParaRPr lang="en-GB">
            <a:latin typeface="Georgia" panose="02040502050405020303" pitchFamily="18" charset="0"/>
          </a:endParaRPr>
        </a:p>
      </dgm:t>
    </dgm:pt>
    <dgm:pt modelId="{7C52F264-BE88-4329-BFB8-F878CCE77E4F}">
      <dgm:prSet phldrT="[Text]"/>
      <dgm:spPr>
        <a:solidFill>
          <a:srgbClr val="D32E4B"/>
        </a:solidFill>
      </dgm:spPr>
      <dgm:t>
        <a:bodyPr/>
        <a:lstStyle/>
        <a:p>
          <a:pPr algn="ctr"/>
          <a:r>
            <a:rPr lang="ru-RU">
              <a:latin typeface="Georgia" panose="02040502050405020303" pitchFamily="18" charset="0"/>
            </a:rPr>
            <a:t>Предусмотренные договором денежные потоки не проходят тест </a:t>
          </a:r>
          <a:r>
            <a:rPr lang="en-GB">
              <a:latin typeface="Georgia" panose="02040502050405020303" pitchFamily="18" charset="0"/>
            </a:rPr>
            <a:t>SPPI</a:t>
          </a:r>
        </a:p>
      </dgm:t>
    </dgm:pt>
    <dgm:pt modelId="{466FF99A-84F3-46CC-972F-CB60EFCABD55}" type="parTrans" cxnId="{33E5A089-1A8A-4AF8-B58B-14013F4C581A}">
      <dgm:prSet/>
      <dgm:spPr/>
      <dgm:t>
        <a:bodyPr/>
        <a:lstStyle/>
        <a:p>
          <a:pPr algn="ctr"/>
          <a:endParaRPr lang="en-GB">
            <a:latin typeface="Georgia" panose="02040502050405020303" pitchFamily="18" charset="0"/>
          </a:endParaRPr>
        </a:p>
      </dgm:t>
    </dgm:pt>
    <dgm:pt modelId="{CE962EA9-86A8-4641-AA02-49FAF1129CD9}" type="sibTrans" cxnId="{33E5A089-1A8A-4AF8-B58B-14013F4C581A}">
      <dgm:prSet/>
      <dgm:spPr/>
      <dgm:t>
        <a:bodyPr/>
        <a:lstStyle/>
        <a:p>
          <a:pPr algn="ctr"/>
          <a:endParaRPr lang="en-GB">
            <a:latin typeface="Georgia" panose="02040502050405020303" pitchFamily="18" charset="0"/>
          </a:endParaRPr>
        </a:p>
      </dgm:t>
    </dgm:pt>
    <dgm:pt modelId="{6F1E051D-2FB9-49DD-99B0-A8F6DC5C4528}">
      <dgm:prSet phldrT="[Text]"/>
      <dgm:spPr>
        <a:solidFill>
          <a:srgbClr val="D32E4B"/>
        </a:solidFill>
      </dgm:spPr>
      <dgm:t>
        <a:bodyPr/>
        <a:lstStyle/>
        <a:p>
          <a:pPr algn="ctr"/>
          <a:r>
            <a:rPr lang="ru-RU">
              <a:latin typeface="Georgia" panose="02040502050405020303" pitchFamily="18" charset="0"/>
            </a:rPr>
            <a:t>Цель - максимизация потоков денежных средств через  продажи </a:t>
          </a:r>
          <a:endParaRPr lang="en-GB">
            <a:latin typeface="Georgia" panose="02040502050405020303" pitchFamily="18" charset="0"/>
          </a:endParaRPr>
        </a:p>
      </dgm:t>
    </dgm:pt>
    <dgm:pt modelId="{F031B083-DD90-4E1E-8340-49EA4B787BD4}" type="parTrans" cxnId="{18FF62AA-898D-421C-BD83-819C1C892D51}">
      <dgm:prSet/>
      <dgm:spPr/>
      <dgm:t>
        <a:bodyPr/>
        <a:lstStyle/>
        <a:p>
          <a:pPr algn="ctr"/>
          <a:endParaRPr lang="en-GB">
            <a:latin typeface="Georgia" panose="02040502050405020303" pitchFamily="18" charset="0"/>
          </a:endParaRPr>
        </a:p>
      </dgm:t>
    </dgm:pt>
    <dgm:pt modelId="{5AF069A7-BB2B-4AC0-9BA6-34DC2324AD3A}" type="sibTrans" cxnId="{18FF62AA-898D-421C-BD83-819C1C892D51}">
      <dgm:prSet/>
      <dgm:spPr/>
      <dgm:t>
        <a:bodyPr/>
        <a:lstStyle/>
        <a:p>
          <a:pPr algn="ctr"/>
          <a:endParaRPr lang="en-GB">
            <a:latin typeface="Georgia" panose="02040502050405020303" pitchFamily="18" charset="0"/>
          </a:endParaRPr>
        </a:p>
      </dgm:t>
    </dgm:pt>
    <dgm:pt modelId="{5A7FCF2D-93BD-4F4A-A5B5-539ECAE7236F}">
      <dgm:prSet phldrT="[Text]"/>
      <dgm:spPr>
        <a:solidFill>
          <a:srgbClr val="D32E4B"/>
        </a:solidFill>
      </dgm:spPr>
      <dgm:t>
        <a:bodyPr/>
        <a:lstStyle/>
        <a:p>
          <a:pPr algn="ctr"/>
          <a:r>
            <a:rPr lang="ru-RU">
              <a:latin typeface="Georgia" panose="02040502050405020303" pitchFamily="18" charset="0"/>
            </a:rPr>
            <a:t>Опция учета по СС (без права последующей реклассификации)</a:t>
          </a:r>
          <a:endParaRPr lang="en-GB">
            <a:latin typeface="Georgia" panose="02040502050405020303" pitchFamily="18" charset="0"/>
          </a:endParaRPr>
        </a:p>
      </dgm:t>
    </dgm:pt>
    <dgm:pt modelId="{941E8343-ECC2-437C-8C6D-C7DB943B8EC3}" type="parTrans" cxnId="{7AF41E20-335F-4F7E-86C5-223D22DBD847}">
      <dgm:prSet/>
      <dgm:spPr/>
      <dgm:t>
        <a:bodyPr/>
        <a:lstStyle/>
        <a:p>
          <a:pPr algn="ctr"/>
          <a:endParaRPr lang="en-GB">
            <a:latin typeface="Georgia" panose="02040502050405020303" pitchFamily="18" charset="0"/>
          </a:endParaRPr>
        </a:p>
      </dgm:t>
    </dgm:pt>
    <dgm:pt modelId="{6073B23A-2103-467A-9821-0E35E17AB7E0}" type="sibTrans" cxnId="{7AF41E20-335F-4F7E-86C5-223D22DBD847}">
      <dgm:prSet/>
      <dgm:spPr/>
      <dgm:t>
        <a:bodyPr/>
        <a:lstStyle/>
        <a:p>
          <a:pPr algn="ctr"/>
          <a:endParaRPr lang="en-GB">
            <a:latin typeface="Georgia" panose="02040502050405020303" pitchFamily="18" charset="0"/>
          </a:endParaRPr>
        </a:p>
      </dgm:t>
    </dgm:pt>
    <dgm:pt modelId="{70F9CD37-992C-410C-8E77-CD966226889A}">
      <dgm:prSet phldrT="[Text]"/>
      <dgm:spPr>
        <a:solidFill>
          <a:srgbClr val="D32E4B"/>
        </a:solidFill>
      </dgm:spPr>
      <dgm:t>
        <a:bodyPr/>
        <a:lstStyle/>
        <a:p>
          <a:pPr algn="ctr"/>
          <a:r>
            <a:rPr lang="ru-RU">
              <a:latin typeface="Georgia" panose="02040502050405020303" pitchFamily="18" charset="0"/>
            </a:rPr>
            <a:t>Рукодство управляет активами основываясь на справедливой стоимости</a:t>
          </a:r>
          <a:endParaRPr lang="en-GB">
            <a:latin typeface="Georgia" panose="02040502050405020303" pitchFamily="18" charset="0"/>
          </a:endParaRPr>
        </a:p>
      </dgm:t>
    </dgm:pt>
    <dgm:pt modelId="{FDAAF228-0B08-4688-B6D8-093FB67E340C}" type="parTrans" cxnId="{C9E442CA-82A3-4BCA-9E90-B70480629C8A}">
      <dgm:prSet/>
      <dgm:spPr/>
      <dgm:t>
        <a:bodyPr/>
        <a:lstStyle/>
        <a:p>
          <a:pPr algn="ctr"/>
          <a:endParaRPr lang="en-GB">
            <a:latin typeface="Georgia" panose="02040502050405020303" pitchFamily="18" charset="0"/>
          </a:endParaRPr>
        </a:p>
      </dgm:t>
    </dgm:pt>
    <dgm:pt modelId="{0609C0DC-82B0-4314-91C9-BC410E28028B}" type="sibTrans" cxnId="{C9E442CA-82A3-4BCA-9E90-B70480629C8A}">
      <dgm:prSet/>
      <dgm:spPr/>
      <dgm:t>
        <a:bodyPr/>
        <a:lstStyle/>
        <a:p>
          <a:pPr algn="ctr"/>
          <a:endParaRPr lang="en-GB">
            <a:latin typeface="Georgia" panose="02040502050405020303" pitchFamily="18" charset="0"/>
          </a:endParaRPr>
        </a:p>
      </dgm:t>
    </dgm:pt>
    <dgm:pt modelId="{42EC15D3-B8B5-418E-9356-D94984DEA2B4}">
      <dgm:prSet phldrT="[Text]"/>
      <dgm:spPr>
        <a:solidFill>
          <a:srgbClr val="D32E4B"/>
        </a:solidFill>
      </dgm:spPr>
      <dgm:t>
        <a:bodyPr/>
        <a:lstStyle/>
        <a:p>
          <a:pPr algn="ctr"/>
          <a:r>
            <a:rPr lang="ru-RU">
              <a:latin typeface="Georgia" panose="02040502050405020303" pitchFamily="18" charset="0"/>
            </a:rPr>
            <a:t>Портфель для торговли</a:t>
          </a:r>
          <a:endParaRPr lang="en-GB">
            <a:latin typeface="Georgia" panose="02040502050405020303" pitchFamily="18" charset="0"/>
          </a:endParaRPr>
        </a:p>
      </dgm:t>
    </dgm:pt>
    <dgm:pt modelId="{44306821-782E-46B5-8B56-7B2A09DD0FFE}" type="parTrans" cxnId="{0CCA52FA-03C4-4D39-8EBE-5BBAFFF61C61}">
      <dgm:prSet/>
      <dgm:spPr/>
      <dgm:t>
        <a:bodyPr/>
        <a:lstStyle/>
        <a:p>
          <a:pPr algn="ctr"/>
          <a:endParaRPr lang="en-GB">
            <a:latin typeface="Georgia" panose="02040502050405020303" pitchFamily="18" charset="0"/>
          </a:endParaRPr>
        </a:p>
      </dgm:t>
    </dgm:pt>
    <dgm:pt modelId="{B104AC31-6818-46BF-B63B-034D7521502B}" type="sibTrans" cxnId="{0CCA52FA-03C4-4D39-8EBE-5BBAFFF61C61}">
      <dgm:prSet/>
      <dgm:spPr/>
      <dgm:t>
        <a:bodyPr/>
        <a:lstStyle/>
        <a:p>
          <a:pPr algn="ctr"/>
          <a:endParaRPr lang="en-GB">
            <a:latin typeface="Georgia" panose="02040502050405020303" pitchFamily="18" charset="0"/>
          </a:endParaRPr>
        </a:p>
      </dgm:t>
    </dgm:pt>
    <dgm:pt modelId="{1FA841C4-14FC-4123-9DE2-0F02A568C6AD}" type="pres">
      <dgm:prSet presAssocID="{6F9718F6-8B68-4966-9319-727A737E03F9}" presName="cycle" presStyleCnt="0">
        <dgm:presLayoutVars>
          <dgm:chMax val="1"/>
          <dgm:dir/>
          <dgm:animLvl val="ctr"/>
          <dgm:resizeHandles val="exact"/>
        </dgm:presLayoutVars>
      </dgm:prSet>
      <dgm:spPr/>
    </dgm:pt>
    <dgm:pt modelId="{BF875812-4005-4894-BB15-427D42867E27}" type="pres">
      <dgm:prSet presAssocID="{D160837D-FFA1-4B7A-870F-9B9F730E8C00}" presName="centerShape" presStyleLbl="node0" presStyleIdx="0" presStyleCnt="1"/>
      <dgm:spPr/>
    </dgm:pt>
    <dgm:pt modelId="{8298BDEC-72FA-4151-9CBB-C72BACFAA2A0}" type="pres">
      <dgm:prSet presAssocID="{466FF99A-84F3-46CC-972F-CB60EFCABD55}" presName="parTrans" presStyleLbl="bgSibTrans2D1" presStyleIdx="0" presStyleCnt="5"/>
      <dgm:spPr/>
    </dgm:pt>
    <dgm:pt modelId="{0DA7998F-6A3C-4E74-8ACA-9163855D2BB7}" type="pres">
      <dgm:prSet presAssocID="{7C52F264-BE88-4329-BFB8-F878CCE77E4F}" presName="node" presStyleLbl="node1" presStyleIdx="0" presStyleCnt="5">
        <dgm:presLayoutVars>
          <dgm:bulletEnabled val="1"/>
        </dgm:presLayoutVars>
      </dgm:prSet>
      <dgm:spPr/>
    </dgm:pt>
    <dgm:pt modelId="{F8FC158D-88E4-49F0-9FE8-2D9A94CBB427}" type="pres">
      <dgm:prSet presAssocID="{F031B083-DD90-4E1E-8340-49EA4B787BD4}" presName="parTrans" presStyleLbl="bgSibTrans2D1" presStyleIdx="1" presStyleCnt="5"/>
      <dgm:spPr/>
    </dgm:pt>
    <dgm:pt modelId="{D7A1A4B9-FF71-4C3E-BE42-8A1058DA1500}" type="pres">
      <dgm:prSet presAssocID="{6F1E051D-2FB9-49DD-99B0-A8F6DC5C4528}" presName="node" presStyleLbl="node1" presStyleIdx="1" presStyleCnt="5">
        <dgm:presLayoutVars>
          <dgm:bulletEnabled val="1"/>
        </dgm:presLayoutVars>
      </dgm:prSet>
      <dgm:spPr/>
    </dgm:pt>
    <dgm:pt modelId="{AC0D0951-5762-4853-A5F6-0A5D8D6366E6}" type="pres">
      <dgm:prSet presAssocID="{941E8343-ECC2-437C-8C6D-C7DB943B8EC3}" presName="parTrans" presStyleLbl="bgSibTrans2D1" presStyleIdx="2" presStyleCnt="5"/>
      <dgm:spPr/>
    </dgm:pt>
    <dgm:pt modelId="{EBF64830-1736-4F6B-B941-6C3FEAB941D1}" type="pres">
      <dgm:prSet presAssocID="{5A7FCF2D-93BD-4F4A-A5B5-539ECAE7236F}" presName="node" presStyleLbl="node1" presStyleIdx="2" presStyleCnt="5">
        <dgm:presLayoutVars>
          <dgm:bulletEnabled val="1"/>
        </dgm:presLayoutVars>
      </dgm:prSet>
      <dgm:spPr/>
    </dgm:pt>
    <dgm:pt modelId="{90063E14-7BAB-4A82-91F4-731A5C29D225}" type="pres">
      <dgm:prSet presAssocID="{FDAAF228-0B08-4688-B6D8-093FB67E340C}" presName="parTrans" presStyleLbl="bgSibTrans2D1" presStyleIdx="3" presStyleCnt="5"/>
      <dgm:spPr/>
    </dgm:pt>
    <dgm:pt modelId="{53CDE5AB-AA11-403E-BFD3-05656303744D}" type="pres">
      <dgm:prSet presAssocID="{70F9CD37-992C-410C-8E77-CD966226889A}" presName="node" presStyleLbl="node1" presStyleIdx="3" presStyleCnt="5">
        <dgm:presLayoutVars>
          <dgm:bulletEnabled val="1"/>
        </dgm:presLayoutVars>
      </dgm:prSet>
      <dgm:spPr/>
    </dgm:pt>
    <dgm:pt modelId="{DA8A4E8B-6484-4C58-8BE7-B6C6E7888EE4}" type="pres">
      <dgm:prSet presAssocID="{44306821-782E-46B5-8B56-7B2A09DD0FFE}" presName="parTrans" presStyleLbl="bgSibTrans2D1" presStyleIdx="4" presStyleCnt="5"/>
      <dgm:spPr/>
    </dgm:pt>
    <dgm:pt modelId="{05B222EB-72AD-4A4E-885A-BAA0A9B9FE61}" type="pres">
      <dgm:prSet presAssocID="{42EC15D3-B8B5-418E-9356-D94984DEA2B4}" presName="node" presStyleLbl="node1" presStyleIdx="4" presStyleCnt="5">
        <dgm:presLayoutVars>
          <dgm:bulletEnabled val="1"/>
        </dgm:presLayoutVars>
      </dgm:prSet>
      <dgm:spPr/>
    </dgm:pt>
  </dgm:ptLst>
  <dgm:cxnLst>
    <dgm:cxn modelId="{3416BD13-9BE2-4ED6-9379-BF8A32ACFEB7}" type="presOf" srcId="{941E8343-ECC2-437C-8C6D-C7DB943B8EC3}" destId="{AC0D0951-5762-4853-A5F6-0A5D8D6366E6}" srcOrd="0" destOrd="0" presId="urn:microsoft.com/office/officeart/2005/8/layout/radial4"/>
    <dgm:cxn modelId="{92B0671A-6F74-42C6-BE9E-799E4BE29FE7}" type="presOf" srcId="{6F1E051D-2FB9-49DD-99B0-A8F6DC5C4528}" destId="{D7A1A4B9-FF71-4C3E-BE42-8A1058DA1500}" srcOrd="0" destOrd="0" presId="urn:microsoft.com/office/officeart/2005/8/layout/radial4"/>
    <dgm:cxn modelId="{7AF41E20-335F-4F7E-86C5-223D22DBD847}" srcId="{D160837D-FFA1-4B7A-870F-9B9F730E8C00}" destId="{5A7FCF2D-93BD-4F4A-A5B5-539ECAE7236F}" srcOrd="2" destOrd="0" parTransId="{941E8343-ECC2-437C-8C6D-C7DB943B8EC3}" sibTransId="{6073B23A-2103-467A-9821-0E35E17AB7E0}"/>
    <dgm:cxn modelId="{C41C7531-3748-4CAE-B42E-671F79F61CFA}" type="presOf" srcId="{5A7FCF2D-93BD-4F4A-A5B5-539ECAE7236F}" destId="{EBF64830-1736-4F6B-B941-6C3FEAB941D1}" srcOrd="0" destOrd="0" presId="urn:microsoft.com/office/officeart/2005/8/layout/radial4"/>
    <dgm:cxn modelId="{ACB9533F-6B6A-4036-B731-140BD3E7A4B8}" srcId="{6F9718F6-8B68-4966-9319-727A737E03F9}" destId="{D160837D-FFA1-4B7A-870F-9B9F730E8C00}" srcOrd="0" destOrd="0" parTransId="{60949B73-C8F2-4A5B-B7CD-640461B48C34}" sibTransId="{AFBADFBC-779C-4052-9C65-2964DDE822D8}"/>
    <dgm:cxn modelId="{5621DA67-1C18-48F7-B76D-99B6D00B41CE}" type="presOf" srcId="{6F9718F6-8B68-4966-9319-727A737E03F9}" destId="{1FA841C4-14FC-4123-9DE2-0F02A568C6AD}" srcOrd="0" destOrd="0" presId="urn:microsoft.com/office/officeart/2005/8/layout/radial4"/>
    <dgm:cxn modelId="{F5E78277-8F54-4E79-9329-B8ED03A793CE}" type="presOf" srcId="{44306821-782E-46B5-8B56-7B2A09DD0FFE}" destId="{DA8A4E8B-6484-4C58-8BE7-B6C6E7888EE4}" srcOrd="0" destOrd="0" presId="urn:microsoft.com/office/officeart/2005/8/layout/radial4"/>
    <dgm:cxn modelId="{33E5A089-1A8A-4AF8-B58B-14013F4C581A}" srcId="{D160837D-FFA1-4B7A-870F-9B9F730E8C00}" destId="{7C52F264-BE88-4329-BFB8-F878CCE77E4F}" srcOrd="0" destOrd="0" parTransId="{466FF99A-84F3-46CC-972F-CB60EFCABD55}" sibTransId="{CE962EA9-86A8-4641-AA02-49FAF1129CD9}"/>
    <dgm:cxn modelId="{ED77D38D-581F-43E9-8037-FD3127CEB58B}" type="presOf" srcId="{FDAAF228-0B08-4688-B6D8-093FB67E340C}" destId="{90063E14-7BAB-4A82-91F4-731A5C29D225}" srcOrd="0" destOrd="0" presId="urn:microsoft.com/office/officeart/2005/8/layout/radial4"/>
    <dgm:cxn modelId="{104B3598-3CAD-4643-80FD-E1AB52275EC5}" type="presOf" srcId="{70F9CD37-992C-410C-8E77-CD966226889A}" destId="{53CDE5AB-AA11-403E-BFD3-05656303744D}" srcOrd="0" destOrd="0" presId="urn:microsoft.com/office/officeart/2005/8/layout/radial4"/>
    <dgm:cxn modelId="{18FF62AA-898D-421C-BD83-819C1C892D51}" srcId="{D160837D-FFA1-4B7A-870F-9B9F730E8C00}" destId="{6F1E051D-2FB9-49DD-99B0-A8F6DC5C4528}" srcOrd="1" destOrd="0" parTransId="{F031B083-DD90-4E1E-8340-49EA4B787BD4}" sibTransId="{5AF069A7-BB2B-4AC0-9BA6-34DC2324AD3A}"/>
    <dgm:cxn modelId="{D32A5EAC-F274-41D6-9FEC-93E15AC4D2CC}" type="presOf" srcId="{466FF99A-84F3-46CC-972F-CB60EFCABD55}" destId="{8298BDEC-72FA-4151-9CBB-C72BACFAA2A0}" srcOrd="0" destOrd="0" presId="urn:microsoft.com/office/officeart/2005/8/layout/radial4"/>
    <dgm:cxn modelId="{DC5540B0-B945-4D7A-A889-E1E15A57315F}" type="presOf" srcId="{F031B083-DD90-4E1E-8340-49EA4B787BD4}" destId="{F8FC158D-88E4-49F0-9FE8-2D9A94CBB427}" srcOrd="0" destOrd="0" presId="urn:microsoft.com/office/officeart/2005/8/layout/radial4"/>
    <dgm:cxn modelId="{3EDBEDB2-66E2-4A97-AC0E-8A8C8548DB41}" type="presOf" srcId="{D160837D-FFA1-4B7A-870F-9B9F730E8C00}" destId="{BF875812-4005-4894-BB15-427D42867E27}" srcOrd="0" destOrd="0" presId="urn:microsoft.com/office/officeart/2005/8/layout/radial4"/>
    <dgm:cxn modelId="{C9E442CA-82A3-4BCA-9E90-B70480629C8A}" srcId="{D160837D-FFA1-4B7A-870F-9B9F730E8C00}" destId="{70F9CD37-992C-410C-8E77-CD966226889A}" srcOrd="3" destOrd="0" parTransId="{FDAAF228-0B08-4688-B6D8-093FB67E340C}" sibTransId="{0609C0DC-82B0-4314-91C9-BC410E28028B}"/>
    <dgm:cxn modelId="{362266EA-CFB0-4D11-A7AC-7826F7D9EC7A}" type="presOf" srcId="{42EC15D3-B8B5-418E-9356-D94984DEA2B4}" destId="{05B222EB-72AD-4A4E-885A-BAA0A9B9FE61}" srcOrd="0" destOrd="0" presId="urn:microsoft.com/office/officeart/2005/8/layout/radial4"/>
    <dgm:cxn modelId="{A50172F1-0A12-490F-88E7-82BC8280BEA1}" type="presOf" srcId="{7C52F264-BE88-4329-BFB8-F878CCE77E4F}" destId="{0DA7998F-6A3C-4E74-8ACA-9163855D2BB7}" srcOrd="0" destOrd="0" presId="urn:microsoft.com/office/officeart/2005/8/layout/radial4"/>
    <dgm:cxn modelId="{0CCA52FA-03C4-4D39-8EBE-5BBAFFF61C61}" srcId="{D160837D-FFA1-4B7A-870F-9B9F730E8C00}" destId="{42EC15D3-B8B5-418E-9356-D94984DEA2B4}" srcOrd="4" destOrd="0" parTransId="{44306821-782E-46B5-8B56-7B2A09DD0FFE}" sibTransId="{B104AC31-6818-46BF-B63B-034D7521502B}"/>
    <dgm:cxn modelId="{7EF9BB6F-7738-4858-98B0-21A2A5F44102}" type="presParOf" srcId="{1FA841C4-14FC-4123-9DE2-0F02A568C6AD}" destId="{BF875812-4005-4894-BB15-427D42867E27}" srcOrd="0" destOrd="0" presId="urn:microsoft.com/office/officeart/2005/8/layout/radial4"/>
    <dgm:cxn modelId="{CD3C6116-E6FD-409F-9C33-43BF9EAF6D40}" type="presParOf" srcId="{1FA841C4-14FC-4123-9DE2-0F02A568C6AD}" destId="{8298BDEC-72FA-4151-9CBB-C72BACFAA2A0}" srcOrd="1" destOrd="0" presId="urn:microsoft.com/office/officeart/2005/8/layout/radial4"/>
    <dgm:cxn modelId="{C44E2F83-4409-4A8A-8ACA-A5F43114A02A}" type="presParOf" srcId="{1FA841C4-14FC-4123-9DE2-0F02A568C6AD}" destId="{0DA7998F-6A3C-4E74-8ACA-9163855D2BB7}" srcOrd="2" destOrd="0" presId="urn:microsoft.com/office/officeart/2005/8/layout/radial4"/>
    <dgm:cxn modelId="{58F815CB-36B0-4450-9330-7EF99D0C13D3}" type="presParOf" srcId="{1FA841C4-14FC-4123-9DE2-0F02A568C6AD}" destId="{F8FC158D-88E4-49F0-9FE8-2D9A94CBB427}" srcOrd="3" destOrd="0" presId="urn:microsoft.com/office/officeart/2005/8/layout/radial4"/>
    <dgm:cxn modelId="{F2CB67F7-1D4A-4620-B36C-E60A78EDD92D}" type="presParOf" srcId="{1FA841C4-14FC-4123-9DE2-0F02A568C6AD}" destId="{D7A1A4B9-FF71-4C3E-BE42-8A1058DA1500}" srcOrd="4" destOrd="0" presId="urn:microsoft.com/office/officeart/2005/8/layout/radial4"/>
    <dgm:cxn modelId="{1C124D86-3E0D-40BA-B733-21F65B0B7B3E}" type="presParOf" srcId="{1FA841C4-14FC-4123-9DE2-0F02A568C6AD}" destId="{AC0D0951-5762-4853-A5F6-0A5D8D6366E6}" srcOrd="5" destOrd="0" presId="urn:microsoft.com/office/officeart/2005/8/layout/radial4"/>
    <dgm:cxn modelId="{02FEA4E1-8C9A-43C3-ACDF-9DED963D9611}" type="presParOf" srcId="{1FA841C4-14FC-4123-9DE2-0F02A568C6AD}" destId="{EBF64830-1736-4F6B-B941-6C3FEAB941D1}" srcOrd="6" destOrd="0" presId="urn:microsoft.com/office/officeart/2005/8/layout/radial4"/>
    <dgm:cxn modelId="{389E424C-0CF7-4495-A015-24B7A796D355}" type="presParOf" srcId="{1FA841C4-14FC-4123-9DE2-0F02A568C6AD}" destId="{90063E14-7BAB-4A82-91F4-731A5C29D225}" srcOrd="7" destOrd="0" presId="urn:microsoft.com/office/officeart/2005/8/layout/radial4"/>
    <dgm:cxn modelId="{A20E57C7-CAF1-4896-89FD-3D2A0587B4A6}" type="presParOf" srcId="{1FA841C4-14FC-4123-9DE2-0F02A568C6AD}" destId="{53CDE5AB-AA11-403E-BFD3-05656303744D}" srcOrd="8" destOrd="0" presId="urn:microsoft.com/office/officeart/2005/8/layout/radial4"/>
    <dgm:cxn modelId="{E09C197B-4F6E-4928-B22F-C42B7BA492EF}" type="presParOf" srcId="{1FA841C4-14FC-4123-9DE2-0F02A568C6AD}" destId="{DA8A4E8B-6484-4C58-8BE7-B6C6E7888EE4}" srcOrd="9" destOrd="0" presId="urn:microsoft.com/office/officeart/2005/8/layout/radial4"/>
    <dgm:cxn modelId="{1B4368B7-EEA1-44FA-86B0-8539A870624C}" type="presParOf" srcId="{1FA841C4-14FC-4123-9DE2-0F02A568C6AD}" destId="{05B222EB-72AD-4A4E-885A-BAA0A9B9FE61}" srcOrd="10" destOrd="0" presId="urn:microsoft.com/office/officeart/2005/8/layout/radial4"/>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F875812-4005-4894-BB15-427D42867E27}">
      <dsp:nvSpPr>
        <dsp:cNvPr id="0" name=""/>
        <dsp:cNvSpPr/>
      </dsp:nvSpPr>
      <dsp:spPr>
        <a:xfrm>
          <a:off x="2347702" y="1837081"/>
          <a:ext cx="1362495" cy="1362495"/>
        </a:xfrm>
        <a:prstGeom prst="ellipse">
          <a:avLst/>
        </a:prstGeom>
        <a:solidFill>
          <a:srgbClr val="A3202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r>
            <a:rPr lang="ru-RU" sz="2100" kern="1200">
              <a:latin typeface="Georgia" panose="02040502050405020303" pitchFamily="18" charset="0"/>
            </a:rPr>
            <a:t>ССОПУ</a:t>
          </a:r>
          <a:endParaRPr lang="en-GB" sz="2100" kern="1200">
            <a:latin typeface="Georgia" panose="02040502050405020303" pitchFamily="18" charset="0"/>
          </a:endParaRPr>
        </a:p>
      </dsp:txBody>
      <dsp:txXfrm>
        <a:off x="2547235" y="2036614"/>
        <a:ext cx="963429" cy="963429"/>
      </dsp:txXfrm>
    </dsp:sp>
    <dsp:sp modelId="{8298BDEC-72FA-4151-9CBB-C72BACFAA2A0}">
      <dsp:nvSpPr>
        <dsp:cNvPr id="0" name=""/>
        <dsp:cNvSpPr/>
      </dsp:nvSpPr>
      <dsp:spPr>
        <a:xfrm rot="10800000">
          <a:off x="1029192" y="2324173"/>
          <a:ext cx="1245992" cy="388311"/>
        </a:xfrm>
        <a:prstGeom prst="lef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DA7998F-6A3C-4E74-8ACA-9163855D2BB7}">
      <dsp:nvSpPr>
        <dsp:cNvPr id="0" name=""/>
        <dsp:cNvSpPr/>
      </dsp:nvSpPr>
      <dsp:spPr>
        <a:xfrm>
          <a:off x="382007" y="2000581"/>
          <a:ext cx="1294370" cy="1035496"/>
        </a:xfrm>
        <a:prstGeom prst="roundRect">
          <a:avLst>
            <a:gd name="adj" fmla="val 10000"/>
          </a:avLst>
        </a:prstGeom>
        <a:solidFill>
          <a:srgbClr val="D32E4B"/>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444500">
            <a:lnSpc>
              <a:spcPct val="90000"/>
            </a:lnSpc>
            <a:spcBef>
              <a:spcPct val="0"/>
            </a:spcBef>
            <a:spcAft>
              <a:spcPct val="35000"/>
            </a:spcAft>
            <a:buNone/>
          </a:pPr>
          <a:r>
            <a:rPr lang="ru-RU" sz="1000" kern="1200">
              <a:latin typeface="Georgia" panose="02040502050405020303" pitchFamily="18" charset="0"/>
            </a:rPr>
            <a:t>Предусмотренные договором денежные потоки не проходят тест </a:t>
          </a:r>
          <a:r>
            <a:rPr lang="en-GB" sz="1000" kern="1200">
              <a:latin typeface="Georgia" panose="02040502050405020303" pitchFamily="18" charset="0"/>
            </a:rPr>
            <a:t>SPPI</a:t>
          </a:r>
        </a:p>
      </dsp:txBody>
      <dsp:txXfrm>
        <a:off x="412336" y="2030910"/>
        <a:ext cx="1233712" cy="974838"/>
      </dsp:txXfrm>
    </dsp:sp>
    <dsp:sp modelId="{F8FC158D-88E4-49F0-9FE8-2D9A94CBB427}">
      <dsp:nvSpPr>
        <dsp:cNvPr id="0" name=""/>
        <dsp:cNvSpPr/>
      </dsp:nvSpPr>
      <dsp:spPr>
        <a:xfrm rot="13500000">
          <a:off x="1432436" y="1350656"/>
          <a:ext cx="1245992" cy="388311"/>
        </a:xfrm>
        <a:prstGeom prst="lef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7A1A4B9-FF71-4C3E-BE42-8A1058DA1500}">
      <dsp:nvSpPr>
        <dsp:cNvPr id="0" name=""/>
        <dsp:cNvSpPr/>
      </dsp:nvSpPr>
      <dsp:spPr>
        <a:xfrm>
          <a:off x="967722" y="586538"/>
          <a:ext cx="1294370" cy="1035496"/>
        </a:xfrm>
        <a:prstGeom prst="roundRect">
          <a:avLst>
            <a:gd name="adj" fmla="val 10000"/>
          </a:avLst>
        </a:prstGeom>
        <a:solidFill>
          <a:srgbClr val="D32E4B"/>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444500">
            <a:lnSpc>
              <a:spcPct val="90000"/>
            </a:lnSpc>
            <a:spcBef>
              <a:spcPct val="0"/>
            </a:spcBef>
            <a:spcAft>
              <a:spcPct val="35000"/>
            </a:spcAft>
            <a:buNone/>
          </a:pPr>
          <a:r>
            <a:rPr lang="ru-RU" sz="1000" kern="1200">
              <a:latin typeface="Georgia" panose="02040502050405020303" pitchFamily="18" charset="0"/>
            </a:rPr>
            <a:t>Цель - максимизация потоков денежных средств через  продажи </a:t>
          </a:r>
          <a:endParaRPr lang="en-GB" sz="1000" kern="1200">
            <a:latin typeface="Georgia" panose="02040502050405020303" pitchFamily="18" charset="0"/>
          </a:endParaRPr>
        </a:p>
      </dsp:txBody>
      <dsp:txXfrm>
        <a:off x="998051" y="616867"/>
        <a:ext cx="1233712" cy="974838"/>
      </dsp:txXfrm>
    </dsp:sp>
    <dsp:sp modelId="{AC0D0951-5762-4853-A5F6-0A5D8D6366E6}">
      <dsp:nvSpPr>
        <dsp:cNvPr id="0" name=""/>
        <dsp:cNvSpPr/>
      </dsp:nvSpPr>
      <dsp:spPr>
        <a:xfrm rot="16200000">
          <a:off x="2405953" y="947411"/>
          <a:ext cx="1245992" cy="388311"/>
        </a:xfrm>
        <a:prstGeom prst="lef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BF64830-1736-4F6B-B941-6C3FEAB941D1}">
      <dsp:nvSpPr>
        <dsp:cNvPr id="0" name=""/>
        <dsp:cNvSpPr/>
      </dsp:nvSpPr>
      <dsp:spPr>
        <a:xfrm>
          <a:off x="2381764" y="823"/>
          <a:ext cx="1294370" cy="1035496"/>
        </a:xfrm>
        <a:prstGeom prst="roundRect">
          <a:avLst>
            <a:gd name="adj" fmla="val 10000"/>
          </a:avLst>
        </a:prstGeom>
        <a:solidFill>
          <a:srgbClr val="D32E4B"/>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444500">
            <a:lnSpc>
              <a:spcPct val="90000"/>
            </a:lnSpc>
            <a:spcBef>
              <a:spcPct val="0"/>
            </a:spcBef>
            <a:spcAft>
              <a:spcPct val="35000"/>
            </a:spcAft>
            <a:buNone/>
          </a:pPr>
          <a:r>
            <a:rPr lang="ru-RU" sz="1000" kern="1200">
              <a:latin typeface="Georgia" panose="02040502050405020303" pitchFamily="18" charset="0"/>
            </a:rPr>
            <a:t>Опция учета по СС (без права последующей реклассификации)</a:t>
          </a:r>
          <a:endParaRPr lang="en-GB" sz="1000" kern="1200">
            <a:latin typeface="Georgia" panose="02040502050405020303" pitchFamily="18" charset="0"/>
          </a:endParaRPr>
        </a:p>
      </dsp:txBody>
      <dsp:txXfrm>
        <a:off x="2412093" y="31152"/>
        <a:ext cx="1233712" cy="974838"/>
      </dsp:txXfrm>
    </dsp:sp>
    <dsp:sp modelId="{90063E14-7BAB-4A82-91F4-731A5C29D225}">
      <dsp:nvSpPr>
        <dsp:cNvPr id="0" name=""/>
        <dsp:cNvSpPr/>
      </dsp:nvSpPr>
      <dsp:spPr>
        <a:xfrm rot="18900000">
          <a:off x="3379471" y="1350656"/>
          <a:ext cx="1245992" cy="388311"/>
        </a:xfrm>
        <a:prstGeom prst="lef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3CDE5AB-AA11-403E-BFD3-05656303744D}">
      <dsp:nvSpPr>
        <dsp:cNvPr id="0" name=""/>
        <dsp:cNvSpPr/>
      </dsp:nvSpPr>
      <dsp:spPr>
        <a:xfrm>
          <a:off x="3795807" y="586538"/>
          <a:ext cx="1294370" cy="1035496"/>
        </a:xfrm>
        <a:prstGeom prst="roundRect">
          <a:avLst>
            <a:gd name="adj" fmla="val 10000"/>
          </a:avLst>
        </a:prstGeom>
        <a:solidFill>
          <a:srgbClr val="D32E4B"/>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444500">
            <a:lnSpc>
              <a:spcPct val="90000"/>
            </a:lnSpc>
            <a:spcBef>
              <a:spcPct val="0"/>
            </a:spcBef>
            <a:spcAft>
              <a:spcPct val="35000"/>
            </a:spcAft>
            <a:buNone/>
          </a:pPr>
          <a:r>
            <a:rPr lang="ru-RU" sz="1000" kern="1200">
              <a:latin typeface="Georgia" panose="02040502050405020303" pitchFamily="18" charset="0"/>
            </a:rPr>
            <a:t>Рукодство управляет активами основываясь на справедливой стоимости</a:t>
          </a:r>
          <a:endParaRPr lang="en-GB" sz="1000" kern="1200">
            <a:latin typeface="Georgia" panose="02040502050405020303" pitchFamily="18" charset="0"/>
          </a:endParaRPr>
        </a:p>
      </dsp:txBody>
      <dsp:txXfrm>
        <a:off x="3826136" y="616867"/>
        <a:ext cx="1233712" cy="974838"/>
      </dsp:txXfrm>
    </dsp:sp>
    <dsp:sp modelId="{DA8A4E8B-6484-4C58-8BE7-B6C6E7888EE4}">
      <dsp:nvSpPr>
        <dsp:cNvPr id="0" name=""/>
        <dsp:cNvSpPr/>
      </dsp:nvSpPr>
      <dsp:spPr>
        <a:xfrm>
          <a:off x="3782715" y="2324173"/>
          <a:ext cx="1245992" cy="388311"/>
        </a:xfrm>
        <a:prstGeom prst="lef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5B222EB-72AD-4A4E-885A-BAA0A9B9FE61}">
      <dsp:nvSpPr>
        <dsp:cNvPr id="0" name=""/>
        <dsp:cNvSpPr/>
      </dsp:nvSpPr>
      <dsp:spPr>
        <a:xfrm>
          <a:off x="4381522" y="2000581"/>
          <a:ext cx="1294370" cy="1035496"/>
        </a:xfrm>
        <a:prstGeom prst="roundRect">
          <a:avLst>
            <a:gd name="adj" fmla="val 10000"/>
          </a:avLst>
        </a:prstGeom>
        <a:solidFill>
          <a:srgbClr val="D32E4B"/>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444500">
            <a:lnSpc>
              <a:spcPct val="90000"/>
            </a:lnSpc>
            <a:spcBef>
              <a:spcPct val="0"/>
            </a:spcBef>
            <a:spcAft>
              <a:spcPct val="35000"/>
            </a:spcAft>
            <a:buNone/>
          </a:pPr>
          <a:r>
            <a:rPr lang="ru-RU" sz="1000" kern="1200">
              <a:latin typeface="Georgia" panose="02040502050405020303" pitchFamily="18" charset="0"/>
            </a:rPr>
            <a:t>Портфель для торговли</a:t>
          </a:r>
          <a:endParaRPr lang="en-GB" sz="1000" kern="1200">
            <a:latin typeface="Georgia" panose="02040502050405020303" pitchFamily="18" charset="0"/>
          </a:endParaRPr>
        </a:p>
      </dsp:txBody>
      <dsp:txXfrm>
        <a:off x="4411851" y="2030910"/>
        <a:ext cx="1233712" cy="974838"/>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DEE9B-48C0-48BD-877A-1935C3390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180</Pages>
  <Words>84443</Words>
  <Characters>481331</Characters>
  <Application>Microsoft Office Word</Application>
  <DocSecurity>0</DocSecurity>
  <Lines>4011</Lines>
  <Paragraphs>1129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564645</CharactersWithSpaces>
  <SharedDoc>false</SharedDoc>
  <HLinks>
    <vt:vector size="768" baseType="variant">
      <vt:variant>
        <vt:i4>1310774</vt:i4>
      </vt:variant>
      <vt:variant>
        <vt:i4>740</vt:i4>
      </vt:variant>
      <vt:variant>
        <vt:i4>0</vt:i4>
      </vt:variant>
      <vt:variant>
        <vt:i4>5</vt:i4>
      </vt:variant>
      <vt:variant>
        <vt:lpwstr/>
      </vt:variant>
      <vt:variant>
        <vt:lpwstr>_Toc378283550</vt:lpwstr>
      </vt:variant>
      <vt:variant>
        <vt:i4>1245238</vt:i4>
      </vt:variant>
      <vt:variant>
        <vt:i4>733</vt:i4>
      </vt:variant>
      <vt:variant>
        <vt:i4>0</vt:i4>
      </vt:variant>
      <vt:variant>
        <vt:i4>5</vt:i4>
      </vt:variant>
      <vt:variant>
        <vt:lpwstr/>
      </vt:variant>
      <vt:variant>
        <vt:lpwstr>_Toc378283528</vt:lpwstr>
      </vt:variant>
      <vt:variant>
        <vt:i4>1376310</vt:i4>
      </vt:variant>
      <vt:variant>
        <vt:i4>731</vt:i4>
      </vt:variant>
      <vt:variant>
        <vt:i4>0</vt:i4>
      </vt:variant>
      <vt:variant>
        <vt:i4>5</vt:i4>
      </vt:variant>
      <vt:variant>
        <vt:lpwstr/>
      </vt:variant>
      <vt:variant>
        <vt:lpwstr>_Toc378283543</vt:lpwstr>
      </vt:variant>
      <vt:variant>
        <vt:i4>1376310</vt:i4>
      </vt:variant>
      <vt:variant>
        <vt:i4>725</vt:i4>
      </vt:variant>
      <vt:variant>
        <vt:i4>0</vt:i4>
      </vt:variant>
      <vt:variant>
        <vt:i4>5</vt:i4>
      </vt:variant>
      <vt:variant>
        <vt:lpwstr/>
      </vt:variant>
      <vt:variant>
        <vt:lpwstr>_Toc378283542</vt:lpwstr>
      </vt:variant>
      <vt:variant>
        <vt:i4>1376310</vt:i4>
      </vt:variant>
      <vt:variant>
        <vt:i4>719</vt:i4>
      </vt:variant>
      <vt:variant>
        <vt:i4>0</vt:i4>
      </vt:variant>
      <vt:variant>
        <vt:i4>5</vt:i4>
      </vt:variant>
      <vt:variant>
        <vt:lpwstr/>
      </vt:variant>
      <vt:variant>
        <vt:lpwstr>_Toc378283541</vt:lpwstr>
      </vt:variant>
      <vt:variant>
        <vt:i4>1376310</vt:i4>
      </vt:variant>
      <vt:variant>
        <vt:i4>713</vt:i4>
      </vt:variant>
      <vt:variant>
        <vt:i4>0</vt:i4>
      </vt:variant>
      <vt:variant>
        <vt:i4>5</vt:i4>
      </vt:variant>
      <vt:variant>
        <vt:lpwstr/>
      </vt:variant>
      <vt:variant>
        <vt:lpwstr>_Toc378283540</vt:lpwstr>
      </vt:variant>
      <vt:variant>
        <vt:i4>1179702</vt:i4>
      </vt:variant>
      <vt:variant>
        <vt:i4>710</vt:i4>
      </vt:variant>
      <vt:variant>
        <vt:i4>0</vt:i4>
      </vt:variant>
      <vt:variant>
        <vt:i4>5</vt:i4>
      </vt:variant>
      <vt:variant>
        <vt:lpwstr/>
      </vt:variant>
      <vt:variant>
        <vt:lpwstr>_Toc378283539</vt:lpwstr>
      </vt:variant>
      <vt:variant>
        <vt:i4>1179702</vt:i4>
      </vt:variant>
      <vt:variant>
        <vt:i4>707</vt:i4>
      </vt:variant>
      <vt:variant>
        <vt:i4>0</vt:i4>
      </vt:variant>
      <vt:variant>
        <vt:i4>5</vt:i4>
      </vt:variant>
      <vt:variant>
        <vt:lpwstr/>
      </vt:variant>
      <vt:variant>
        <vt:lpwstr>_Toc378283538</vt:lpwstr>
      </vt:variant>
      <vt:variant>
        <vt:i4>1179702</vt:i4>
      </vt:variant>
      <vt:variant>
        <vt:i4>704</vt:i4>
      </vt:variant>
      <vt:variant>
        <vt:i4>0</vt:i4>
      </vt:variant>
      <vt:variant>
        <vt:i4>5</vt:i4>
      </vt:variant>
      <vt:variant>
        <vt:lpwstr/>
      </vt:variant>
      <vt:variant>
        <vt:lpwstr>_Toc378283537</vt:lpwstr>
      </vt:variant>
      <vt:variant>
        <vt:i4>1179702</vt:i4>
      </vt:variant>
      <vt:variant>
        <vt:i4>701</vt:i4>
      </vt:variant>
      <vt:variant>
        <vt:i4>0</vt:i4>
      </vt:variant>
      <vt:variant>
        <vt:i4>5</vt:i4>
      </vt:variant>
      <vt:variant>
        <vt:lpwstr/>
      </vt:variant>
      <vt:variant>
        <vt:lpwstr>_Toc378283536</vt:lpwstr>
      </vt:variant>
      <vt:variant>
        <vt:i4>1179702</vt:i4>
      </vt:variant>
      <vt:variant>
        <vt:i4>698</vt:i4>
      </vt:variant>
      <vt:variant>
        <vt:i4>0</vt:i4>
      </vt:variant>
      <vt:variant>
        <vt:i4>5</vt:i4>
      </vt:variant>
      <vt:variant>
        <vt:lpwstr/>
      </vt:variant>
      <vt:variant>
        <vt:lpwstr>_Toc378283535</vt:lpwstr>
      </vt:variant>
      <vt:variant>
        <vt:i4>1179702</vt:i4>
      </vt:variant>
      <vt:variant>
        <vt:i4>695</vt:i4>
      </vt:variant>
      <vt:variant>
        <vt:i4>0</vt:i4>
      </vt:variant>
      <vt:variant>
        <vt:i4>5</vt:i4>
      </vt:variant>
      <vt:variant>
        <vt:lpwstr/>
      </vt:variant>
      <vt:variant>
        <vt:lpwstr>_Toc378283534</vt:lpwstr>
      </vt:variant>
      <vt:variant>
        <vt:i4>1179702</vt:i4>
      </vt:variant>
      <vt:variant>
        <vt:i4>692</vt:i4>
      </vt:variant>
      <vt:variant>
        <vt:i4>0</vt:i4>
      </vt:variant>
      <vt:variant>
        <vt:i4>5</vt:i4>
      </vt:variant>
      <vt:variant>
        <vt:lpwstr/>
      </vt:variant>
      <vt:variant>
        <vt:lpwstr>_Toc378283533</vt:lpwstr>
      </vt:variant>
      <vt:variant>
        <vt:i4>1179702</vt:i4>
      </vt:variant>
      <vt:variant>
        <vt:i4>686</vt:i4>
      </vt:variant>
      <vt:variant>
        <vt:i4>0</vt:i4>
      </vt:variant>
      <vt:variant>
        <vt:i4>5</vt:i4>
      </vt:variant>
      <vt:variant>
        <vt:lpwstr/>
      </vt:variant>
      <vt:variant>
        <vt:lpwstr>_Toc378283532</vt:lpwstr>
      </vt:variant>
      <vt:variant>
        <vt:i4>1179702</vt:i4>
      </vt:variant>
      <vt:variant>
        <vt:i4>680</vt:i4>
      </vt:variant>
      <vt:variant>
        <vt:i4>0</vt:i4>
      </vt:variant>
      <vt:variant>
        <vt:i4>5</vt:i4>
      </vt:variant>
      <vt:variant>
        <vt:lpwstr/>
      </vt:variant>
      <vt:variant>
        <vt:lpwstr>_Toc378283531</vt:lpwstr>
      </vt:variant>
      <vt:variant>
        <vt:i4>1179702</vt:i4>
      </vt:variant>
      <vt:variant>
        <vt:i4>674</vt:i4>
      </vt:variant>
      <vt:variant>
        <vt:i4>0</vt:i4>
      </vt:variant>
      <vt:variant>
        <vt:i4>5</vt:i4>
      </vt:variant>
      <vt:variant>
        <vt:lpwstr/>
      </vt:variant>
      <vt:variant>
        <vt:lpwstr>_Toc378283530</vt:lpwstr>
      </vt:variant>
      <vt:variant>
        <vt:i4>1245238</vt:i4>
      </vt:variant>
      <vt:variant>
        <vt:i4>668</vt:i4>
      </vt:variant>
      <vt:variant>
        <vt:i4>0</vt:i4>
      </vt:variant>
      <vt:variant>
        <vt:i4>5</vt:i4>
      </vt:variant>
      <vt:variant>
        <vt:lpwstr/>
      </vt:variant>
      <vt:variant>
        <vt:lpwstr>_Toc378283529</vt:lpwstr>
      </vt:variant>
      <vt:variant>
        <vt:i4>1245238</vt:i4>
      </vt:variant>
      <vt:variant>
        <vt:i4>662</vt:i4>
      </vt:variant>
      <vt:variant>
        <vt:i4>0</vt:i4>
      </vt:variant>
      <vt:variant>
        <vt:i4>5</vt:i4>
      </vt:variant>
      <vt:variant>
        <vt:lpwstr/>
      </vt:variant>
      <vt:variant>
        <vt:lpwstr>_Toc378283528</vt:lpwstr>
      </vt:variant>
      <vt:variant>
        <vt:i4>1245238</vt:i4>
      </vt:variant>
      <vt:variant>
        <vt:i4>656</vt:i4>
      </vt:variant>
      <vt:variant>
        <vt:i4>0</vt:i4>
      </vt:variant>
      <vt:variant>
        <vt:i4>5</vt:i4>
      </vt:variant>
      <vt:variant>
        <vt:lpwstr/>
      </vt:variant>
      <vt:variant>
        <vt:lpwstr>_Toc378283527</vt:lpwstr>
      </vt:variant>
      <vt:variant>
        <vt:i4>1245238</vt:i4>
      </vt:variant>
      <vt:variant>
        <vt:i4>650</vt:i4>
      </vt:variant>
      <vt:variant>
        <vt:i4>0</vt:i4>
      </vt:variant>
      <vt:variant>
        <vt:i4>5</vt:i4>
      </vt:variant>
      <vt:variant>
        <vt:lpwstr/>
      </vt:variant>
      <vt:variant>
        <vt:lpwstr>_Toc378283526</vt:lpwstr>
      </vt:variant>
      <vt:variant>
        <vt:i4>1245238</vt:i4>
      </vt:variant>
      <vt:variant>
        <vt:i4>644</vt:i4>
      </vt:variant>
      <vt:variant>
        <vt:i4>0</vt:i4>
      </vt:variant>
      <vt:variant>
        <vt:i4>5</vt:i4>
      </vt:variant>
      <vt:variant>
        <vt:lpwstr/>
      </vt:variant>
      <vt:variant>
        <vt:lpwstr>_Toc378283525</vt:lpwstr>
      </vt:variant>
      <vt:variant>
        <vt:i4>1048630</vt:i4>
      </vt:variant>
      <vt:variant>
        <vt:i4>638</vt:i4>
      </vt:variant>
      <vt:variant>
        <vt:i4>0</vt:i4>
      </vt:variant>
      <vt:variant>
        <vt:i4>5</vt:i4>
      </vt:variant>
      <vt:variant>
        <vt:lpwstr/>
      </vt:variant>
      <vt:variant>
        <vt:lpwstr>_Toc378283519</vt:lpwstr>
      </vt:variant>
      <vt:variant>
        <vt:i4>1048630</vt:i4>
      </vt:variant>
      <vt:variant>
        <vt:i4>632</vt:i4>
      </vt:variant>
      <vt:variant>
        <vt:i4>0</vt:i4>
      </vt:variant>
      <vt:variant>
        <vt:i4>5</vt:i4>
      </vt:variant>
      <vt:variant>
        <vt:lpwstr/>
      </vt:variant>
      <vt:variant>
        <vt:lpwstr>_Toc378283518</vt:lpwstr>
      </vt:variant>
      <vt:variant>
        <vt:i4>1048630</vt:i4>
      </vt:variant>
      <vt:variant>
        <vt:i4>626</vt:i4>
      </vt:variant>
      <vt:variant>
        <vt:i4>0</vt:i4>
      </vt:variant>
      <vt:variant>
        <vt:i4>5</vt:i4>
      </vt:variant>
      <vt:variant>
        <vt:lpwstr/>
      </vt:variant>
      <vt:variant>
        <vt:lpwstr>_Toc378283517</vt:lpwstr>
      </vt:variant>
      <vt:variant>
        <vt:i4>1048630</vt:i4>
      </vt:variant>
      <vt:variant>
        <vt:i4>620</vt:i4>
      </vt:variant>
      <vt:variant>
        <vt:i4>0</vt:i4>
      </vt:variant>
      <vt:variant>
        <vt:i4>5</vt:i4>
      </vt:variant>
      <vt:variant>
        <vt:lpwstr/>
      </vt:variant>
      <vt:variant>
        <vt:lpwstr>_Toc378283516</vt:lpwstr>
      </vt:variant>
      <vt:variant>
        <vt:i4>1048630</vt:i4>
      </vt:variant>
      <vt:variant>
        <vt:i4>614</vt:i4>
      </vt:variant>
      <vt:variant>
        <vt:i4>0</vt:i4>
      </vt:variant>
      <vt:variant>
        <vt:i4>5</vt:i4>
      </vt:variant>
      <vt:variant>
        <vt:lpwstr/>
      </vt:variant>
      <vt:variant>
        <vt:lpwstr>_Toc378283515</vt:lpwstr>
      </vt:variant>
      <vt:variant>
        <vt:i4>1048630</vt:i4>
      </vt:variant>
      <vt:variant>
        <vt:i4>608</vt:i4>
      </vt:variant>
      <vt:variant>
        <vt:i4>0</vt:i4>
      </vt:variant>
      <vt:variant>
        <vt:i4>5</vt:i4>
      </vt:variant>
      <vt:variant>
        <vt:lpwstr/>
      </vt:variant>
      <vt:variant>
        <vt:lpwstr>_Toc378283514</vt:lpwstr>
      </vt:variant>
      <vt:variant>
        <vt:i4>1048630</vt:i4>
      </vt:variant>
      <vt:variant>
        <vt:i4>602</vt:i4>
      </vt:variant>
      <vt:variant>
        <vt:i4>0</vt:i4>
      </vt:variant>
      <vt:variant>
        <vt:i4>5</vt:i4>
      </vt:variant>
      <vt:variant>
        <vt:lpwstr/>
      </vt:variant>
      <vt:variant>
        <vt:lpwstr>_Toc378283513</vt:lpwstr>
      </vt:variant>
      <vt:variant>
        <vt:i4>1048630</vt:i4>
      </vt:variant>
      <vt:variant>
        <vt:i4>596</vt:i4>
      </vt:variant>
      <vt:variant>
        <vt:i4>0</vt:i4>
      </vt:variant>
      <vt:variant>
        <vt:i4>5</vt:i4>
      </vt:variant>
      <vt:variant>
        <vt:lpwstr/>
      </vt:variant>
      <vt:variant>
        <vt:lpwstr>_Toc378283512</vt:lpwstr>
      </vt:variant>
      <vt:variant>
        <vt:i4>1048630</vt:i4>
      </vt:variant>
      <vt:variant>
        <vt:i4>590</vt:i4>
      </vt:variant>
      <vt:variant>
        <vt:i4>0</vt:i4>
      </vt:variant>
      <vt:variant>
        <vt:i4>5</vt:i4>
      </vt:variant>
      <vt:variant>
        <vt:lpwstr/>
      </vt:variant>
      <vt:variant>
        <vt:lpwstr>_Toc378283511</vt:lpwstr>
      </vt:variant>
      <vt:variant>
        <vt:i4>1048630</vt:i4>
      </vt:variant>
      <vt:variant>
        <vt:i4>584</vt:i4>
      </vt:variant>
      <vt:variant>
        <vt:i4>0</vt:i4>
      </vt:variant>
      <vt:variant>
        <vt:i4>5</vt:i4>
      </vt:variant>
      <vt:variant>
        <vt:lpwstr/>
      </vt:variant>
      <vt:variant>
        <vt:lpwstr>_Toc378283510</vt:lpwstr>
      </vt:variant>
      <vt:variant>
        <vt:i4>1572919</vt:i4>
      </vt:variant>
      <vt:variant>
        <vt:i4>578</vt:i4>
      </vt:variant>
      <vt:variant>
        <vt:i4>0</vt:i4>
      </vt:variant>
      <vt:variant>
        <vt:i4>5</vt:i4>
      </vt:variant>
      <vt:variant>
        <vt:lpwstr/>
      </vt:variant>
      <vt:variant>
        <vt:lpwstr>_Toc378283493</vt:lpwstr>
      </vt:variant>
      <vt:variant>
        <vt:i4>1572919</vt:i4>
      </vt:variant>
      <vt:variant>
        <vt:i4>572</vt:i4>
      </vt:variant>
      <vt:variant>
        <vt:i4>0</vt:i4>
      </vt:variant>
      <vt:variant>
        <vt:i4>5</vt:i4>
      </vt:variant>
      <vt:variant>
        <vt:lpwstr/>
      </vt:variant>
      <vt:variant>
        <vt:lpwstr>_Toc378283492</vt:lpwstr>
      </vt:variant>
      <vt:variant>
        <vt:i4>1572919</vt:i4>
      </vt:variant>
      <vt:variant>
        <vt:i4>566</vt:i4>
      </vt:variant>
      <vt:variant>
        <vt:i4>0</vt:i4>
      </vt:variant>
      <vt:variant>
        <vt:i4>5</vt:i4>
      </vt:variant>
      <vt:variant>
        <vt:lpwstr/>
      </vt:variant>
      <vt:variant>
        <vt:lpwstr>_Toc378283491</vt:lpwstr>
      </vt:variant>
      <vt:variant>
        <vt:i4>1572919</vt:i4>
      </vt:variant>
      <vt:variant>
        <vt:i4>560</vt:i4>
      </vt:variant>
      <vt:variant>
        <vt:i4>0</vt:i4>
      </vt:variant>
      <vt:variant>
        <vt:i4>5</vt:i4>
      </vt:variant>
      <vt:variant>
        <vt:lpwstr/>
      </vt:variant>
      <vt:variant>
        <vt:lpwstr>_Toc378283490</vt:lpwstr>
      </vt:variant>
      <vt:variant>
        <vt:i4>1638455</vt:i4>
      </vt:variant>
      <vt:variant>
        <vt:i4>554</vt:i4>
      </vt:variant>
      <vt:variant>
        <vt:i4>0</vt:i4>
      </vt:variant>
      <vt:variant>
        <vt:i4>5</vt:i4>
      </vt:variant>
      <vt:variant>
        <vt:lpwstr/>
      </vt:variant>
      <vt:variant>
        <vt:lpwstr>_Toc378283489</vt:lpwstr>
      </vt:variant>
      <vt:variant>
        <vt:i4>1638455</vt:i4>
      </vt:variant>
      <vt:variant>
        <vt:i4>548</vt:i4>
      </vt:variant>
      <vt:variant>
        <vt:i4>0</vt:i4>
      </vt:variant>
      <vt:variant>
        <vt:i4>5</vt:i4>
      </vt:variant>
      <vt:variant>
        <vt:lpwstr/>
      </vt:variant>
      <vt:variant>
        <vt:lpwstr>_Toc378283488</vt:lpwstr>
      </vt:variant>
      <vt:variant>
        <vt:i4>1638455</vt:i4>
      </vt:variant>
      <vt:variant>
        <vt:i4>542</vt:i4>
      </vt:variant>
      <vt:variant>
        <vt:i4>0</vt:i4>
      </vt:variant>
      <vt:variant>
        <vt:i4>5</vt:i4>
      </vt:variant>
      <vt:variant>
        <vt:lpwstr/>
      </vt:variant>
      <vt:variant>
        <vt:lpwstr>_Toc378283487</vt:lpwstr>
      </vt:variant>
      <vt:variant>
        <vt:i4>1638455</vt:i4>
      </vt:variant>
      <vt:variant>
        <vt:i4>536</vt:i4>
      </vt:variant>
      <vt:variant>
        <vt:i4>0</vt:i4>
      </vt:variant>
      <vt:variant>
        <vt:i4>5</vt:i4>
      </vt:variant>
      <vt:variant>
        <vt:lpwstr/>
      </vt:variant>
      <vt:variant>
        <vt:lpwstr>_Toc378283486</vt:lpwstr>
      </vt:variant>
      <vt:variant>
        <vt:i4>1638455</vt:i4>
      </vt:variant>
      <vt:variant>
        <vt:i4>530</vt:i4>
      </vt:variant>
      <vt:variant>
        <vt:i4>0</vt:i4>
      </vt:variant>
      <vt:variant>
        <vt:i4>5</vt:i4>
      </vt:variant>
      <vt:variant>
        <vt:lpwstr/>
      </vt:variant>
      <vt:variant>
        <vt:lpwstr>_Toc378283485</vt:lpwstr>
      </vt:variant>
      <vt:variant>
        <vt:i4>1638455</vt:i4>
      </vt:variant>
      <vt:variant>
        <vt:i4>524</vt:i4>
      </vt:variant>
      <vt:variant>
        <vt:i4>0</vt:i4>
      </vt:variant>
      <vt:variant>
        <vt:i4>5</vt:i4>
      </vt:variant>
      <vt:variant>
        <vt:lpwstr/>
      </vt:variant>
      <vt:variant>
        <vt:lpwstr>_Toc378283484</vt:lpwstr>
      </vt:variant>
      <vt:variant>
        <vt:i4>1638455</vt:i4>
      </vt:variant>
      <vt:variant>
        <vt:i4>518</vt:i4>
      </vt:variant>
      <vt:variant>
        <vt:i4>0</vt:i4>
      </vt:variant>
      <vt:variant>
        <vt:i4>5</vt:i4>
      </vt:variant>
      <vt:variant>
        <vt:lpwstr/>
      </vt:variant>
      <vt:variant>
        <vt:lpwstr>_Toc378283483</vt:lpwstr>
      </vt:variant>
      <vt:variant>
        <vt:i4>1638455</vt:i4>
      </vt:variant>
      <vt:variant>
        <vt:i4>512</vt:i4>
      </vt:variant>
      <vt:variant>
        <vt:i4>0</vt:i4>
      </vt:variant>
      <vt:variant>
        <vt:i4>5</vt:i4>
      </vt:variant>
      <vt:variant>
        <vt:lpwstr/>
      </vt:variant>
      <vt:variant>
        <vt:lpwstr>_Toc378283481</vt:lpwstr>
      </vt:variant>
      <vt:variant>
        <vt:i4>1638455</vt:i4>
      </vt:variant>
      <vt:variant>
        <vt:i4>506</vt:i4>
      </vt:variant>
      <vt:variant>
        <vt:i4>0</vt:i4>
      </vt:variant>
      <vt:variant>
        <vt:i4>5</vt:i4>
      </vt:variant>
      <vt:variant>
        <vt:lpwstr/>
      </vt:variant>
      <vt:variant>
        <vt:lpwstr>_Toc378283480</vt:lpwstr>
      </vt:variant>
      <vt:variant>
        <vt:i4>1441847</vt:i4>
      </vt:variant>
      <vt:variant>
        <vt:i4>500</vt:i4>
      </vt:variant>
      <vt:variant>
        <vt:i4>0</vt:i4>
      </vt:variant>
      <vt:variant>
        <vt:i4>5</vt:i4>
      </vt:variant>
      <vt:variant>
        <vt:lpwstr/>
      </vt:variant>
      <vt:variant>
        <vt:lpwstr>_Toc378283479</vt:lpwstr>
      </vt:variant>
      <vt:variant>
        <vt:i4>1441847</vt:i4>
      </vt:variant>
      <vt:variant>
        <vt:i4>494</vt:i4>
      </vt:variant>
      <vt:variant>
        <vt:i4>0</vt:i4>
      </vt:variant>
      <vt:variant>
        <vt:i4>5</vt:i4>
      </vt:variant>
      <vt:variant>
        <vt:lpwstr/>
      </vt:variant>
      <vt:variant>
        <vt:lpwstr>_Toc378283478</vt:lpwstr>
      </vt:variant>
      <vt:variant>
        <vt:i4>1441847</vt:i4>
      </vt:variant>
      <vt:variant>
        <vt:i4>488</vt:i4>
      </vt:variant>
      <vt:variant>
        <vt:i4>0</vt:i4>
      </vt:variant>
      <vt:variant>
        <vt:i4>5</vt:i4>
      </vt:variant>
      <vt:variant>
        <vt:lpwstr/>
      </vt:variant>
      <vt:variant>
        <vt:lpwstr>_Toc378283477</vt:lpwstr>
      </vt:variant>
      <vt:variant>
        <vt:i4>1441847</vt:i4>
      </vt:variant>
      <vt:variant>
        <vt:i4>482</vt:i4>
      </vt:variant>
      <vt:variant>
        <vt:i4>0</vt:i4>
      </vt:variant>
      <vt:variant>
        <vt:i4>5</vt:i4>
      </vt:variant>
      <vt:variant>
        <vt:lpwstr/>
      </vt:variant>
      <vt:variant>
        <vt:lpwstr>_Toc378283476</vt:lpwstr>
      </vt:variant>
      <vt:variant>
        <vt:i4>1441847</vt:i4>
      </vt:variant>
      <vt:variant>
        <vt:i4>476</vt:i4>
      </vt:variant>
      <vt:variant>
        <vt:i4>0</vt:i4>
      </vt:variant>
      <vt:variant>
        <vt:i4>5</vt:i4>
      </vt:variant>
      <vt:variant>
        <vt:lpwstr/>
      </vt:variant>
      <vt:variant>
        <vt:lpwstr>_Toc378283475</vt:lpwstr>
      </vt:variant>
      <vt:variant>
        <vt:i4>1441847</vt:i4>
      </vt:variant>
      <vt:variant>
        <vt:i4>470</vt:i4>
      </vt:variant>
      <vt:variant>
        <vt:i4>0</vt:i4>
      </vt:variant>
      <vt:variant>
        <vt:i4>5</vt:i4>
      </vt:variant>
      <vt:variant>
        <vt:lpwstr/>
      </vt:variant>
      <vt:variant>
        <vt:lpwstr>_Toc378283474</vt:lpwstr>
      </vt:variant>
      <vt:variant>
        <vt:i4>1441847</vt:i4>
      </vt:variant>
      <vt:variant>
        <vt:i4>464</vt:i4>
      </vt:variant>
      <vt:variant>
        <vt:i4>0</vt:i4>
      </vt:variant>
      <vt:variant>
        <vt:i4>5</vt:i4>
      </vt:variant>
      <vt:variant>
        <vt:lpwstr/>
      </vt:variant>
      <vt:variant>
        <vt:lpwstr>_Toc378283473</vt:lpwstr>
      </vt:variant>
      <vt:variant>
        <vt:i4>1441847</vt:i4>
      </vt:variant>
      <vt:variant>
        <vt:i4>458</vt:i4>
      </vt:variant>
      <vt:variant>
        <vt:i4>0</vt:i4>
      </vt:variant>
      <vt:variant>
        <vt:i4>5</vt:i4>
      </vt:variant>
      <vt:variant>
        <vt:lpwstr/>
      </vt:variant>
      <vt:variant>
        <vt:lpwstr>_Toc378283472</vt:lpwstr>
      </vt:variant>
      <vt:variant>
        <vt:i4>1441847</vt:i4>
      </vt:variant>
      <vt:variant>
        <vt:i4>452</vt:i4>
      </vt:variant>
      <vt:variant>
        <vt:i4>0</vt:i4>
      </vt:variant>
      <vt:variant>
        <vt:i4>5</vt:i4>
      </vt:variant>
      <vt:variant>
        <vt:lpwstr/>
      </vt:variant>
      <vt:variant>
        <vt:lpwstr>_Toc378283471</vt:lpwstr>
      </vt:variant>
      <vt:variant>
        <vt:i4>1441847</vt:i4>
      </vt:variant>
      <vt:variant>
        <vt:i4>446</vt:i4>
      </vt:variant>
      <vt:variant>
        <vt:i4>0</vt:i4>
      </vt:variant>
      <vt:variant>
        <vt:i4>5</vt:i4>
      </vt:variant>
      <vt:variant>
        <vt:lpwstr/>
      </vt:variant>
      <vt:variant>
        <vt:lpwstr>_Toc378283470</vt:lpwstr>
      </vt:variant>
      <vt:variant>
        <vt:i4>1507383</vt:i4>
      </vt:variant>
      <vt:variant>
        <vt:i4>440</vt:i4>
      </vt:variant>
      <vt:variant>
        <vt:i4>0</vt:i4>
      </vt:variant>
      <vt:variant>
        <vt:i4>5</vt:i4>
      </vt:variant>
      <vt:variant>
        <vt:lpwstr/>
      </vt:variant>
      <vt:variant>
        <vt:lpwstr>_Toc378283469</vt:lpwstr>
      </vt:variant>
      <vt:variant>
        <vt:i4>1507383</vt:i4>
      </vt:variant>
      <vt:variant>
        <vt:i4>434</vt:i4>
      </vt:variant>
      <vt:variant>
        <vt:i4>0</vt:i4>
      </vt:variant>
      <vt:variant>
        <vt:i4>5</vt:i4>
      </vt:variant>
      <vt:variant>
        <vt:lpwstr/>
      </vt:variant>
      <vt:variant>
        <vt:lpwstr>_Toc378283463</vt:lpwstr>
      </vt:variant>
      <vt:variant>
        <vt:i4>1507383</vt:i4>
      </vt:variant>
      <vt:variant>
        <vt:i4>428</vt:i4>
      </vt:variant>
      <vt:variant>
        <vt:i4>0</vt:i4>
      </vt:variant>
      <vt:variant>
        <vt:i4>5</vt:i4>
      </vt:variant>
      <vt:variant>
        <vt:lpwstr/>
      </vt:variant>
      <vt:variant>
        <vt:lpwstr>_Toc378283462</vt:lpwstr>
      </vt:variant>
      <vt:variant>
        <vt:i4>1507383</vt:i4>
      </vt:variant>
      <vt:variant>
        <vt:i4>422</vt:i4>
      </vt:variant>
      <vt:variant>
        <vt:i4>0</vt:i4>
      </vt:variant>
      <vt:variant>
        <vt:i4>5</vt:i4>
      </vt:variant>
      <vt:variant>
        <vt:lpwstr/>
      </vt:variant>
      <vt:variant>
        <vt:lpwstr>_Toc378283461</vt:lpwstr>
      </vt:variant>
      <vt:variant>
        <vt:i4>1507383</vt:i4>
      </vt:variant>
      <vt:variant>
        <vt:i4>416</vt:i4>
      </vt:variant>
      <vt:variant>
        <vt:i4>0</vt:i4>
      </vt:variant>
      <vt:variant>
        <vt:i4>5</vt:i4>
      </vt:variant>
      <vt:variant>
        <vt:lpwstr/>
      </vt:variant>
      <vt:variant>
        <vt:lpwstr>_Toc378283460</vt:lpwstr>
      </vt:variant>
      <vt:variant>
        <vt:i4>1310775</vt:i4>
      </vt:variant>
      <vt:variant>
        <vt:i4>410</vt:i4>
      </vt:variant>
      <vt:variant>
        <vt:i4>0</vt:i4>
      </vt:variant>
      <vt:variant>
        <vt:i4>5</vt:i4>
      </vt:variant>
      <vt:variant>
        <vt:lpwstr/>
      </vt:variant>
      <vt:variant>
        <vt:lpwstr>_Toc378283459</vt:lpwstr>
      </vt:variant>
      <vt:variant>
        <vt:i4>1310775</vt:i4>
      </vt:variant>
      <vt:variant>
        <vt:i4>404</vt:i4>
      </vt:variant>
      <vt:variant>
        <vt:i4>0</vt:i4>
      </vt:variant>
      <vt:variant>
        <vt:i4>5</vt:i4>
      </vt:variant>
      <vt:variant>
        <vt:lpwstr/>
      </vt:variant>
      <vt:variant>
        <vt:lpwstr>_Toc378283458</vt:lpwstr>
      </vt:variant>
      <vt:variant>
        <vt:i4>1310775</vt:i4>
      </vt:variant>
      <vt:variant>
        <vt:i4>398</vt:i4>
      </vt:variant>
      <vt:variant>
        <vt:i4>0</vt:i4>
      </vt:variant>
      <vt:variant>
        <vt:i4>5</vt:i4>
      </vt:variant>
      <vt:variant>
        <vt:lpwstr/>
      </vt:variant>
      <vt:variant>
        <vt:lpwstr>_Toc378283457</vt:lpwstr>
      </vt:variant>
      <vt:variant>
        <vt:i4>1310775</vt:i4>
      </vt:variant>
      <vt:variant>
        <vt:i4>392</vt:i4>
      </vt:variant>
      <vt:variant>
        <vt:i4>0</vt:i4>
      </vt:variant>
      <vt:variant>
        <vt:i4>5</vt:i4>
      </vt:variant>
      <vt:variant>
        <vt:lpwstr/>
      </vt:variant>
      <vt:variant>
        <vt:lpwstr>_Toc378283456</vt:lpwstr>
      </vt:variant>
      <vt:variant>
        <vt:i4>1310775</vt:i4>
      </vt:variant>
      <vt:variant>
        <vt:i4>386</vt:i4>
      </vt:variant>
      <vt:variant>
        <vt:i4>0</vt:i4>
      </vt:variant>
      <vt:variant>
        <vt:i4>5</vt:i4>
      </vt:variant>
      <vt:variant>
        <vt:lpwstr/>
      </vt:variant>
      <vt:variant>
        <vt:lpwstr>_Toc378283455</vt:lpwstr>
      </vt:variant>
      <vt:variant>
        <vt:i4>1310775</vt:i4>
      </vt:variant>
      <vt:variant>
        <vt:i4>380</vt:i4>
      </vt:variant>
      <vt:variant>
        <vt:i4>0</vt:i4>
      </vt:variant>
      <vt:variant>
        <vt:i4>5</vt:i4>
      </vt:variant>
      <vt:variant>
        <vt:lpwstr/>
      </vt:variant>
      <vt:variant>
        <vt:lpwstr>_Toc378283454</vt:lpwstr>
      </vt:variant>
      <vt:variant>
        <vt:i4>1310775</vt:i4>
      </vt:variant>
      <vt:variant>
        <vt:i4>374</vt:i4>
      </vt:variant>
      <vt:variant>
        <vt:i4>0</vt:i4>
      </vt:variant>
      <vt:variant>
        <vt:i4>5</vt:i4>
      </vt:variant>
      <vt:variant>
        <vt:lpwstr/>
      </vt:variant>
      <vt:variant>
        <vt:lpwstr>_Toc378283453</vt:lpwstr>
      </vt:variant>
      <vt:variant>
        <vt:i4>1310775</vt:i4>
      </vt:variant>
      <vt:variant>
        <vt:i4>368</vt:i4>
      </vt:variant>
      <vt:variant>
        <vt:i4>0</vt:i4>
      </vt:variant>
      <vt:variant>
        <vt:i4>5</vt:i4>
      </vt:variant>
      <vt:variant>
        <vt:lpwstr/>
      </vt:variant>
      <vt:variant>
        <vt:lpwstr>_Toc378283452</vt:lpwstr>
      </vt:variant>
      <vt:variant>
        <vt:i4>1310775</vt:i4>
      </vt:variant>
      <vt:variant>
        <vt:i4>362</vt:i4>
      </vt:variant>
      <vt:variant>
        <vt:i4>0</vt:i4>
      </vt:variant>
      <vt:variant>
        <vt:i4>5</vt:i4>
      </vt:variant>
      <vt:variant>
        <vt:lpwstr/>
      </vt:variant>
      <vt:variant>
        <vt:lpwstr>_Toc378283451</vt:lpwstr>
      </vt:variant>
      <vt:variant>
        <vt:i4>1310775</vt:i4>
      </vt:variant>
      <vt:variant>
        <vt:i4>356</vt:i4>
      </vt:variant>
      <vt:variant>
        <vt:i4>0</vt:i4>
      </vt:variant>
      <vt:variant>
        <vt:i4>5</vt:i4>
      </vt:variant>
      <vt:variant>
        <vt:lpwstr/>
      </vt:variant>
      <vt:variant>
        <vt:lpwstr>_Toc378283450</vt:lpwstr>
      </vt:variant>
      <vt:variant>
        <vt:i4>1376311</vt:i4>
      </vt:variant>
      <vt:variant>
        <vt:i4>350</vt:i4>
      </vt:variant>
      <vt:variant>
        <vt:i4>0</vt:i4>
      </vt:variant>
      <vt:variant>
        <vt:i4>5</vt:i4>
      </vt:variant>
      <vt:variant>
        <vt:lpwstr/>
      </vt:variant>
      <vt:variant>
        <vt:lpwstr>_Toc378283449</vt:lpwstr>
      </vt:variant>
      <vt:variant>
        <vt:i4>1376311</vt:i4>
      </vt:variant>
      <vt:variant>
        <vt:i4>344</vt:i4>
      </vt:variant>
      <vt:variant>
        <vt:i4>0</vt:i4>
      </vt:variant>
      <vt:variant>
        <vt:i4>5</vt:i4>
      </vt:variant>
      <vt:variant>
        <vt:lpwstr/>
      </vt:variant>
      <vt:variant>
        <vt:lpwstr>_Toc378283448</vt:lpwstr>
      </vt:variant>
      <vt:variant>
        <vt:i4>1376311</vt:i4>
      </vt:variant>
      <vt:variant>
        <vt:i4>338</vt:i4>
      </vt:variant>
      <vt:variant>
        <vt:i4>0</vt:i4>
      </vt:variant>
      <vt:variant>
        <vt:i4>5</vt:i4>
      </vt:variant>
      <vt:variant>
        <vt:lpwstr/>
      </vt:variant>
      <vt:variant>
        <vt:lpwstr>_Toc378283447</vt:lpwstr>
      </vt:variant>
      <vt:variant>
        <vt:i4>1376311</vt:i4>
      </vt:variant>
      <vt:variant>
        <vt:i4>332</vt:i4>
      </vt:variant>
      <vt:variant>
        <vt:i4>0</vt:i4>
      </vt:variant>
      <vt:variant>
        <vt:i4>5</vt:i4>
      </vt:variant>
      <vt:variant>
        <vt:lpwstr/>
      </vt:variant>
      <vt:variant>
        <vt:lpwstr>_Toc378283446</vt:lpwstr>
      </vt:variant>
      <vt:variant>
        <vt:i4>1376311</vt:i4>
      </vt:variant>
      <vt:variant>
        <vt:i4>326</vt:i4>
      </vt:variant>
      <vt:variant>
        <vt:i4>0</vt:i4>
      </vt:variant>
      <vt:variant>
        <vt:i4>5</vt:i4>
      </vt:variant>
      <vt:variant>
        <vt:lpwstr/>
      </vt:variant>
      <vt:variant>
        <vt:lpwstr>_Toc378283445</vt:lpwstr>
      </vt:variant>
      <vt:variant>
        <vt:i4>1376311</vt:i4>
      </vt:variant>
      <vt:variant>
        <vt:i4>320</vt:i4>
      </vt:variant>
      <vt:variant>
        <vt:i4>0</vt:i4>
      </vt:variant>
      <vt:variant>
        <vt:i4>5</vt:i4>
      </vt:variant>
      <vt:variant>
        <vt:lpwstr/>
      </vt:variant>
      <vt:variant>
        <vt:lpwstr>_Toc378283444</vt:lpwstr>
      </vt:variant>
      <vt:variant>
        <vt:i4>1376311</vt:i4>
      </vt:variant>
      <vt:variant>
        <vt:i4>314</vt:i4>
      </vt:variant>
      <vt:variant>
        <vt:i4>0</vt:i4>
      </vt:variant>
      <vt:variant>
        <vt:i4>5</vt:i4>
      </vt:variant>
      <vt:variant>
        <vt:lpwstr/>
      </vt:variant>
      <vt:variant>
        <vt:lpwstr>_Toc378283443</vt:lpwstr>
      </vt:variant>
      <vt:variant>
        <vt:i4>1376311</vt:i4>
      </vt:variant>
      <vt:variant>
        <vt:i4>308</vt:i4>
      </vt:variant>
      <vt:variant>
        <vt:i4>0</vt:i4>
      </vt:variant>
      <vt:variant>
        <vt:i4>5</vt:i4>
      </vt:variant>
      <vt:variant>
        <vt:lpwstr/>
      </vt:variant>
      <vt:variant>
        <vt:lpwstr>_Toc378283442</vt:lpwstr>
      </vt:variant>
      <vt:variant>
        <vt:i4>1179703</vt:i4>
      </vt:variant>
      <vt:variant>
        <vt:i4>302</vt:i4>
      </vt:variant>
      <vt:variant>
        <vt:i4>0</vt:i4>
      </vt:variant>
      <vt:variant>
        <vt:i4>5</vt:i4>
      </vt:variant>
      <vt:variant>
        <vt:lpwstr/>
      </vt:variant>
      <vt:variant>
        <vt:lpwstr>_Toc378283437</vt:lpwstr>
      </vt:variant>
      <vt:variant>
        <vt:i4>1179703</vt:i4>
      </vt:variant>
      <vt:variant>
        <vt:i4>296</vt:i4>
      </vt:variant>
      <vt:variant>
        <vt:i4>0</vt:i4>
      </vt:variant>
      <vt:variant>
        <vt:i4>5</vt:i4>
      </vt:variant>
      <vt:variant>
        <vt:lpwstr/>
      </vt:variant>
      <vt:variant>
        <vt:lpwstr>_Toc378283436</vt:lpwstr>
      </vt:variant>
      <vt:variant>
        <vt:i4>1179703</vt:i4>
      </vt:variant>
      <vt:variant>
        <vt:i4>290</vt:i4>
      </vt:variant>
      <vt:variant>
        <vt:i4>0</vt:i4>
      </vt:variant>
      <vt:variant>
        <vt:i4>5</vt:i4>
      </vt:variant>
      <vt:variant>
        <vt:lpwstr/>
      </vt:variant>
      <vt:variant>
        <vt:lpwstr>_Toc378283435</vt:lpwstr>
      </vt:variant>
      <vt:variant>
        <vt:i4>1179703</vt:i4>
      </vt:variant>
      <vt:variant>
        <vt:i4>284</vt:i4>
      </vt:variant>
      <vt:variant>
        <vt:i4>0</vt:i4>
      </vt:variant>
      <vt:variant>
        <vt:i4>5</vt:i4>
      </vt:variant>
      <vt:variant>
        <vt:lpwstr/>
      </vt:variant>
      <vt:variant>
        <vt:lpwstr>_Toc378283434</vt:lpwstr>
      </vt:variant>
      <vt:variant>
        <vt:i4>1179703</vt:i4>
      </vt:variant>
      <vt:variant>
        <vt:i4>278</vt:i4>
      </vt:variant>
      <vt:variant>
        <vt:i4>0</vt:i4>
      </vt:variant>
      <vt:variant>
        <vt:i4>5</vt:i4>
      </vt:variant>
      <vt:variant>
        <vt:lpwstr/>
      </vt:variant>
      <vt:variant>
        <vt:lpwstr>_Toc378283433</vt:lpwstr>
      </vt:variant>
      <vt:variant>
        <vt:i4>1179703</vt:i4>
      </vt:variant>
      <vt:variant>
        <vt:i4>272</vt:i4>
      </vt:variant>
      <vt:variant>
        <vt:i4>0</vt:i4>
      </vt:variant>
      <vt:variant>
        <vt:i4>5</vt:i4>
      </vt:variant>
      <vt:variant>
        <vt:lpwstr/>
      </vt:variant>
      <vt:variant>
        <vt:lpwstr>_Toc378283432</vt:lpwstr>
      </vt:variant>
      <vt:variant>
        <vt:i4>1179703</vt:i4>
      </vt:variant>
      <vt:variant>
        <vt:i4>266</vt:i4>
      </vt:variant>
      <vt:variant>
        <vt:i4>0</vt:i4>
      </vt:variant>
      <vt:variant>
        <vt:i4>5</vt:i4>
      </vt:variant>
      <vt:variant>
        <vt:lpwstr/>
      </vt:variant>
      <vt:variant>
        <vt:lpwstr>_Toc378283431</vt:lpwstr>
      </vt:variant>
      <vt:variant>
        <vt:i4>1179703</vt:i4>
      </vt:variant>
      <vt:variant>
        <vt:i4>260</vt:i4>
      </vt:variant>
      <vt:variant>
        <vt:i4>0</vt:i4>
      </vt:variant>
      <vt:variant>
        <vt:i4>5</vt:i4>
      </vt:variant>
      <vt:variant>
        <vt:lpwstr/>
      </vt:variant>
      <vt:variant>
        <vt:lpwstr>_Toc378283430</vt:lpwstr>
      </vt:variant>
      <vt:variant>
        <vt:i4>1245239</vt:i4>
      </vt:variant>
      <vt:variant>
        <vt:i4>254</vt:i4>
      </vt:variant>
      <vt:variant>
        <vt:i4>0</vt:i4>
      </vt:variant>
      <vt:variant>
        <vt:i4>5</vt:i4>
      </vt:variant>
      <vt:variant>
        <vt:lpwstr/>
      </vt:variant>
      <vt:variant>
        <vt:lpwstr>_Toc378283429</vt:lpwstr>
      </vt:variant>
      <vt:variant>
        <vt:i4>1245239</vt:i4>
      </vt:variant>
      <vt:variant>
        <vt:i4>248</vt:i4>
      </vt:variant>
      <vt:variant>
        <vt:i4>0</vt:i4>
      </vt:variant>
      <vt:variant>
        <vt:i4>5</vt:i4>
      </vt:variant>
      <vt:variant>
        <vt:lpwstr/>
      </vt:variant>
      <vt:variant>
        <vt:lpwstr>_Toc378283428</vt:lpwstr>
      </vt:variant>
      <vt:variant>
        <vt:i4>1245239</vt:i4>
      </vt:variant>
      <vt:variant>
        <vt:i4>242</vt:i4>
      </vt:variant>
      <vt:variant>
        <vt:i4>0</vt:i4>
      </vt:variant>
      <vt:variant>
        <vt:i4>5</vt:i4>
      </vt:variant>
      <vt:variant>
        <vt:lpwstr/>
      </vt:variant>
      <vt:variant>
        <vt:lpwstr>_Toc378283427</vt:lpwstr>
      </vt:variant>
      <vt:variant>
        <vt:i4>1245239</vt:i4>
      </vt:variant>
      <vt:variant>
        <vt:i4>236</vt:i4>
      </vt:variant>
      <vt:variant>
        <vt:i4>0</vt:i4>
      </vt:variant>
      <vt:variant>
        <vt:i4>5</vt:i4>
      </vt:variant>
      <vt:variant>
        <vt:lpwstr/>
      </vt:variant>
      <vt:variant>
        <vt:lpwstr>_Toc378283426</vt:lpwstr>
      </vt:variant>
      <vt:variant>
        <vt:i4>1245239</vt:i4>
      </vt:variant>
      <vt:variant>
        <vt:i4>230</vt:i4>
      </vt:variant>
      <vt:variant>
        <vt:i4>0</vt:i4>
      </vt:variant>
      <vt:variant>
        <vt:i4>5</vt:i4>
      </vt:variant>
      <vt:variant>
        <vt:lpwstr/>
      </vt:variant>
      <vt:variant>
        <vt:lpwstr>_Toc378283425</vt:lpwstr>
      </vt:variant>
      <vt:variant>
        <vt:i4>1245239</vt:i4>
      </vt:variant>
      <vt:variant>
        <vt:i4>224</vt:i4>
      </vt:variant>
      <vt:variant>
        <vt:i4>0</vt:i4>
      </vt:variant>
      <vt:variant>
        <vt:i4>5</vt:i4>
      </vt:variant>
      <vt:variant>
        <vt:lpwstr/>
      </vt:variant>
      <vt:variant>
        <vt:lpwstr>_Toc378283424</vt:lpwstr>
      </vt:variant>
      <vt:variant>
        <vt:i4>1245239</vt:i4>
      </vt:variant>
      <vt:variant>
        <vt:i4>218</vt:i4>
      </vt:variant>
      <vt:variant>
        <vt:i4>0</vt:i4>
      </vt:variant>
      <vt:variant>
        <vt:i4>5</vt:i4>
      </vt:variant>
      <vt:variant>
        <vt:lpwstr/>
      </vt:variant>
      <vt:variant>
        <vt:lpwstr>_Toc378283423</vt:lpwstr>
      </vt:variant>
      <vt:variant>
        <vt:i4>1245239</vt:i4>
      </vt:variant>
      <vt:variant>
        <vt:i4>212</vt:i4>
      </vt:variant>
      <vt:variant>
        <vt:i4>0</vt:i4>
      </vt:variant>
      <vt:variant>
        <vt:i4>5</vt:i4>
      </vt:variant>
      <vt:variant>
        <vt:lpwstr/>
      </vt:variant>
      <vt:variant>
        <vt:lpwstr>_Toc378283422</vt:lpwstr>
      </vt:variant>
      <vt:variant>
        <vt:i4>1245239</vt:i4>
      </vt:variant>
      <vt:variant>
        <vt:i4>206</vt:i4>
      </vt:variant>
      <vt:variant>
        <vt:i4>0</vt:i4>
      </vt:variant>
      <vt:variant>
        <vt:i4>5</vt:i4>
      </vt:variant>
      <vt:variant>
        <vt:lpwstr/>
      </vt:variant>
      <vt:variant>
        <vt:lpwstr>_Toc378283420</vt:lpwstr>
      </vt:variant>
      <vt:variant>
        <vt:i4>1048631</vt:i4>
      </vt:variant>
      <vt:variant>
        <vt:i4>200</vt:i4>
      </vt:variant>
      <vt:variant>
        <vt:i4>0</vt:i4>
      </vt:variant>
      <vt:variant>
        <vt:i4>5</vt:i4>
      </vt:variant>
      <vt:variant>
        <vt:lpwstr/>
      </vt:variant>
      <vt:variant>
        <vt:lpwstr>_Toc378283418</vt:lpwstr>
      </vt:variant>
      <vt:variant>
        <vt:i4>1048631</vt:i4>
      </vt:variant>
      <vt:variant>
        <vt:i4>194</vt:i4>
      </vt:variant>
      <vt:variant>
        <vt:i4>0</vt:i4>
      </vt:variant>
      <vt:variant>
        <vt:i4>5</vt:i4>
      </vt:variant>
      <vt:variant>
        <vt:lpwstr/>
      </vt:variant>
      <vt:variant>
        <vt:lpwstr>_Toc378283417</vt:lpwstr>
      </vt:variant>
      <vt:variant>
        <vt:i4>1048631</vt:i4>
      </vt:variant>
      <vt:variant>
        <vt:i4>188</vt:i4>
      </vt:variant>
      <vt:variant>
        <vt:i4>0</vt:i4>
      </vt:variant>
      <vt:variant>
        <vt:i4>5</vt:i4>
      </vt:variant>
      <vt:variant>
        <vt:lpwstr/>
      </vt:variant>
      <vt:variant>
        <vt:lpwstr>_Toc378283416</vt:lpwstr>
      </vt:variant>
      <vt:variant>
        <vt:i4>1048631</vt:i4>
      </vt:variant>
      <vt:variant>
        <vt:i4>182</vt:i4>
      </vt:variant>
      <vt:variant>
        <vt:i4>0</vt:i4>
      </vt:variant>
      <vt:variant>
        <vt:i4>5</vt:i4>
      </vt:variant>
      <vt:variant>
        <vt:lpwstr/>
      </vt:variant>
      <vt:variant>
        <vt:lpwstr>_Toc378283415</vt:lpwstr>
      </vt:variant>
      <vt:variant>
        <vt:i4>1048631</vt:i4>
      </vt:variant>
      <vt:variant>
        <vt:i4>176</vt:i4>
      </vt:variant>
      <vt:variant>
        <vt:i4>0</vt:i4>
      </vt:variant>
      <vt:variant>
        <vt:i4>5</vt:i4>
      </vt:variant>
      <vt:variant>
        <vt:lpwstr/>
      </vt:variant>
      <vt:variant>
        <vt:lpwstr>_Toc378283414</vt:lpwstr>
      </vt:variant>
      <vt:variant>
        <vt:i4>1048631</vt:i4>
      </vt:variant>
      <vt:variant>
        <vt:i4>170</vt:i4>
      </vt:variant>
      <vt:variant>
        <vt:i4>0</vt:i4>
      </vt:variant>
      <vt:variant>
        <vt:i4>5</vt:i4>
      </vt:variant>
      <vt:variant>
        <vt:lpwstr/>
      </vt:variant>
      <vt:variant>
        <vt:lpwstr>_Toc378283413</vt:lpwstr>
      </vt:variant>
      <vt:variant>
        <vt:i4>1048631</vt:i4>
      </vt:variant>
      <vt:variant>
        <vt:i4>164</vt:i4>
      </vt:variant>
      <vt:variant>
        <vt:i4>0</vt:i4>
      </vt:variant>
      <vt:variant>
        <vt:i4>5</vt:i4>
      </vt:variant>
      <vt:variant>
        <vt:lpwstr/>
      </vt:variant>
      <vt:variant>
        <vt:lpwstr>_Toc378283412</vt:lpwstr>
      </vt:variant>
      <vt:variant>
        <vt:i4>1048631</vt:i4>
      </vt:variant>
      <vt:variant>
        <vt:i4>158</vt:i4>
      </vt:variant>
      <vt:variant>
        <vt:i4>0</vt:i4>
      </vt:variant>
      <vt:variant>
        <vt:i4>5</vt:i4>
      </vt:variant>
      <vt:variant>
        <vt:lpwstr/>
      </vt:variant>
      <vt:variant>
        <vt:lpwstr>_Toc378283411</vt:lpwstr>
      </vt:variant>
      <vt:variant>
        <vt:i4>1048631</vt:i4>
      </vt:variant>
      <vt:variant>
        <vt:i4>152</vt:i4>
      </vt:variant>
      <vt:variant>
        <vt:i4>0</vt:i4>
      </vt:variant>
      <vt:variant>
        <vt:i4>5</vt:i4>
      </vt:variant>
      <vt:variant>
        <vt:lpwstr/>
      </vt:variant>
      <vt:variant>
        <vt:lpwstr>_Toc378283410</vt:lpwstr>
      </vt:variant>
      <vt:variant>
        <vt:i4>1114167</vt:i4>
      </vt:variant>
      <vt:variant>
        <vt:i4>146</vt:i4>
      </vt:variant>
      <vt:variant>
        <vt:i4>0</vt:i4>
      </vt:variant>
      <vt:variant>
        <vt:i4>5</vt:i4>
      </vt:variant>
      <vt:variant>
        <vt:lpwstr/>
      </vt:variant>
      <vt:variant>
        <vt:lpwstr>_Toc378283409</vt:lpwstr>
      </vt:variant>
      <vt:variant>
        <vt:i4>1114167</vt:i4>
      </vt:variant>
      <vt:variant>
        <vt:i4>140</vt:i4>
      </vt:variant>
      <vt:variant>
        <vt:i4>0</vt:i4>
      </vt:variant>
      <vt:variant>
        <vt:i4>5</vt:i4>
      </vt:variant>
      <vt:variant>
        <vt:lpwstr/>
      </vt:variant>
      <vt:variant>
        <vt:lpwstr>_Toc378283408</vt:lpwstr>
      </vt:variant>
      <vt:variant>
        <vt:i4>1114167</vt:i4>
      </vt:variant>
      <vt:variant>
        <vt:i4>134</vt:i4>
      </vt:variant>
      <vt:variant>
        <vt:i4>0</vt:i4>
      </vt:variant>
      <vt:variant>
        <vt:i4>5</vt:i4>
      </vt:variant>
      <vt:variant>
        <vt:lpwstr/>
      </vt:variant>
      <vt:variant>
        <vt:lpwstr>_Toc378283407</vt:lpwstr>
      </vt:variant>
      <vt:variant>
        <vt:i4>1114167</vt:i4>
      </vt:variant>
      <vt:variant>
        <vt:i4>128</vt:i4>
      </vt:variant>
      <vt:variant>
        <vt:i4>0</vt:i4>
      </vt:variant>
      <vt:variant>
        <vt:i4>5</vt:i4>
      </vt:variant>
      <vt:variant>
        <vt:lpwstr/>
      </vt:variant>
      <vt:variant>
        <vt:lpwstr>_Toc378283406</vt:lpwstr>
      </vt:variant>
      <vt:variant>
        <vt:i4>1114167</vt:i4>
      </vt:variant>
      <vt:variant>
        <vt:i4>122</vt:i4>
      </vt:variant>
      <vt:variant>
        <vt:i4>0</vt:i4>
      </vt:variant>
      <vt:variant>
        <vt:i4>5</vt:i4>
      </vt:variant>
      <vt:variant>
        <vt:lpwstr/>
      </vt:variant>
      <vt:variant>
        <vt:lpwstr>_Toc378283405</vt:lpwstr>
      </vt:variant>
      <vt:variant>
        <vt:i4>1114167</vt:i4>
      </vt:variant>
      <vt:variant>
        <vt:i4>116</vt:i4>
      </vt:variant>
      <vt:variant>
        <vt:i4>0</vt:i4>
      </vt:variant>
      <vt:variant>
        <vt:i4>5</vt:i4>
      </vt:variant>
      <vt:variant>
        <vt:lpwstr/>
      </vt:variant>
      <vt:variant>
        <vt:lpwstr>_Toc378283404</vt:lpwstr>
      </vt:variant>
      <vt:variant>
        <vt:i4>1114167</vt:i4>
      </vt:variant>
      <vt:variant>
        <vt:i4>110</vt:i4>
      </vt:variant>
      <vt:variant>
        <vt:i4>0</vt:i4>
      </vt:variant>
      <vt:variant>
        <vt:i4>5</vt:i4>
      </vt:variant>
      <vt:variant>
        <vt:lpwstr/>
      </vt:variant>
      <vt:variant>
        <vt:lpwstr>_Toc378283403</vt:lpwstr>
      </vt:variant>
      <vt:variant>
        <vt:i4>1114167</vt:i4>
      </vt:variant>
      <vt:variant>
        <vt:i4>104</vt:i4>
      </vt:variant>
      <vt:variant>
        <vt:i4>0</vt:i4>
      </vt:variant>
      <vt:variant>
        <vt:i4>5</vt:i4>
      </vt:variant>
      <vt:variant>
        <vt:lpwstr/>
      </vt:variant>
      <vt:variant>
        <vt:lpwstr>_Toc378283402</vt:lpwstr>
      </vt:variant>
      <vt:variant>
        <vt:i4>1114167</vt:i4>
      </vt:variant>
      <vt:variant>
        <vt:i4>98</vt:i4>
      </vt:variant>
      <vt:variant>
        <vt:i4>0</vt:i4>
      </vt:variant>
      <vt:variant>
        <vt:i4>5</vt:i4>
      </vt:variant>
      <vt:variant>
        <vt:lpwstr/>
      </vt:variant>
      <vt:variant>
        <vt:lpwstr>_Toc378283401</vt:lpwstr>
      </vt:variant>
      <vt:variant>
        <vt:i4>1638448</vt:i4>
      </vt:variant>
      <vt:variant>
        <vt:i4>92</vt:i4>
      </vt:variant>
      <vt:variant>
        <vt:i4>0</vt:i4>
      </vt:variant>
      <vt:variant>
        <vt:i4>5</vt:i4>
      </vt:variant>
      <vt:variant>
        <vt:lpwstr/>
      </vt:variant>
      <vt:variant>
        <vt:lpwstr>_Toc378283385</vt:lpwstr>
      </vt:variant>
      <vt:variant>
        <vt:i4>1638448</vt:i4>
      </vt:variant>
      <vt:variant>
        <vt:i4>86</vt:i4>
      </vt:variant>
      <vt:variant>
        <vt:i4>0</vt:i4>
      </vt:variant>
      <vt:variant>
        <vt:i4>5</vt:i4>
      </vt:variant>
      <vt:variant>
        <vt:lpwstr/>
      </vt:variant>
      <vt:variant>
        <vt:lpwstr>_Toc378283384</vt:lpwstr>
      </vt:variant>
      <vt:variant>
        <vt:i4>1638448</vt:i4>
      </vt:variant>
      <vt:variant>
        <vt:i4>80</vt:i4>
      </vt:variant>
      <vt:variant>
        <vt:i4>0</vt:i4>
      </vt:variant>
      <vt:variant>
        <vt:i4>5</vt:i4>
      </vt:variant>
      <vt:variant>
        <vt:lpwstr/>
      </vt:variant>
      <vt:variant>
        <vt:lpwstr>_Toc378283383</vt:lpwstr>
      </vt:variant>
      <vt:variant>
        <vt:i4>1638448</vt:i4>
      </vt:variant>
      <vt:variant>
        <vt:i4>74</vt:i4>
      </vt:variant>
      <vt:variant>
        <vt:i4>0</vt:i4>
      </vt:variant>
      <vt:variant>
        <vt:i4>5</vt:i4>
      </vt:variant>
      <vt:variant>
        <vt:lpwstr/>
      </vt:variant>
      <vt:variant>
        <vt:lpwstr>_Toc378283382</vt:lpwstr>
      </vt:variant>
      <vt:variant>
        <vt:i4>1638448</vt:i4>
      </vt:variant>
      <vt:variant>
        <vt:i4>68</vt:i4>
      </vt:variant>
      <vt:variant>
        <vt:i4>0</vt:i4>
      </vt:variant>
      <vt:variant>
        <vt:i4>5</vt:i4>
      </vt:variant>
      <vt:variant>
        <vt:lpwstr/>
      </vt:variant>
      <vt:variant>
        <vt:lpwstr>_Toc378283381</vt:lpwstr>
      </vt:variant>
      <vt:variant>
        <vt:i4>1638448</vt:i4>
      </vt:variant>
      <vt:variant>
        <vt:i4>62</vt:i4>
      </vt:variant>
      <vt:variant>
        <vt:i4>0</vt:i4>
      </vt:variant>
      <vt:variant>
        <vt:i4>5</vt:i4>
      </vt:variant>
      <vt:variant>
        <vt:lpwstr/>
      </vt:variant>
      <vt:variant>
        <vt:lpwstr>_Toc378283380</vt:lpwstr>
      </vt:variant>
      <vt:variant>
        <vt:i4>1441840</vt:i4>
      </vt:variant>
      <vt:variant>
        <vt:i4>56</vt:i4>
      </vt:variant>
      <vt:variant>
        <vt:i4>0</vt:i4>
      </vt:variant>
      <vt:variant>
        <vt:i4>5</vt:i4>
      </vt:variant>
      <vt:variant>
        <vt:lpwstr/>
      </vt:variant>
      <vt:variant>
        <vt:lpwstr>_Toc378283379</vt:lpwstr>
      </vt:variant>
      <vt:variant>
        <vt:i4>1441840</vt:i4>
      </vt:variant>
      <vt:variant>
        <vt:i4>50</vt:i4>
      </vt:variant>
      <vt:variant>
        <vt:i4>0</vt:i4>
      </vt:variant>
      <vt:variant>
        <vt:i4>5</vt:i4>
      </vt:variant>
      <vt:variant>
        <vt:lpwstr/>
      </vt:variant>
      <vt:variant>
        <vt:lpwstr>_Toc378283378</vt:lpwstr>
      </vt:variant>
      <vt:variant>
        <vt:i4>1441840</vt:i4>
      </vt:variant>
      <vt:variant>
        <vt:i4>44</vt:i4>
      </vt:variant>
      <vt:variant>
        <vt:i4>0</vt:i4>
      </vt:variant>
      <vt:variant>
        <vt:i4>5</vt:i4>
      </vt:variant>
      <vt:variant>
        <vt:lpwstr/>
      </vt:variant>
      <vt:variant>
        <vt:lpwstr>_Toc378283377</vt:lpwstr>
      </vt:variant>
      <vt:variant>
        <vt:i4>1441840</vt:i4>
      </vt:variant>
      <vt:variant>
        <vt:i4>38</vt:i4>
      </vt:variant>
      <vt:variant>
        <vt:i4>0</vt:i4>
      </vt:variant>
      <vt:variant>
        <vt:i4>5</vt:i4>
      </vt:variant>
      <vt:variant>
        <vt:lpwstr/>
      </vt:variant>
      <vt:variant>
        <vt:lpwstr>_Toc378283376</vt:lpwstr>
      </vt:variant>
      <vt:variant>
        <vt:i4>1441840</vt:i4>
      </vt:variant>
      <vt:variant>
        <vt:i4>32</vt:i4>
      </vt:variant>
      <vt:variant>
        <vt:i4>0</vt:i4>
      </vt:variant>
      <vt:variant>
        <vt:i4>5</vt:i4>
      </vt:variant>
      <vt:variant>
        <vt:lpwstr/>
      </vt:variant>
      <vt:variant>
        <vt:lpwstr>_Toc378283375</vt:lpwstr>
      </vt:variant>
      <vt:variant>
        <vt:i4>1441840</vt:i4>
      </vt:variant>
      <vt:variant>
        <vt:i4>26</vt:i4>
      </vt:variant>
      <vt:variant>
        <vt:i4>0</vt:i4>
      </vt:variant>
      <vt:variant>
        <vt:i4>5</vt:i4>
      </vt:variant>
      <vt:variant>
        <vt:lpwstr/>
      </vt:variant>
      <vt:variant>
        <vt:lpwstr>_Toc378283374</vt:lpwstr>
      </vt:variant>
      <vt:variant>
        <vt:i4>1441840</vt:i4>
      </vt:variant>
      <vt:variant>
        <vt:i4>20</vt:i4>
      </vt:variant>
      <vt:variant>
        <vt:i4>0</vt:i4>
      </vt:variant>
      <vt:variant>
        <vt:i4>5</vt:i4>
      </vt:variant>
      <vt:variant>
        <vt:lpwstr/>
      </vt:variant>
      <vt:variant>
        <vt:lpwstr>_Toc378283373</vt:lpwstr>
      </vt:variant>
      <vt:variant>
        <vt:i4>1441840</vt:i4>
      </vt:variant>
      <vt:variant>
        <vt:i4>14</vt:i4>
      </vt:variant>
      <vt:variant>
        <vt:i4>0</vt:i4>
      </vt:variant>
      <vt:variant>
        <vt:i4>5</vt:i4>
      </vt:variant>
      <vt:variant>
        <vt:lpwstr/>
      </vt:variant>
      <vt:variant>
        <vt:lpwstr>_Toc378283372</vt:lpwstr>
      </vt:variant>
      <vt:variant>
        <vt:i4>1441840</vt:i4>
      </vt:variant>
      <vt:variant>
        <vt:i4>8</vt:i4>
      </vt:variant>
      <vt:variant>
        <vt:i4>0</vt:i4>
      </vt:variant>
      <vt:variant>
        <vt:i4>5</vt:i4>
      </vt:variant>
      <vt:variant>
        <vt:lpwstr/>
      </vt:variant>
      <vt:variant>
        <vt:lpwstr>_Toc378283371</vt:lpwstr>
      </vt:variant>
      <vt:variant>
        <vt:i4>1441840</vt:i4>
      </vt:variant>
      <vt:variant>
        <vt:i4>2</vt:i4>
      </vt:variant>
      <vt:variant>
        <vt:i4>0</vt:i4>
      </vt:variant>
      <vt:variant>
        <vt:i4>5</vt:i4>
      </vt:variant>
      <vt:variant>
        <vt:lpwstr/>
      </vt:variant>
      <vt:variant>
        <vt:lpwstr>_Toc378283370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2025-02-26T09:01:00Z</dcterms:created>
  <dcterms:modified xsi:type="dcterms:W3CDTF">2025-02-26T09:01:00Z</dcterms:modified>
</cp:coreProperties>
</file>